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7C393" w14:textId="77777777" w:rsidR="00155A9F" w:rsidRPr="00957A8C" w:rsidRDefault="00155A9F" w:rsidP="00155A9F">
      <w:pPr>
        <w:rPr>
          <w:rFonts w:ascii="Arial" w:hAnsi="Arial" w:cs="Arial"/>
          <w:b/>
          <w:bCs/>
          <w:sz w:val="24"/>
          <w:szCs w:val="24"/>
        </w:rPr>
      </w:pPr>
      <w:r w:rsidRPr="00957A8C">
        <w:rPr>
          <w:rFonts w:ascii="Arial" w:hAnsi="Arial" w:cs="Arial"/>
          <w:b/>
          <w:bCs/>
          <w:sz w:val="24"/>
          <w:szCs w:val="24"/>
        </w:rPr>
        <w:t>Supplementary Methods</w:t>
      </w:r>
    </w:p>
    <w:p w14:paraId="50569A1F" w14:textId="77777777" w:rsidR="00155A9F" w:rsidRDefault="00155A9F" w:rsidP="00155A9F">
      <w:pPr>
        <w:rPr>
          <w:rFonts w:ascii="Arial" w:hAnsi="Arial" w:cs="Arial"/>
          <w:sz w:val="24"/>
          <w:szCs w:val="24"/>
        </w:rPr>
      </w:pPr>
    </w:p>
    <w:p w14:paraId="25636830" w14:textId="49FBC139" w:rsidR="00155A9F" w:rsidRPr="002C4697" w:rsidRDefault="00155A9F" w:rsidP="00155A9F">
      <w:pPr>
        <w:pStyle w:val="Heading2"/>
        <w:rPr>
          <w:b/>
          <w:bCs/>
        </w:rPr>
      </w:pPr>
      <w:r w:rsidRPr="002C4697">
        <w:rPr>
          <w:b/>
          <w:bCs/>
        </w:rPr>
        <w:t xml:space="preserve">PICOTS (Population, Intervention, Comparators, Outcomes, Timing, and Settings) eligibility criteria for </w:t>
      </w:r>
      <w:proofErr w:type="spellStart"/>
      <w:r w:rsidRPr="002C4697">
        <w:rPr>
          <w:b/>
          <w:bCs/>
        </w:rPr>
        <w:t>Ollendorf</w:t>
      </w:r>
      <w:proofErr w:type="spellEnd"/>
      <w:r w:rsidRPr="002C4697">
        <w:rPr>
          <w:b/>
          <w:bCs/>
        </w:rPr>
        <w:t xml:space="preserve"> et al, 2017</w:t>
      </w:r>
      <w:r>
        <w:rPr>
          <w:b/>
          <w:bCs/>
        </w:rPr>
        <w:t xml:space="preserve"> </w:t>
      </w:r>
      <w:r w:rsidRPr="002C4697">
        <w:fldChar w:fldCharType="begin"/>
      </w:r>
      <w:r>
        <w:instrText xml:space="preserve"> ADDIN EN.CITE &lt;EndNote&gt;&lt;Cite&gt;&lt;Author&gt;Ollendorf&lt;/Author&gt;&lt;Year&gt;2017&lt;/Year&gt;&lt;RecNum&gt;10&lt;/RecNum&gt;&lt;DisplayText&gt;(1)&lt;/DisplayText&gt;&lt;record&gt;&lt;rec-number&gt;10&lt;/rec-number&gt;&lt;foreign-keys&gt;&lt;key app="EN" db-id="52add0exmzfs0metfz0pt95fepw9t2z525xs" timestamp="1603879556"&gt;10&lt;/key&gt;&lt;/foreign-keys&gt;&lt;ref-type name="Journal Article"&gt;17&lt;/ref-type&gt;&lt;contributors&gt;&lt;authors&gt;&lt;author&gt;Ollendorf, DA&lt;/author&gt;&lt;author&gt;Chapman, R&lt;/author&gt;&lt;author&gt;Pearson, SD&lt;/author&gt;&lt;author&gt;Kumar, V&lt;/author&gt;&lt;author&gt;Agboola, F&lt;/author&gt;&lt;author&gt;Synnott, P&lt;/author&gt;&lt;author&gt;Liu, S&lt;/author&gt;&lt;author&gt;Segel, C&lt;/author&gt;&lt;author&gt;Khan, S&lt;/author&gt;&lt;author&gt;Campbell, J %J Institute for Clinical&lt;/author&gt;&lt;author&gt;Economic Review&lt;/author&gt;&lt;/authors&gt;&lt;/contributors&gt;&lt;titles&gt;&lt;title&gt;Targeted immune modulators for rheumatoid arthritis: effectiveness &amp;amp; value&lt;/title&gt;&lt;secondary-title&gt;Institute for Clinical and Economic Review&lt;/secondary-title&gt;&lt;/titles&gt;&lt;periodical&gt;&lt;full-title&gt;Institute for Clinical and Economic Review&lt;/full-title&gt;&lt;/periodical&gt;&lt;dates&gt;&lt;year&gt;2017&lt;/year&gt;&lt;pub-dates&gt;&lt;date&gt;April 7, 2017&lt;/date&gt;&lt;/pub-dates&gt;&lt;/dates&gt;&lt;urls&gt;&lt;/urls&gt;&lt;/record&gt;&lt;/Cite&gt;&lt;/EndNote&gt;</w:instrText>
      </w:r>
      <w:r w:rsidRPr="002C4697">
        <w:fldChar w:fldCharType="separate"/>
      </w:r>
      <w:r>
        <w:rPr>
          <w:noProof/>
        </w:rPr>
        <w:t>(</w:t>
      </w:r>
      <w:r w:rsidRPr="00477BAE">
        <w:t>1</w:t>
      </w:r>
      <w:r>
        <w:rPr>
          <w:noProof/>
        </w:rPr>
        <w:t>)</w:t>
      </w:r>
      <w:r w:rsidRPr="002C4697">
        <w:fldChar w:fldCharType="end"/>
      </w:r>
    </w:p>
    <w:p w14:paraId="71A0B381" w14:textId="77777777" w:rsidR="00155A9F" w:rsidRDefault="00155A9F" w:rsidP="00155A9F">
      <w:pPr>
        <w:autoSpaceDE w:val="0"/>
        <w:autoSpaceDN w:val="0"/>
        <w:adjustRightInd w:val="0"/>
        <w:spacing w:after="0" w:line="240" w:lineRule="auto"/>
        <w:rPr>
          <w:rFonts w:ascii="Calibri" w:hAnsi="Calibri" w:cs="Calibri"/>
          <w:sz w:val="23"/>
          <w:szCs w:val="23"/>
        </w:rPr>
      </w:pPr>
    </w:p>
    <w:p w14:paraId="3D13534D"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Populations</w:t>
      </w:r>
    </w:p>
    <w:p w14:paraId="296F7921" w14:textId="77777777" w:rsidR="00155A9F" w:rsidRPr="00957A8C" w:rsidRDefault="00155A9F" w:rsidP="00155A9F">
      <w:pPr>
        <w:autoSpaceDE w:val="0"/>
        <w:autoSpaceDN w:val="0"/>
        <w:adjustRightInd w:val="0"/>
        <w:spacing w:after="0" w:line="240" w:lineRule="auto"/>
        <w:jc w:val="both"/>
        <w:rPr>
          <w:rFonts w:ascii="Arial" w:hAnsi="Arial" w:cs="Arial"/>
        </w:rPr>
      </w:pPr>
    </w:p>
    <w:p w14:paraId="3486BDC2"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The population of focus for the review included adults ages 18 and older with moderately-to severely active rheumatoid arthritis and inadequate response to or intolerance of conventional DMARDs. Classification of disease severity and treatment response were based on investigator assessment; There was no restriction in study selection based on the use of specific tools for such assessments. Studies focusing exclusively on milder disease or on populations first initiating conventional DMARD therapy were excluded.</w:t>
      </w:r>
    </w:p>
    <w:p w14:paraId="302A7BFE" w14:textId="77777777" w:rsidR="00155A9F" w:rsidRPr="00957A8C" w:rsidRDefault="00155A9F" w:rsidP="00155A9F">
      <w:pPr>
        <w:autoSpaceDE w:val="0"/>
        <w:autoSpaceDN w:val="0"/>
        <w:adjustRightInd w:val="0"/>
        <w:spacing w:after="0" w:line="240" w:lineRule="auto"/>
        <w:jc w:val="both"/>
        <w:rPr>
          <w:rFonts w:ascii="Arial" w:hAnsi="Arial" w:cs="Arial"/>
        </w:rPr>
      </w:pPr>
    </w:p>
    <w:p w14:paraId="68E381CF"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 xml:space="preserve">Studies of children, adolescents, or adults with a history of pediatric forms inflammatory arthritis were excluded. Feedback from patient groups and clinicians suggested that the clinical presentation and disease trajectory of these patients differs substantially from those with the adult onset form of RA. </w:t>
      </w:r>
    </w:p>
    <w:p w14:paraId="7AF7C76D" w14:textId="77777777" w:rsidR="00155A9F" w:rsidRPr="00957A8C" w:rsidRDefault="00155A9F" w:rsidP="00155A9F">
      <w:pPr>
        <w:autoSpaceDE w:val="0"/>
        <w:autoSpaceDN w:val="0"/>
        <w:adjustRightInd w:val="0"/>
        <w:spacing w:after="0" w:line="240" w:lineRule="auto"/>
        <w:jc w:val="both"/>
        <w:rPr>
          <w:rFonts w:ascii="Arial" w:hAnsi="Arial" w:cs="Arial"/>
        </w:rPr>
      </w:pPr>
    </w:p>
    <w:p w14:paraId="0EAA89A7"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 xml:space="preserve">Key subpopulations and/or data stratifications of interest included: (a) evaluation of both TIM naïve patients </w:t>
      </w:r>
      <w:r w:rsidRPr="00957A8C">
        <w:rPr>
          <w:rFonts w:ascii="Arial" w:hAnsi="Arial" w:cs="Arial"/>
          <w:i/>
          <w:iCs/>
        </w:rPr>
        <w:t xml:space="preserve">and </w:t>
      </w:r>
      <w:r w:rsidRPr="00957A8C">
        <w:rPr>
          <w:rFonts w:ascii="Arial" w:hAnsi="Arial" w:cs="Arial"/>
        </w:rPr>
        <w:t>those with inadequate response to or intolerance of initial TIM therapy; (b) use of TIMs as monotherapy and in combination with conventional DMARDs; (c) route of administration (i.e., oral vs. self-injected vs. infused); and (d) setting of care (e.g., hospital-based vs. ambulatory infusion centers). Additional subpopulations and stratifications of interest, included: (e) presence of comorbidities (e.g., cardiovascular, psychiatric, malignancy); (f) both “early” (i.e., within 2 years of symptom onset) and established RA; (g) seropositivity for prognostic markers such as anti-cyclic citrullinated peptide (CCP) antibodies; (h) geography, in particular U.S.-based versus non-U.S. settings; and (</w:t>
      </w:r>
      <w:proofErr w:type="spellStart"/>
      <w:r w:rsidRPr="00957A8C">
        <w:rPr>
          <w:rFonts w:ascii="Arial" w:hAnsi="Arial" w:cs="Arial"/>
        </w:rPr>
        <w:t>i</w:t>
      </w:r>
      <w:proofErr w:type="spellEnd"/>
      <w:r w:rsidRPr="00957A8C">
        <w:rPr>
          <w:rFonts w:ascii="Arial" w:hAnsi="Arial" w:cs="Arial"/>
        </w:rPr>
        <w:t>) study funding (i.e., industry-sponsored vs. other funding sources).</w:t>
      </w:r>
    </w:p>
    <w:p w14:paraId="3F6F7242" w14:textId="77777777" w:rsidR="00155A9F" w:rsidRPr="00957A8C" w:rsidRDefault="00155A9F" w:rsidP="00155A9F">
      <w:pPr>
        <w:autoSpaceDE w:val="0"/>
        <w:autoSpaceDN w:val="0"/>
        <w:adjustRightInd w:val="0"/>
        <w:spacing w:after="0" w:line="240" w:lineRule="auto"/>
        <w:jc w:val="both"/>
        <w:rPr>
          <w:rFonts w:ascii="Arial" w:hAnsi="Arial" w:cs="Arial"/>
        </w:rPr>
      </w:pPr>
    </w:p>
    <w:p w14:paraId="317F165C"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Interventions</w:t>
      </w:r>
    </w:p>
    <w:p w14:paraId="73898CBA" w14:textId="77777777" w:rsidR="00155A9F" w:rsidRPr="00957A8C" w:rsidRDefault="00155A9F" w:rsidP="00155A9F">
      <w:pPr>
        <w:autoSpaceDE w:val="0"/>
        <w:autoSpaceDN w:val="0"/>
        <w:adjustRightInd w:val="0"/>
        <w:spacing w:after="0" w:line="240" w:lineRule="auto"/>
        <w:jc w:val="both"/>
        <w:rPr>
          <w:rFonts w:ascii="Arial" w:hAnsi="Arial" w:cs="Arial"/>
        </w:rPr>
      </w:pPr>
    </w:p>
    <w:p w14:paraId="7EE8BC72"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A comprehensive list of TIMs with FDA indications for RA as well as two investigational therapies presently undergoing FDA review were considered. Interventions of interest are listed by class below (biosimilar forms were included as data permitted).</w:t>
      </w:r>
    </w:p>
    <w:p w14:paraId="41924B70" w14:textId="77777777" w:rsidR="00155A9F" w:rsidRPr="00957A8C" w:rsidRDefault="00155A9F" w:rsidP="00155A9F">
      <w:pPr>
        <w:autoSpaceDE w:val="0"/>
        <w:autoSpaceDN w:val="0"/>
        <w:adjustRightInd w:val="0"/>
        <w:spacing w:after="0" w:line="240" w:lineRule="auto"/>
        <w:jc w:val="both"/>
        <w:rPr>
          <w:rFonts w:ascii="Arial" w:hAnsi="Arial" w:cs="Arial"/>
        </w:rPr>
      </w:pPr>
    </w:p>
    <w:p w14:paraId="2464E26D"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TNF inhibitors (adalimumab, certolizumab pegol, etanercept, golimumab, infliximab)</w:t>
      </w:r>
    </w:p>
    <w:p w14:paraId="4D4F482A"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CD20-directed cytolytic antibody (rituximab)</w:t>
      </w:r>
    </w:p>
    <w:p w14:paraId="7590418E"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T-cell receptor signaling inhibitor (abatacept)</w:t>
      </w:r>
    </w:p>
    <w:p w14:paraId="3A2FDDAC"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 xml:space="preserve">IL-6 inhibitors (tocilizumab, </w:t>
      </w:r>
      <w:proofErr w:type="spellStart"/>
      <w:r w:rsidRPr="00957A8C">
        <w:rPr>
          <w:rFonts w:ascii="Arial" w:hAnsi="Arial" w:cs="Arial"/>
        </w:rPr>
        <w:t>sarilumab</w:t>
      </w:r>
      <w:proofErr w:type="spellEnd"/>
      <w:r w:rsidRPr="00957A8C">
        <w:rPr>
          <w:rFonts w:ascii="Arial" w:hAnsi="Arial" w:cs="Arial"/>
        </w:rPr>
        <w:t xml:space="preserve"> [investigational])</w:t>
      </w:r>
    </w:p>
    <w:p w14:paraId="5957D757"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 xml:space="preserve">JAK inhibitors (tofacitinib, </w:t>
      </w:r>
      <w:proofErr w:type="spellStart"/>
      <w:r w:rsidRPr="00957A8C">
        <w:rPr>
          <w:rFonts w:ascii="Arial" w:hAnsi="Arial" w:cs="Arial"/>
        </w:rPr>
        <w:t>baricitinib</w:t>
      </w:r>
      <w:proofErr w:type="spellEnd"/>
      <w:r w:rsidRPr="00957A8C">
        <w:rPr>
          <w:rFonts w:ascii="Arial" w:hAnsi="Arial" w:cs="Arial"/>
        </w:rPr>
        <w:t xml:space="preserve"> [investigational])</w:t>
      </w:r>
    </w:p>
    <w:p w14:paraId="19ED05DD" w14:textId="77777777" w:rsidR="00155A9F" w:rsidRPr="00957A8C" w:rsidRDefault="00155A9F" w:rsidP="00155A9F">
      <w:pPr>
        <w:autoSpaceDE w:val="0"/>
        <w:autoSpaceDN w:val="0"/>
        <w:adjustRightInd w:val="0"/>
        <w:spacing w:after="0" w:line="240" w:lineRule="auto"/>
        <w:jc w:val="both"/>
        <w:rPr>
          <w:rFonts w:ascii="Arial" w:hAnsi="Arial" w:cs="Arial"/>
        </w:rPr>
      </w:pPr>
    </w:p>
    <w:p w14:paraId="3506C049"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Comparators</w:t>
      </w:r>
    </w:p>
    <w:p w14:paraId="5F0B718E" w14:textId="77777777" w:rsidR="00155A9F" w:rsidRPr="00957A8C" w:rsidRDefault="00155A9F" w:rsidP="00155A9F">
      <w:pPr>
        <w:autoSpaceDE w:val="0"/>
        <w:autoSpaceDN w:val="0"/>
        <w:adjustRightInd w:val="0"/>
        <w:spacing w:after="0" w:line="240" w:lineRule="auto"/>
        <w:jc w:val="both"/>
        <w:rPr>
          <w:rFonts w:ascii="Arial" w:hAnsi="Arial" w:cs="Arial"/>
        </w:rPr>
      </w:pPr>
    </w:p>
    <w:p w14:paraId="551047E6"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 xml:space="preserve">Most clinical trials of TIMs have been conducted in patients without adequate response to initial therapy with conventional DMARDs yet involved comparisons to conventional agents nonetheless for purposes of regulatory approval. Studies comparing TIMs to conventional DMARD monotherapy or combination therapy (including triple therapy with the conventional DMARDs methotrexate, sulfasalazine, and hydroxychloroquine) to assess performance versus historical </w:t>
      </w:r>
      <w:r w:rsidRPr="00957A8C">
        <w:rPr>
          <w:rFonts w:ascii="Arial" w:hAnsi="Arial" w:cs="Arial"/>
        </w:rPr>
        <w:lastRenderedPageBreak/>
        <w:t>standard treatments, but also evaluated head-to-head studies between TIMs to evaluate for more contemporary comparisons were considered. Conventional DMARDs were included regardless of treatment delivery mechanism (e.g., oral vs. injectable methotrexate).</w:t>
      </w:r>
    </w:p>
    <w:p w14:paraId="6CA3314C" w14:textId="77777777" w:rsidR="00155A9F" w:rsidRPr="00957A8C" w:rsidRDefault="00155A9F" w:rsidP="00155A9F">
      <w:pPr>
        <w:autoSpaceDE w:val="0"/>
        <w:autoSpaceDN w:val="0"/>
        <w:adjustRightInd w:val="0"/>
        <w:spacing w:after="0" w:line="240" w:lineRule="auto"/>
        <w:jc w:val="both"/>
        <w:rPr>
          <w:rFonts w:ascii="Arial" w:hAnsi="Arial" w:cs="Arial"/>
        </w:rPr>
      </w:pPr>
    </w:p>
    <w:p w14:paraId="4BA71C48"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Outcomes</w:t>
      </w:r>
    </w:p>
    <w:p w14:paraId="64F4D0BE" w14:textId="77777777" w:rsidR="00155A9F" w:rsidRPr="00957A8C" w:rsidRDefault="00155A9F" w:rsidP="00155A9F">
      <w:pPr>
        <w:autoSpaceDE w:val="0"/>
        <w:autoSpaceDN w:val="0"/>
        <w:adjustRightInd w:val="0"/>
        <w:spacing w:after="0" w:line="240" w:lineRule="auto"/>
        <w:jc w:val="both"/>
        <w:rPr>
          <w:rFonts w:ascii="Arial" w:hAnsi="Arial" w:cs="Arial"/>
          <w:b/>
          <w:bCs/>
          <w:i/>
          <w:iCs/>
        </w:rPr>
      </w:pPr>
    </w:p>
    <w:p w14:paraId="1EF8FA05"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Key clinical outcomes associated with RA, are noted below.</w:t>
      </w:r>
    </w:p>
    <w:p w14:paraId="509C41FF" w14:textId="77777777" w:rsidR="00155A9F" w:rsidRPr="00957A8C" w:rsidRDefault="00155A9F" w:rsidP="00155A9F">
      <w:pPr>
        <w:autoSpaceDE w:val="0"/>
        <w:autoSpaceDN w:val="0"/>
        <w:adjustRightInd w:val="0"/>
        <w:spacing w:after="0" w:line="240" w:lineRule="auto"/>
        <w:jc w:val="both"/>
        <w:rPr>
          <w:rFonts w:ascii="Arial" w:hAnsi="Arial" w:cs="Arial"/>
        </w:rPr>
      </w:pPr>
    </w:p>
    <w:p w14:paraId="159CA59C"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Mortality</w:t>
      </w:r>
    </w:p>
    <w:p w14:paraId="358A2093" w14:textId="77777777" w:rsidR="00155A9F" w:rsidRPr="00957A8C" w:rsidRDefault="00155A9F" w:rsidP="00155A9F">
      <w:pPr>
        <w:pStyle w:val="ListParagraph"/>
        <w:numPr>
          <w:ilvl w:val="0"/>
          <w:numId w:val="1"/>
        </w:numPr>
        <w:autoSpaceDE w:val="0"/>
        <w:autoSpaceDN w:val="0"/>
        <w:adjustRightInd w:val="0"/>
        <w:spacing w:after="0" w:line="240" w:lineRule="auto"/>
        <w:jc w:val="both"/>
        <w:rPr>
          <w:rFonts w:ascii="Arial" w:hAnsi="Arial" w:cs="Arial"/>
        </w:rPr>
      </w:pPr>
      <w:r w:rsidRPr="00957A8C">
        <w:rPr>
          <w:rFonts w:ascii="Arial" w:hAnsi="Arial" w:cs="Arial"/>
        </w:rPr>
        <w:t>Standardized criteria for RA treatment response (e.g., ACR20, ACR50, and ACR70, area under-the-curve analysis)</w:t>
      </w:r>
    </w:p>
    <w:p w14:paraId="0F106526"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Measures of disease activity, remission, and remission loss (e.g., DAS28, CDAI, SDAI)</w:t>
      </w:r>
    </w:p>
    <w:p w14:paraId="030509B2"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Radiographic evidence of structural damage</w:t>
      </w:r>
    </w:p>
    <w:p w14:paraId="7351AF8D"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Disease-specific and general health-related quality of life (e.g., HAQ-DI, SF-36)</w:t>
      </w:r>
    </w:p>
    <w:p w14:paraId="1FC8B5C7"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Pain (e.g., visual analog scales)</w:t>
      </w:r>
    </w:p>
    <w:p w14:paraId="71F25FF1"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Other patient-reported outcomes (e.g., patient satisfaction, fatigue, morning joint stiffness)</w:t>
      </w:r>
    </w:p>
    <w:p w14:paraId="7A5799C8"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Productivity loss and caregiver burden</w:t>
      </w:r>
    </w:p>
    <w:p w14:paraId="0DB389F7"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Requirements for joint replacement or other surgical intervention</w:t>
      </w:r>
    </w:p>
    <w:p w14:paraId="3BC08965"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Utilization of healthcare resources (e.g., hospitalization, rehabilitation, assisted living)</w:t>
      </w:r>
    </w:p>
    <w:p w14:paraId="6463B82A"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Cardiovascular events</w:t>
      </w:r>
    </w:p>
    <w:p w14:paraId="609D003E"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Treatment-related adverse events (e.g., serious infection, malignancy, liver abnormalities)</w:t>
      </w:r>
    </w:p>
    <w:p w14:paraId="021F3454" w14:textId="77777777" w:rsidR="00155A9F" w:rsidRPr="00957A8C" w:rsidRDefault="00155A9F" w:rsidP="00155A9F">
      <w:pPr>
        <w:pStyle w:val="ListParagraph"/>
        <w:numPr>
          <w:ilvl w:val="0"/>
          <w:numId w:val="2"/>
        </w:numPr>
        <w:autoSpaceDE w:val="0"/>
        <w:autoSpaceDN w:val="0"/>
        <w:adjustRightInd w:val="0"/>
        <w:spacing w:after="0" w:line="240" w:lineRule="auto"/>
        <w:jc w:val="both"/>
        <w:rPr>
          <w:rFonts w:ascii="Arial" w:hAnsi="Arial" w:cs="Arial"/>
        </w:rPr>
      </w:pPr>
      <w:r w:rsidRPr="00957A8C">
        <w:rPr>
          <w:rFonts w:ascii="Arial" w:hAnsi="Arial" w:cs="Arial"/>
        </w:rPr>
        <w:t>Costs and cost-effectiveness of TIMs</w:t>
      </w:r>
    </w:p>
    <w:p w14:paraId="022719EA" w14:textId="77777777" w:rsidR="00155A9F" w:rsidRPr="00957A8C" w:rsidRDefault="00155A9F" w:rsidP="00155A9F">
      <w:pPr>
        <w:autoSpaceDE w:val="0"/>
        <w:autoSpaceDN w:val="0"/>
        <w:adjustRightInd w:val="0"/>
        <w:spacing w:after="0" w:line="240" w:lineRule="auto"/>
        <w:jc w:val="both"/>
        <w:rPr>
          <w:rFonts w:ascii="Arial" w:hAnsi="Arial" w:cs="Arial"/>
        </w:rPr>
      </w:pPr>
    </w:p>
    <w:p w14:paraId="3119DD9C"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The impact of dose increases, dose decreases, and drug cessation during periods of sustained control or remission on long-term outcomes, as well as the effects of dose levels on clinical outcomes and the rates of serious adverse events were also assessed. Information on the clinical rationale for dose adjustments were used for informative purposes when available.</w:t>
      </w:r>
    </w:p>
    <w:p w14:paraId="48576B9B" w14:textId="77777777" w:rsidR="00155A9F" w:rsidRPr="00957A8C" w:rsidRDefault="00155A9F" w:rsidP="00155A9F">
      <w:pPr>
        <w:autoSpaceDE w:val="0"/>
        <w:autoSpaceDN w:val="0"/>
        <w:adjustRightInd w:val="0"/>
        <w:spacing w:after="0" w:line="240" w:lineRule="auto"/>
        <w:jc w:val="both"/>
        <w:rPr>
          <w:rFonts w:ascii="Arial" w:hAnsi="Arial" w:cs="Arial"/>
        </w:rPr>
      </w:pPr>
    </w:p>
    <w:p w14:paraId="5CC7E582"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Timing</w:t>
      </w:r>
    </w:p>
    <w:p w14:paraId="7BBCA203" w14:textId="77777777" w:rsidR="00155A9F" w:rsidRPr="00957A8C" w:rsidRDefault="00155A9F" w:rsidP="00155A9F">
      <w:pPr>
        <w:autoSpaceDE w:val="0"/>
        <w:autoSpaceDN w:val="0"/>
        <w:adjustRightInd w:val="0"/>
        <w:spacing w:after="0" w:line="240" w:lineRule="auto"/>
        <w:jc w:val="both"/>
        <w:rPr>
          <w:rFonts w:ascii="Arial" w:hAnsi="Arial" w:cs="Arial"/>
          <w:b/>
          <w:bCs/>
          <w:i/>
          <w:iCs/>
        </w:rPr>
      </w:pPr>
    </w:p>
    <w:p w14:paraId="0EA03B9D"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Evidence on intervention effectiveness was derived from studies of at least six months’ duration, while information on potential harms was obtained from studies of at least three months’ follow-up.</w:t>
      </w:r>
    </w:p>
    <w:p w14:paraId="341BA684" w14:textId="77777777" w:rsidR="00155A9F" w:rsidRPr="00957A8C" w:rsidRDefault="00155A9F" w:rsidP="00155A9F">
      <w:pPr>
        <w:autoSpaceDE w:val="0"/>
        <w:autoSpaceDN w:val="0"/>
        <w:adjustRightInd w:val="0"/>
        <w:spacing w:after="0" w:line="240" w:lineRule="auto"/>
        <w:jc w:val="both"/>
        <w:rPr>
          <w:rFonts w:ascii="Arial" w:hAnsi="Arial" w:cs="Arial"/>
          <w:b/>
          <w:bCs/>
          <w:i/>
          <w:iCs/>
        </w:rPr>
      </w:pPr>
    </w:p>
    <w:p w14:paraId="23CFDD70"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Settings</w:t>
      </w:r>
    </w:p>
    <w:p w14:paraId="786ED01A" w14:textId="77777777" w:rsidR="00155A9F" w:rsidRPr="00957A8C" w:rsidRDefault="00155A9F" w:rsidP="00155A9F">
      <w:pPr>
        <w:autoSpaceDE w:val="0"/>
        <w:autoSpaceDN w:val="0"/>
        <w:adjustRightInd w:val="0"/>
        <w:spacing w:after="0" w:line="240" w:lineRule="auto"/>
        <w:jc w:val="both"/>
        <w:rPr>
          <w:rFonts w:ascii="Arial" w:hAnsi="Arial" w:cs="Arial"/>
          <w:b/>
          <w:bCs/>
          <w:i/>
          <w:iCs/>
        </w:rPr>
      </w:pPr>
    </w:p>
    <w:p w14:paraId="4E325B0C"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All settings were considered, including home and other outpatient settings, as well as ambulatory and hospital-based infusion centers.</w:t>
      </w:r>
    </w:p>
    <w:p w14:paraId="7CDBC0E2" w14:textId="77777777" w:rsidR="00155A9F" w:rsidRDefault="00155A9F" w:rsidP="00155A9F">
      <w:pPr>
        <w:autoSpaceDE w:val="0"/>
        <w:autoSpaceDN w:val="0"/>
        <w:adjustRightInd w:val="0"/>
        <w:spacing w:after="0" w:line="240" w:lineRule="auto"/>
        <w:jc w:val="both"/>
        <w:rPr>
          <w:rFonts w:ascii="Arial" w:hAnsi="Arial" w:cs="Arial"/>
          <w:sz w:val="18"/>
          <w:szCs w:val="18"/>
        </w:rPr>
      </w:pPr>
    </w:p>
    <w:p w14:paraId="1583A307" w14:textId="77777777" w:rsidR="00155A9F" w:rsidRDefault="00155A9F" w:rsidP="00155A9F">
      <w:pPr>
        <w:autoSpaceDE w:val="0"/>
        <w:autoSpaceDN w:val="0"/>
        <w:adjustRightInd w:val="0"/>
        <w:spacing w:after="0" w:line="240" w:lineRule="auto"/>
        <w:jc w:val="both"/>
        <w:rPr>
          <w:rFonts w:ascii="Arial" w:hAnsi="Arial" w:cs="Arial"/>
          <w:sz w:val="18"/>
          <w:szCs w:val="18"/>
        </w:rPr>
      </w:pPr>
    </w:p>
    <w:p w14:paraId="76120002" w14:textId="77777777" w:rsidR="00155A9F" w:rsidRPr="00957A8C" w:rsidRDefault="00155A9F" w:rsidP="00155A9F">
      <w:pPr>
        <w:autoSpaceDE w:val="0"/>
        <w:autoSpaceDN w:val="0"/>
        <w:adjustRightInd w:val="0"/>
        <w:spacing w:after="0" w:line="240" w:lineRule="auto"/>
        <w:jc w:val="both"/>
        <w:rPr>
          <w:rFonts w:ascii="Arial" w:hAnsi="Arial" w:cs="Arial"/>
          <w:b/>
          <w:bCs/>
          <w:i/>
          <w:iCs/>
        </w:rPr>
      </w:pPr>
      <w:r w:rsidRPr="00957A8C">
        <w:rPr>
          <w:rFonts w:ascii="Arial" w:hAnsi="Arial" w:cs="Arial"/>
          <w:b/>
          <w:bCs/>
          <w:i/>
          <w:iCs/>
        </w:rPr>
        <w:t>Additional scope descriptions</w:t>
      </w:r>
    </w:p>
    <w:p w14:paraId="2B973CF9" w14:textId="77777777" w:rsidR="00155A9F" w:rsidRDefault="00155A9F" w:rsidP="00155A9F">
      <w:pPr>
        <w:autoSpaceDE w:val="0"/>
        <w:autoSpaceDN w:val="0"/>
        <w:adjustRightInd w:val="0"/>
        <w:spacing w:after="0" w:line="240" w:lineRule="auto"/>
        <w:jc w:val="both"/>
        <w:rPr>
          <w:rFonts w:ascii="Arial" w:hAnsi="Arial" w:cs="Arial"/>
          <w:sz w:val="18"/>
          <w:szCs w:val="18"/>
        </w:rPr>
      </w:pPr>
    </w:p>
    <w:p w14:paraId="640AD3D4" w14:textId="77777777" w:rsidR="00155A9F" w:rsidRPr="00957A8C" w:rsidRDefault="00155A9F" w:rsidP="00155A9F">
      <w:pPr>
        <w:autoSpaceDE w:val="0"/>
        <w:autoSpaceDN w:val="0"/>
        <w:adjustRightInd w:val="0"/>
        <w:spacing w:after="0" w:line="240" w:lineRule="auto"/>
        <w:jc w:val="both"/>
        <w:rPr>
          <w:rFonts w:ascii="Arial" w:hAnsi="Arial" w:cs="Arial"/>
        </w:rPr>
      </w:pPr>
      <w:r w:rsidRPr="00957A8C">
        <w:rPr>
          <w:rFonts w:ascii="Arial" w:hAnsi="Arial" w:cs="Arial"/>
        </w:rPr>
        <w:t>Data and evidence from randomized controlled trials, systematic reviews, and</w:t>
      </w:r>
      <w:r>
        <w:rPr>
          <w:rFonts w:ascii="Arial" w:hAnsi="Arial" w:cs="Arial"/>
        </w:rPr>
        <w:t xml:space="preserve"> </w:t>
      </w:r>
      <w:r w:rsidRPr="00957A8C">
        <w:rPr>
          <w:rFonts w:ascii="Arial" w:hAnsi="Arial" w:cs="Arial"/>
        </w:rPr>
        <w:t>comparative cohort studies were assembled and reviewed; the focus in cohort studies was primarily</w:t>
      </w:r>
      <w:r>
        <w:rPr>
          <w:rFonts w:ascii="Arial" w:hAnsi="Arial" w:cs="Arial"/>
        </w:rPr>
        <w:t xml:space="preserve"> </w:t>
      </w:r>
      <w:r w:rsidRPr="00957A8C">
        <w:rPr>
          <w:rFonts w:ascii="Arial" w:hAnsi="Arial" w:cs="Arial"/>
        </w:rPr>
        <w:t xml:space="preserve">on long-term outcomes and uncommon adverse events. </w:t>
      </w:r>
      <w:r>
        <w:rPr>
          <w:rFonts w:ascii="Arial" w:hAnsi="Arial" w:cs="Arial"/>
        </w:rPr>
        <w:t>The</w:t>
      </w:r>
      <w:r w:rsidRPr="00957A8C">
        <w:rPr>
          <w:rFonts w:ascii="Arial" w:hAnsi="Arial" w:cs="Arial"/>
        </w:rPr>
        <w:t xml:space="preserve"> evidence </w:t>
      </w:r>
      <w:proofErr w:type="gramStart"/>
      <w:r w:rsidRPr="00957A8C">
        <w:rPr>
          <w:rFonts w:ascii="Arial" w:hAnsi="Arial" w:cs="Arial"/>
        </w:rPr>
        <w:t>review</w:t>
      </w:r>
      <w:proofErr w:type="gramEnd"/>
      <w:r w:rsidRPr="00957A8C">
        <w:rPr>
          <w:rFonts w:ascii="Arial" w:hAnsi="Arial" w:cs="Arial"/>
        </w:rPr>
        <w:t xml:space="preserve"> included input from</w:t>
      </w:r>
      <w:r>
        <w:rPr>
          <w:rFonts w:ascii="Arial" w:hAnsi="Arial" w:cs="Arial"/>
        </w:rPr>
        <w:t xml:space="preserve"> </w:t>
      </w:r>
      <w:r w:rsidRPr="00957A8C">
        <w:rPr>
          <w:rFonts w:ascii="Arial" w:hAnsi="Arial" w:cs="Arial"/>
        </w:rPr>
        <w:t>patients and patient advocacy organizations, data from regulatory documents, information</w:t>
      </w:r>
      <w:r>
        <w:rPr>
          <w:rFonts w:ascii="Arial" w:hAnsi="Arial" w:cs="Arial"/>
        </w:rPr>
        <w:t xml:space="preserve"> </w:t>
      </w:r>
      <w:r w:rsidRPr="00957A8C">
        <w:rPr>
          <w:rFonts w:ascii="Arial" w:hAnsi="Arial" w:cs="Arial"/>
        </w:rPr>
        <w:t>submitted by manufacturers, and other grey literature when the evidence met ICER standards</w:t>
      </w:r>
      <w:r>
        <w:rPr>
          <w:rFonts w:ascii="Arial" w:hAnsi="Arial" w:cs="Arial"/>
        </w:rPr>
        <w:t>.</w:t>
      </w:r>
    </w:p>
    <w:p w14:paraId="0E6D4EC6" w14:textId="77777777" w:rsidR="00155A9F" w:rsidRDefault="00155A9F" w:rsidP="00155A9F">
      <w:pPr>
        <w:rPr>
          <w:rFonts w:ascii="Arial" w:hAnsi="Arial" w:cs="Arial"/>
        </w:rPr>
      </w:pPr>
      <w:r>
        <w:rPr>
          <w:rFonts w:ascii="Arial" w:hAnsi="Arial" w:cs="Arial"/>
        </w:rPr>
        <w:br w:type="page"/>
      </w:r>
    </w:p>
    <w:p w14:paraId="1273C4D8" w14:textId="01D6485F" w:rsidR="00155A9F" w:rsidRDefault="00155A9F" w:rsidP="00155A9F">
      <w:pPr>
        <w:pStyle w:val="Heading2"/>
      </w:pPr>
      <w:r w:rsidRPr="002C4697">
        <w:rPr>
          <w:b/>
          <w:bCs/>
        </w:rPr>
        <w:lastRenderedPageBreak/>
        <w:t>PICOTS (Population, Intervention, Comparators, Outcomes, Timing, and Settings) eligibility criteria for Tice et al, 2020</w:t>
      </w:r>
      <w:r>
        <w:t xml:space="preserve"> </w:t>
      </w:r>
      <w:r w:rsidRPr="00EC315E">
        <w:fldChar w:fldCharType="begin"/>
      </w:r>
      <w:r>
        <w:instrText xml:space="preserve"> ADDIN EN.CITE &lt;EndNote&gt;&lt;Cite&gt;&lt;Author&gt;Tice J&lt;/Author&gt;&lt;Year&gt;2020&lt;/Year&gt;&lt;RecNum&gt;11&lt;/RecNum&gt;&lt;DisplayText&gt;(2)&lt;/DisplayText&gt;&lt;record&gt;&lt;rec-number&gt;11&lt;/rec-number&gt;&lt;foreign-keys&gt;&lt;key app="EN" db-id="52add0exmzfs0metfz0pt95fepw9t2z525xs" timestamp="1603879556"&gt;11&lt;/key&gt;&lt;/foreign-keys&gt;&lt;ref-type name="Journal Article"&gt;17&lt;/ref-type&gt;&lt;contributors&gt;&lt;authors&gt;&lt;author&gt;Tice J, Kumar V, Chapman R, Walsh J, Herron-Smith S, Cianciolo L, Bradt P, Pearson S&lt;/author&gt;&lt;/authors&gt;&lt;/contributors&gt;&lt;titles&gt;&lt;title&gt;Janus Kinase Inhibitors and Biosimilars for Rheumatoid Arthritis&lt;/title&gt;&lt;secondary-title&gt;Institute for Clinical and Economic Review&lt;/secondary-title&gt;&lt;/titles&gt;&lt;periodical&gt;&lt;full-title&gt;Institute for Clinical and Economic Review&lt;/full-title&gt;&lt;/periodical&gt;&lt;dates&gt;&lt;year&gt;2020&lt;/year&gt;&lt;pub-dates&gt;&lt;date&gt;January 9&lt;/date&gt;&lt;/pub-dates&gt;&lt;/dates&gt;&lt;urls&gt;&lt;/urls&gt;&lt;/record&gt;&lt;/Cite&gt;&lt;/EndNote&gt;</w:instrText>
      </w:r>
      <w:r w:rsidRPr="00EC315E">
        <w:fldChar w:fldCharType="separate"/>
      </w:r>
      <w:r>
        <w:rPr>
          <w:noProof/>
        </w:rPr>
        <w:t>(</w:t>
      </w:r>
      <w:r w:rsidRPr="00477BAE">
        <w:t>2</w:t>
      </w:r>
      <w:r>
        <w:rPr>
          <w:noProof/>
        </w:rPr>
        <w:t>)</w:t>
      </w:r>
      <w:r w:rsidRPr="00EC315E">
        <w:fldChar w:fldCharType="end"/>
      </w:r>
    </w:p>
    <w:p w14:paraId="7E534DCF" w14:textId="77777777" w:rsidR="00155A9F" w:rsidRDefault="00155A9F" w:rsidP="00155A9F"/>
    <w:p w14:paraId="5CDCF901"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Populations </w:t>
      </w:r>
    </w:p>
    <w:p w14:paraId="2449907A" w14:textId="77777777" w:rsidR="00155A9F" w:rsidRPr="00957A8C" w:rsidRDefault="00155A9F" w:rsidP="00155A9F">
      <w:pPr>
        <w:pStyle w:val="Default"/>
        <w:jc w:val="both"/>
        <w:rPr>
          <w:rFonts w:ascii="Arial" w:hAnsi="Arial" w:cs="Arial"/>
          <w:sz w:val="22"/>
          <w:szCs w:val="22"/>
        </w:rPr>
      </w:pPr>
    </w:p>
    <w:p w14:paraId="35386E7D" w14:textId="77777777" w:rsidR="00155A9F" w:rsidRPr="00957A8C" w:rsidRDefault="00155A9F" w:rsidP="00155A9F">
      <w:pPr>
        <w:jc w:val="both"/>
        <w:rPr>
          <w:rFonts w:ascii="Arial" w:hAnsi="Arial" w:cs="Arial"/>
        </w:rPr>
      </w:pPr>
      <w:r w:rsidRPr="00957A8C">
        <w:rPr>
          <w:rFonts w:ascii="Arial" w:hAnsi="Arial" w:cs="Arial"/>
        </w:rPr>
        <w:t xml:space="preserve">The population focus for the review was adults ages 18 and older with moderately-to-severely active RA and inadequate response or intolerance to conventional DMARDs. Level of disease activity is defined according to validated and frequently used scales in RA (i.e., Disease Activity Score 28 [DAS28], Clinical Disease Activity Index [CDAI], Simplified Disease Activity Index [SDAI]). This review did not include children, adolescents, or adults with juvenile forms of RA or other inflammatory arthritis, now collectively known as juvenile idiopathic arthritis. </w:t>
      </w:r>
    </w:p>
    <w:p w14:paraId="50F386E7" w14:textId="77777777" w:rsidR="00155A9F" w:rsidRPr="00957A8C" w:rsidRDefault="00155A9F" w:rsidP="00155A9F">
      <w:pPr>
        <w:jc w:val="both"/>
        <w:rPr>
          <w:rFonts w:ascii="Arial" w:hAnsi="Arial" w:cs="Arial"/>
        </w:rPr>
      </w:pPr>
      <w:r w:rsidRPr="00957A8C">
        <w:rPr>
          <w:rFonts w:ascii="Arial" w:hAnsi="Arial" w:cs="Arial"/>
        </w:rPr>
        <w:t xml:space="preserve">Key subpopulations and/or data stratifications of interest included: (a) evaluation of both TIM-naïve patients </w:t>
      </w:r>
      <w:r w:rsidRPr="00957A8C">
        <w:rPr>
          <w:rFonts w:ascii="Arial" w:hAnsi="Arial" w:cs="Arial"/>
          <w:i/>
          <w:iCs/>
        </w:rPr>
        <w:t xml:space="preserve">and </w:t>
      </w:r>
      <w:r w:rsidRPr="00957A8C">
        <w:rPr>
          <w:rFonts w:ascii="Arial" w:hAnsi="Arial" w:cs="Arial"/>
        </w:rPr>
        <w:t>those with inadequate response or intolerance to initial TIM therapy and; (b) use of JAK inhibitors as monotherapy and in combination with conventional DMARDs. Additional subpopulations or stratifications of interest, including (c) presence of comorbidities (e.g., cardiovascular, interstitial lung disease, psychiatric, malignancy); (d) both “early” (i.e., within two years of symptom onset) and established RA; (e) seropositivity for prognostic markers such as anti-cyclic citrullinated peptide antibodies; (f) geography, in particular US-based versus non-US settings; and (g) study funding (i.e., industry-sponsored vs. other funding sources).</w:t>
      </w:r>
    </w:p>
    <w:p w14:paraId="298B2F6D"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Interventions </w:t>
      </w:r>
    </w:p>
    <w:p w14:paraId="5BA72477" w14:textId="77777777" w:rsidR="00155A9F" w:rsidRPr="00957A8C" w:rsidRDefault="00155A9F" w:rsidP="00155A9F">
      <w:pPr>
        <w:pStyle w:val="Default"/>
        <w:jc w:val="both"/>
        <w:rPr>
          <w:rFonts w:ascii="Arial" w:hAnsi="Arial" w:cs="Arial"/>
          <w:sz w:val="22"/>
          <w:szCs w:val="22"/>
        </w:rPr>
      </w:pPr>
    </w:p>
    <w:p w14:paraId="362EC817"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The interventions of interest for this review are listed below. </w:t>
      </w:r>
    </w:p>
    <w:p w14:paraId="3BBEF28C" w14:textId="77777777" w:rsidR="00155A9F" w:rsidRPr="00957A8C" w:rsidRDefault="00155A9F" w:rsidP="00155A9F">
      <w:pPr>
        <w:pStyle w:val="Default"/>
        <w:jc w:val="both"/>
        <w:rPr>
          <w:rFonts w:ascii="Arial" w:hAnsi="Arial" w:cs="Arial"/>
          <w:sz w:val="22"/>
          <w:szCs w:val="22"/>
        </w:rPr>
      </w:pPr>
    </w:p>
    <w:p w14:paraId="276BB6AF"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 </w:t>
      </w:r>
      <w:proofErr w:type="spellStart"/>
      <w:r w:rsidRPr="00957A8C">
        <w:rPr>
          <w:rFonts w:ascii="Arial" w:hAnsi="Arial" w:cs="Arial"/>
          <w:sz w:val="22"/>
          <w:szCs w:val="22"/>
        </w:rPr>
        <w:t>Upadacitinib</w:t>
      </w:r>
      <w:proofErr w:type="spellEnd"/>
      <w:r w:rsidRPr="00957A8C">
        <w:rPr>
          <w:rFonts w:ascii="Arial" w:hAnsi="Arial" w:cs="Arial"/>
          <w:sz w:val="22"/>
          <w:szCs w:val="22"/>
        </w:rPr>
        <w:t xml:space="preserve"> </w:t>
      </w:r>
    </w:p>
    <w:p w14:paraId="6A4C1889"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 Tofacitinib </w:t>
      </w:r>
    </w:p>
    <w:p w14:paraId="04562C1F"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 </w:t>
      </w:r>
      <w:proofErr w:type="spellStart"/>
      <w:r w:rsidRPr="00957A8C">
        <w:rPr>
          <w:rFonts w:ascii="Arial" w:hAnsi="Arial" w:cs="Arial"/>
          <w:sz w:val="22"/>
          <w:szCs w:val="22"/>
        </w:rPr>
        <w:t>Baricitinib</w:t>
      </w:r>
      <w:proofErr w:type="spellEnd"/>
      <w:r w:rsidRPr="00957A8C">
        <w:rPr>
          <w:rFonts w:ascii="Arial" w:hAnsi="Arial" w:cs="Arial"/>
          <w:sz w:val="22"/>
          <w:szCs w:val="22"/>
        </w:rPr>
        <w:t xml:space="preserve"> </w:t>
      </w:r>
    </w:p>
    <w:p w14:paraId="78E74766"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Biosimilar exemplar: infliximab-</w:t>
      </w:r>
      <w:proofErr w:type="spellStart"/>
      <w:r w:rsidRPr="00957A8C">
        <w:rPr>
          <w:rFonts w:ascii="Arial" w:hAnsi="Arial" w:cs="Arial"/>
          <w:sz w:val="22"/>
          <w:szCs w:val="22"/>
        </w:rPr>
        <w:t>dyyb</w:t>
      </w:r>
      <w:proofErr w:type="spellEnd"/>
      <w:r w:rsidRPr="00957A8C">
        <w:rPr>
          <w:rFonts w:ascii="Arial" w:hAnsi="Arial" w:cs="Arial"/>
          <w:sz w:val="22"/>
          <w:szCs w:val="22"/>
        </w:rPr>
        <w:t xml:space="preserve"> </w:t>
      </w:r>
    </w:p>
    <w:p w14:paraId="5BAAFF5A" w14:textId="77777777" w:rsidR="00155A9F" w:rsidRPr="00957A8C" w:rsidRDefault="00155A9F" w:rsidP="00155A9F">
      <w:pPr>
        <w:pStyle w:val="Default"/>
        <w:jc w:val="both"/>
        <w:rPr>
          <w:rFonts w:ascii="Arial" w:hAnsi="Arial" w:cs="Arial"/>
          <w:sz w:val="22"/>
          <w:szCs w:val="22"/>
        </w:rPr>
      </w:pPr>
    </w:p>
    <w:p w14:paraId="4A12FDBB"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Comparators </w:t>
      </w:r>
    </w:p>
    <w:p w14:paraId="559CC733" w14:textId="77777777" w:rsidR="00155A9F" w:rsidRPr="00957A8C" w:rsidRDefault="00155A9F" w:rsidP="00155A9F">
      <w:pPr>
        <w:pStyle w:val="Default"/>
        <w:jc w:val="both"/>
        <w:rPr>
          <w:rFonts w:ascii="Arial" w:hAnsi="Arial" w:cs="Arial"/>
          <w:sz w:val="22"/>
          <w:szCs w:val="22"/>
        </w:rPr>
      </w:pPr>
    </w:p>
    <w:p w14:paraId="7A92C850"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Studies comparing JAK inhibitors to conventional DMARD monotherapy or combination therapy (including triple therapy with the conventional DMARDs methotrexate, sulfasalazine, and hydroxychloroquine) to assess performance versus historical standard treatments as well as head-to-head studies between JAK inhibitors and TNF inhibitors (adalimumab [Humira®, AbbVie] in all cases) were included. Studies with an active comparator arm were preferred and placebo-controlled trials were included as necessary.</w:t>
      </w:r>
    </w:p>
    <w:p w14:paraId="6C1BAEA1" w14:textId="77777777" w:rsidR="00155A9F" w:rsidRPr="00957A8C" w:rsidRDefault="00155A9F" w:rsidP="00155A9F">
      <w:pPr>
        <w:pStyle w:val="Default"/>
        <w:jc w:val="both"/>
        <w:rPr>
          <w:rFonts w:ascii="Arial" w:hAnsi="Arial" w:cs="Arial"/>
          <w:sz w:val="22"/>
          <w:szCs w:val="22"/>
        </w:rPr>
      </w:pPr>
    </w:p>
    <w:p w14:paraId="7D074335"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Outcomes </w:t>
      </w:r>
    </w:p>
    <w:p w14:paraId="1AAA37AD" w14:textId="77777777" w:rsidR="00155A9F" w:rsidRPr="00957A8C" w:rsidRDefault="00155A9F" w:rsidP="00155A9F">
      <w:pPr>
        <w:pStyle w:val="Default"/>
        <w:jc w:val="both"/>
        <w:rPr>
          <w:rFonts w:ascii="Arial" w:hAnsi="Arial" w:cs="Arial"/>
          <w:sz w:val="22"/>
          <w:szCs w:val="22"/>
        </w:rPr>
      </w:pPr>
    </w:p>
    <w:p w14:paraId="0F269F39"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This review examined key clinical outcomes associated with RA. Because the recommended treat-to-target paradigm encourages switching therapy within three months for patients who do not achieve remission or low disease activity, measures of disease activity at that timepoint were prioritized. This review also included additional patient-reported outcomes as well as important clinical and health care utilization measures.</w:t>
      </w:r>
    </w:p>
    <w:p w14:paraId="57B70A19"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 </w:t>
      </w:r>
    </w:p>
    <w:p w14:paraId="240B4A5C"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Mortality </w:t>
      </w:r>
    </w:p>
    <w:p w14:paraId="603066C3"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Treatment response (e.g., ACR20, ACR50, and ACR70, area-under-the-curve analysis) </w:t>
      </w:r>
    </w:p>
    <w:p w14:paraId="3BE341A6"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lastRenderedPageBreak/>
        <w:t xml:space="preserve">Measures of disease activity, remission, and remission loss (e.g., DAS28, CDAI, SDAI) </w:t>
      </w:r>
    </w:p>
    <w:p w14:paraId="185A4BFB"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Radiographic evidence of structural damage </w:t>
      </w:r>
    </w:p>
    <w:p w14:paraId="5B21AB62"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Disease-specific and general health-related quality of life (e.g., Health Assessment Questionnaire for Rheumatoid Arthritis Disability Index [HAQ-DI], SF-36 [Short Form Survey]) </w:t>
      </w:r>
    </w:p>
    <w:p w14:paraId="35B8A837"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Pain (e.g., visual analog scales [VAS]) </w:t>
      </w:r>
    </w:p>
    <w:p w14:paraId="081A291D"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Other patient-reported outcomes (e.g., patient satisfaction, measures of fatigue, morning joint stiffness duration and severity) </w:t>
      </w:r>
    </w:p>
    <w:p w14:paraId="6EA7FCEC"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Productivity loss and caregiver impact </w:t>
      </w:r>
    </w:p>
    <w:p w14:paraId="3D9EDD33"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Requirements for joint replacement or other surgical intervention </w:t>
      </w:r>
    </w:p>
    <w:p w14:paraId="1298C3EC"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Utilization of key health care resources (e.g., hospitalization, rehabilitation, assisted living) </w:t>
      </w:r>
    </w:p>
    <w:p w14:paraId="09A0F8C6"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Cardiovascular events </w:t>
      </w:r>
    </w:p>
    <w:p w14:paraId="7F7474B4" w14:textId="77777777" w:rsidR="00155A9F" w:rsidRPr="00957A8C" w:rsidRDefault="00155A9F" w:rsidP="00155A9F">
      <w:pPr>
        <w:pStyle w:val="Default"/>
        <w:numPr>
          <w:ilvl w:val="0"/>
          <w:numId w:val="2"/>
        </w:numPr>
        <w:jc w:val="both"/>
        <w:rPr>
          <w:rFonts w:ascii="Arial" w:hAnsi="Arial" w:cs="Arial"/>
          <w:sz w:val="22"/>
          <w:szCs w:val="22"/>
        </w:rPr>
      </w:pPr>
      <w:r w:rsidRPr="00957A8C">
        <w:rPr>
          <w:rFonts w:ascii="Arial" w:hAnsi="Arial" w:cs="Arial"/>
          <w:sz w:val="22"/>
          <w:szCs w:val="22"/>
        </w:rPr>
        <w:t xml:space="preserve">Treatment-related adverse events (e.g., serious infection, malignancy, liver abnormalities, and both venous and arterial thrombosis). </w:t>
      </w:r>
    </w:p>
    <w:p w14:paraId="31AE271C" w14:textId="77777777" w:rsidR="00155A9F" w:rsidRPr="00957A8C" w:rsidRDefault="00155A9F" w:rsidP="00155A9F">
      <w:pPr>
        <w:pStyle w:val="Default"/>
        <w:jc w:val="both"/>
        <w:rPr>
          <w:rFonts w:ascii="Arial" w:hAnsi="Arial" w:cs="Arial"/>
          <w:sz w:val="22"/>
          <w:szCs w:val="22"/>
        </w:rPr>
      </w:pPr>
    </w:p>
    <w:p w14:paraId="011F319F"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Timing </w:t>
      </w:r>
    </w:p>
    <w:p w14:paraId="24BF4913" w14:textId="77777777" w:rsidR="00155A9F" w:rsidRPr="00957A8C" w:rsidRDefault="00155A9F" w:rsidP="00155A9F">
      <w:pPr>
        <w:pStyle w:val="Default"/>
        <w:jc w:val="both"/>
        <w:rPr>
          <w:rFonts w:ascii="Arial" w:hAnsi="Arial" w:cs="Arial"/>
          <w:sz w:val="22"/>
          <w:szCs w:val="22"/>
        </w:rPr>
      </w:pPr>
    </w:p>
    <w:p w14:paraId="59632D1A"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Studies of three- and six-months duration were prioritized for response to therapy, but long-term evidence was preferred for harms.</w:t>
      </w:r>
    </w:p>
    <w:p w14:paraId="4CC62390" w14:textId="77777777" w:rsidR="00155A9F" w:rsidRPr="00957A8C" w:rsidRDefault="00155A9F" w:rsidP="00155A9F">
      <w:pPr>
        <w:pStyle w:val="Default"/>
        <w:jc w:val="both"/>
        <w:rPr>
          <w:rFonts w:ascii="Arial" w:hAnsi="Arial" w:cs="Arial"/>
          <w:sz w:val="22"/>
          <w:szCs w:val="22"/>
        </w:rPr>
      </w:pPr>
    </w:p>
    <w:p w14:paraId="684F16B0" w14:textId="77777777" w:rsidR="00155A9F" w:rsidRPr="00957A8C" w:rsidRDefault="00155A9F" w:rsidP="00155A9F">
      <w:pPr>
        <w:pStyle w:val="Default"/>
        <w:jc w:val="both"/>
        <w:rPr>
          <w:rFonts w:ascii="Arial" w:hAnsi="Arial" w:cs="Arial"/>
          <w:b/>
          <w:bCs/>
          <w:i/>
          <w:iCs/>
          <w:sz w:val="22"/>
          <w:szCs w:val="22"/>
        </w:rPr>
      </w:pPr>
      <w:r w:rsidRPr="00957A8C">
        <w:rPr>
          <w:rFonts w:ascii="Arial" w:hAnsi="Arial" w:cs="Arial"/>
          <w:b/>
          <w:bCs/>
          <w:i/>
          <w:iCs/>
          <w:sz w:val="22"/>
          <w:szCs w:val="22"/>
        </w:rPr>
        <w:t xml:space="preserve">Settings </w:t>
      </w:r>
    </w:p>
    <w:p w14:paraId="3D2653CD" w14:textId="77777777" w:rsidR="00155A9F" w:rsidRPr="00957A8C" w:rsidRDefault="00155A9F" w:rsidP="00155A9F">
      <w:pPr>
        <w:pStyle w:val="Default"/>
        <w:jc w:val="both"/>
        <w:rPr>
          <w:rFonts w:ascii="Arial" w:hAnsi="Arial" w:cs="Arial"/>
          <w:sz w:val="22"/>
          <w:szCs w:val="22"/>
        </w:rPr>
      </w:pPr>
    </w:p>
    <w:p w14:paraId="0269AE9A"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All relevant settings were considered, including outpatient as well as ambulatory and hospital-based infusion centers. This review focused on studies pertinent to the US setting.</w:t>
      </w:r>
    </w:p>
    <w:p w14:paraId="2B5BF63B" w14:textId="77777777" w:rsidR="00155A9F" w:rsidRPr="00957A8C" w:rsidRDefault="00155A9F" w:rsidP="00155A9F">
      <w:pPr>
        <w:pStyle w:val="Default"/>
        <w:rPr>
          <w:sz w:val="22"/>
          <w:szCs w:val="22"/>
        </w:rPr>
      </w:pPr>
    </w:p>
    <w:p w14:paraId="0201F654" w14:textId="77777777" w:rsidR="00155A9F" w:rsidRPr="0057443E" w:rsidRDefault="00155A9F" w:rsidP="00155A9F">
      <w:pPr>
        <w:autoSpaceDE w:val="0"/>
        <w:autoSpaceDN w:val="0"/>
        <w:adjustRightInd w:val="0"/>
        <w:spacing w:after="0" w:line="240" w:lineRule="auto"/>
        <w:jc w:val="both"/>
        <w:rPr>
          <w:rFonts w:ascii="Arial" w:hAnsi="Arial" w:cs="Arial"/>
          <w:b/>
          <w:bCs/>
          <w:i/>
          <w:iCs/>
        </w:rPr>
      </w:pPr>
      <w:r w:rsidRPr="0057443E">
        <w:rPr>
          <w:rFonts w:ascii="Arial" w:hAnsi="Arial" w:cs="Arial"/>
          <w:b/>
          <w:bCs/>
          <w:i/>
          <w:iCs/>
        </w:rPr>
        <w:t>Additional scope descriptions</w:t>
      </w:r>
    </w:p>
    <w:p w14:paraId="2053A42C" w14:textId="77777777" w:rsidR="00155A9F" w:rsidRPr="00957A8C" w:rsidRDefault="00155A9F" w:rsidP="00155A9F">
      <w:pPr>
        <w:pStyle w:val="Default"/>
        <w:jc w:val="both"/>
        <w:rPr>
          <w:rFonts w:ascii="Arial" w:hAnsi="Arial" w:cs="Arial"/>
          <w:sz w:val="22"/>
          <w:szCs w:val="22"/>
        </w:rPr>
      </w:pPr>
    </w:p>
    <w:p w14:paraId="43CDF38B" w14:textId="77777777" w:rsidR="00155A9F" w:rsidRPr="00957A8C" w:rsidRDefault="00155A9F" w:rsidP="00155A9F">
      <w:pPr>
        <w:pStyle w:val="Default"/>
        <w:jc w:val="both"/>
        <w:rPr>
          <w:rFonts w:ascii="Arial" w:hAnsi="Arial" w:cs="Arial"/>
          <w:sz w:val="22"/>
          <w:szCs w:val="22"/>
        </w:rPr>
      </w:pPr>
      <w:r w:rsidRPr="00957A8C">
        <w:rPr>
          <w:rFonts w:ascii="Arial" w:hAnsi="Arial" w:cs="Arial"/>
          <w:sz w:val="22"/>
          <w:szCs w:val="22"/>
        </w:rPr>
        <w:t xml:space="preserve">Evidence was collected from randomized controlled trials (RCTs) as well as high-quality systematic reviews; high-quality comparative cohort studies were considered, particularly for long-term outcomes and uncommon adverse events. </w:t>
      </w:r>
      <w:r>
        <w:rPr>
          <w:rFonts w:ascii="Arial" w:hAnsi="Arial" w:cs="Arial"/>
          <w:sz w:val="22"/>
          <w:szCs w:val="22"/>
        </w:rPr>
        <w:t>The</w:t>
      </w:r>
      <w:r w:rsidRPr="00957A8C">
        <w:rPr>
          <w:rFonts w:ascii="Arial" w:hAnsi="Arial" w:cs="Arial"/>
          <w:sz w:val="22"/>
          <w:szCs w:val="22"/>
        </w:rPr>
        <w:t xml:space="preserve"> evidence </w:t>
      </w:r>
      <w:proofErr w:type="gramStart"/>
      <w:r w:rsidRPr="00957A8C">
        <w:rPr>
          <w:rFonts w:ascii="Arial" w:hAnsi="Arial" w:cs="Arial"/>
          <w:sz w:val="22"/>
          <w:szCs w:val="22"/>
        </w:rPr>
        <w:t>review</w:t>
      </w:r>
      <w:proofErr w:type="gramEnd"/>
      <w:r w:rsidRPr="00957A8C">
        <w:rPr>
          <w:rFonts w:ascii="Arial" w:hAnsi="Arial" w:cs="Arial"/>
          <w:sz w:val="22"/>
          <w:szCs w:val="22"/>
        </w:rPr>
        <w:t xml:space="preserve"> include</w:t>
      </w:r>
      <w:r>
        <w:rPr>
          <w:rFonts w:ascii="Arial" w:hAnsi="Arial" w:cs="Arial"/>
          <w:sz w:val="22"/>
          <w:szCs w:val="22"/>
        </w:rPr>
        <w:t>d</w:t>
      </w:r>
      <w:r w:rsidRPr="00957A8C">
        <w:rPr>
          <w:rFonts w:ascii="Arial" w:hAnsi="Arial" w:cs="Arial"/>
          <w:sz w:val="22"/>
          <w:szCs w:val="22"/>
        </w:rPr>
        <w:t xml:space="preserve"> input from patients and patient advocacy organizations, data from regulatory documents, information submitted by manufacturers, and other grey literature when the evidence meets ICER standards</w:t>
      </w:r>
      <w:r>
        <w:rPr>
          <w:rFonts w:ascii="Arial" w:hAnsi="Arial" w:cs="Arial"/>
          <w:sz w:val="22"/>
          <w:szCs w:val="22"/>
        </w:rPr>
        <w:t>.</w:t>
      </w:r>
    </w:p>
    <w:p w14:paraId="4FE4B632" w14:textId="77777777" w:rsidR="00477BAE" w:rsidRDefault="00477BAE"/>
    <w:p w14:paraId="56F8C472" w14:textId="77777777" w:rsidR="00477BAE" w:rsidRDefault="00477BAE"/>
    <w:p w14:paraId="614518BB" w14:textId="77777777" w:rsidR="00775955" w:rsidRPr="00775955" w:rsidRDefault="00477BAE" w:rsidP="00775955">
      <w:pPr>
        <w:pStyle w:val="EndNoteBibliography"/>
        <w:spacing w:after="0"/>
        <w:rPr>
          <w:rFonts w:ascii="Arial" w:hAnsi="Arial" w:cs="Arial"/>
        </w:rPr>
      </w:pPr>
      <w:r>
        <w:fldChar w:fldCharType="begin"/>
      </w:r>
      <w:r>
        <w:instrText xml:space="preserve"> ADDIN EN.REFLIST </w:instrText>
      </w:r>
      <w:r>
        <w:fldChar w:fldCharType="separate"/>
      </w:r>
      <w:r w:rsidR="00775955" w:rsidRPr="00775955">
        <w:t>1.</w:t>
      </w:r>
      <w:r w:rsidR="00775955" w:rsidRPr="00775955">
        <w:tab/>
      </w:r>
      <w:r w:rsidR="00775955" w:rsidRPr="00775955">
        <w:rPr>
          <w:rFonts w:ascii="Arial" w:hAnsi="Arial" w:cs="Arial"/>
        </w:rPr>
        <w:t>Ollendorf D, Chapman R, Pearson S, Kumar V, Agboola F, Synnott P, et al. Targeted immune modulators for rheumatoid arthritis: effectiveness &amp; value. Institute for Clinical and Economic Review. 2017.</w:t>
      </w:r>
    </w:p>
    <w:p w14:paraId="698244BE" w14:textId="77777777" w:rsidR="00775955" w:rsidRPr="00775955" w:rsidRDefault="00775955" w:rsidP="00775955">
      <w:pPr>
        <w:pStyle w:val="EndNoteBibliography"/>
        <w:rPr>
          <w:rFonts w:ascii="Arial" w:hAnsi="Arial" w:cs="Arial"/>
        </w:rPr>
      </w:pPr>
      <w:r w:rsidRPr="00775955">
        <w:rPr>
          <w:rFonts w:ascii="Arial" w:hAnsi="Arial" w:cs="Arial"/>
        </w:rPr>
        <w:t>2.</w:t>
      </w:r>
      <w:r w:rsidRPr="00775955">
        <w:rPr>
          <w:rFonts w:ascii="Arial" w:hAnsi="Arial" w:cs="Arial"/>
        </w:rPr>
        <w:tab/>
        <w:t>Tice J KV, Chapman R, Walsh J, Herron-Smith S, Cianciolo L, Bradt P, Pearson S. Janus Kinase Inhibitors and Biosimilars for Rheumatoid Arthritis. Institute for Clinical and Economic Review. 2020.</w:t>
      </w:r>
    </w:p>
    <w:p w14:paraId="0CA67185" w14:textId="548E132B" w:rsidR="00EF1DED" w:rsidRDefault="00477BAE">
      <w:r>
        <w:fldChar w:fldCharType="end"/>
      </w:r>
      <w:bookmarkStart w:id="0" w:name="_GoBack"/>
      <w:bookmarkEnd w:id="0"/>
    </w:p>
    <w:sectPr w:rsidR="00EF1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0734C"/>
    <w:multiLevelType w:val="hybridMultilevel"/>
    <w:tmpl w:val="A93AA12A"/>
    <w:lvl w:ilvl="0" w:tplc="A156D554">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7C1710"/>
    <w:multiLevelType w:val="hybridMultilevel"/>
    <w:tmpl w:val="CCBE2520"/>
    <w:lvl w:ilvl="0" w:tplc="A156D554">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add0exmzfs0metfz0pt95fepw9t2z525xs&quot;&gt;RA Manuscript&lt;record-ids&gt;&lt;item&gt;10&lt;/item&gt;&lt;item&gt;11&lt;/item&gt;&lt;/record-ids&gt;&lt;/item&gt;&lt;/Libraries&gt;"/>
  </w:docVars>
  <w:rsids>
    <w:rsidRoot w:val="00155A9F"/>
    <w:rsid w:val="00155A9F"/>
    <w:rsid w:val="00477BAE"/>
    <w:rsid w:val="00522661"/>
    <w:rsid w:val="00775955"/>
    <w:rsid w:val="00B42315"/>
    <w:rsid w:val="00EF1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98D71"/>
  <w15:chartTrackingRefBased/>
  <w15:docId w15:val="{CF563260-0F5E-46EA-A5A2-EFD6BD47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55A9F"/>
  </w:style>
  <w:style w:type="paragraph" w:styleId="Heading2">
    <w:name w:val="heading 2"/>
    <w:basedOn w:val="Normal"/>
    <w:next w:val="Normal"/>
    <w:link w:val="Heading2Char"/>
    <w:uiPriority w:val="9"/>
    <w:unhideWhenUsed/>
    <w:qFormat/>
    <w:rsid w:val="00155A9F"/>
    <w:pPr>
      <w:keepNext/>
      <w:keepLines/>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5A9F"/>
    <w:rPr>
      <w:rFonts w:ascii="Arial" w:eastAsiaTheme="majorEastAsia" w:hAnsi="Arial" w:cstheme="majorBidi"/>
      <w:sz w:val="24"/>
      <w:szCs w:val="26"/>
    </w:rPr>
  </w:style>
  <w:style w:type="paragraph" w:styleId="ListParagraph">
    <w:name w:val="List Paragraph"/>
    <w:basedOn w:val="Normal"/>
    <w:link w:val="ListParagraphChar"/>
    <w:uiPriority w:val="34"/>
    <w:qFormat/>
    <w:rsid w:val="00155A9F"/>
    <w:pPr>
      <w:spacing w:line="480" w:lineRule="auto"/>
      <w:ind w:left="720"/>
      <w:contextualSpacing/>
    </w:pPr>
  </w:style>
  <w:style w:type="character" w:customStyle="1" w:styleId="ListParagraphChar">
    <w:name w:val="List Paragraph Char"/>
    <w:basedOn w:val="DefaultParagraphFont"/>
    <w:link w:val="ListParagraph"/>
    <w:uiPriority w:val="34"/>
    <w:rsid w:val="00155A9F"/>
  </w:style>
  <w:style w:type="character" w:styleId="Hyperlink">
    <w:name w:val="Hyperlink"/>
    <w:basedOn w:val="DefaultParagraphFont"/>
    <w:uiPriority w:val="99"/>
    <w:unhideWhenUsed/>
    <w:rsid w:val="00155A9F"/>
    <w:rPr>
      <w:color w:val="0000FF"/>
      <w:u w:val="single"/>
    </w:rPr>
  </w:style>
  <w:style w:type="paragraph" w:customStyle="1" w:styleId="Default">
    <w:name w:val="Default"/>
    <w:rsid w:val="00155A9F"/>
    <w:pPr>
      <w:autoSpaceDE w:val="0"/>
      <w:autoSpaceDN w:val="0"/>
      <w:adjustRightInd w:val="0"/>
      <w:spacing w:after="0" w:line="240" w:lineRule="auto"/>
    </w:pPr>
    <w:rPr>
      <w:rFonts w:ascii="Calibri" w:hAnsi="Calibri" w:cs="Calibri"/>
      <w:color w:val="000000"/>
      <w:sz w:val="24"/>
      <w:szCs w:val="24"/>
    </w:rPr>
  </w:style>
  <w:style w:type="paragraph" w:customStyle="1" w:styleId="EndNoteBibliographyTitle">
    <w:name w:val="EndNote Bibliography Title"/>
    <w:basedOn w:val="Normal"/>
    <w:link w:val="EndNoteBibliographyTitleChar"/>
    <w:rsid w:val="00477BAE"/>
    <w:pPr>
      <w:spacing w:after="0"/>
      <w:jc w:val="center"/>
    </w:pPr>
    <w:rPr>
      <w:rFonts w:ascii="Calibri" w:hAnsi="Calibri" w:cs="Calibri"/>
      <w:noProof/>
    </w:rPr>
  </w:style>
  <w:style w:type="character" w:customStyle="1" w:styleId="EndNoteBibliographyTitleChar">
    <w:name w:val="EndNote Bibliography Title Char"/>
    <w:basedOn w:val="Heading2Char"/>
    <w:link w:val="EndNoteBibliographyTitle"/>
    <w:rsid w:val="00477BAE"/>
    <w:rPr>
      <w:rFonts w:ascii="Calibri" w:eastAsiaTheme="majorEastAsia" w:hAnsi="Calibri" w:cs="Calibri"/>
      <w:noProof/>
      <w:sz w:val="24"/>
      <w:szCs w:val="26"/>
    </w:rPr>
  </w:style>
  <w:style w:type="paragraph" w:customStyle="1" w:styleId="EndNoteBibliography">
    <w:name w:val="EndNote Bibliography"/>
    <w:basedOn w:val="Normal"/>
    <w:link w:val="EndNoteBibliographyChar"/>
    <w:rsid w:val="00477BAE"/>
    <w:pPr>
      <w:spacing w:line="240" w:lineRule="auto"/>
    </w:pPr>
    <w:rPr>
      <w:rFonts w:ascii="Calibri" w:hAnsi="Calibri" w:cs="Calibri"/>
      <w:noProof/>
    </w:rPr>
  </w:style>
  <w:style w:type="character" w:customStyle="1" w:styleId="EndNoteBibliographyChar">
    <w:name w:val="EndNote Bibliography Char"/>
    <w:basedOn w:val="Heading2Char"/>
    <w:link w:val="EndNoteBibliography"/>
    <w:rsid w:val="00477BAE"/>
    <w:rPr>
      <w:rFonts w:ascii="Calibri" w:eastAsiaTheme="majorEastAsia" w:hAnsi="Calibri" w:cs="Calibri"/>
      <w:noProo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F5634CF967574BB5EC64880287E10F" ma:contentTypeVersion="11" ma:contentTypeDescription="Create a new document." ma:contentTypeScope="" ma:versionID="83fde505623b02ff5fcf792ea9c1b66f">
  <xsd:schema xmlns:xsd="http://www.w3.org/2001/XMLSchema" xmlns:xs="http://www.w3.org/2001/XMLSchema" xmlns:p="http://schemas.microsoft.com/office/2006/metadata/properties" xmlns:ns2="8baff3f2-0900-4d2f-99b7-dcaba75d7655" xmlns:ns3="ad485c79-e6ba-44c6-862c-19c9c78be91d" targetNamespace="http://schemas.microsoft.com/office/2006/metadata/properties" ma:root="true" ma:fieldsID="5ffbf47d68efe8e41e411b29384f9e7c" ns2:_="" ns3:_="">
    <xsd:import namespace="8baff3f2-0900-4d2f-99b7-dcaba75d7655"/>
    <xsd:import namespace="ad485c79-e6ba-44c6-862c-19c9c78be9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ff3f2-0900-4d2f-99b7-dcaba75d76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485c79-e6ba-44c6-862c-19c9c78be9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B21E3-33C3-4766-9125-76AC68C4374B}">
  <ds:schemaRefs>
    <ds:schemaRef ds:uri="http://schemas.microsoft.com/sharepoint/v3/contenttype/forms"/>
  </ds:schemaRefs>
</ds:datastoreItem>
</file>

<file path=customXml/itemProps2.xml><?xml version="1.0" encoding="utf-8"?>
<ds:datastoreItem xmlns:ds="http://schemas.openxmlformats.org/officeDocument/2006/customXml" ds:itemID="{F5611E86-1910-4C2E-B5D3-F04B84CE4926}"/>
</file>

<file path=customXml/itemProps3.xml><?xml version="1.0" encoding="utf-8"?>
<ds:datastoreItem xmlns:ds="http://schemas.openxmlformats.org/officeDocument/2006/customXml" ds:itemID="{A51ADC83-3CD5-479F-AED4-03AA77AD9A53}">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ae877df-a4a8-4e86-bbe2-dc74b06df61a"/>
    <ds:schemaRef ds:uri="16c1c576-dff1-4a05-bb2a-11b5a46ecb2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1786</Words>
  <Characters>10181</Characters>
  <Application>Microsoft Office Word</Application>
  <DocSecurity>0</DocSecurity>
  <Lines>84</Lines>
  <Paragraphs>23</Paragraphs>
  <ScaleCrop>false</ScaleCrop>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Ghildiyal, Sukanya</dc:creator>
  <cp:keywords/>
  <dc:description/>
  <cp:lastModifiedBy>Ghildiyal, Sukanya</cp:lastModifiedBy>
  <cp:revision>4</cp:revision>
  <dcterms:created xsi:type="dcterms:W3CDTF">2020-11-23T14:00:00Z</dcterms:created>
  <dcterms:modified xsi:type="dcterms:W3CDTF">2020-11-24T15:12:00Z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0x0101001DF5634CF967574BB5EC64880287E10F</vt:lpwstr>
  </property>
</Properties>
</file>