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832720" w14:textId="77777777" w:rsidR="00E30D2A" w:rsidRPr="00912DAA" w:rsidRDefault="00E30D2A" w:rsidP="00E30D2A">
      <w:pPr>
        <w:spacing w:after="0" w:line="480" w:lineRule="auto"/>
        <w:jc w:val="both"/>
        <w:rPr>
          <w:rFonts w:ascii="Times New Roman" w:hAnsi="Times New Roman" w:cs="Times New Roman"/>
          <w:b/>
          <w:bCs/>
          <w:sz w:val="24"/>
          <w:szCs w:val="24"/>
        </w:rPr>
      </w:pPr>
      <w:r w:rsidRPr="00912DAA">
        <w:rPr>
          <w:rFonts w:ascii="Times New Roman" w:hAnsi="Times New Roman" w:cs="Times New Roman"/>
          <w:b/>
          <w:bCs/>
          <w:sz w:val="24"/>
          <w:szCs w:val="24"/>
        </w:rPr>
        <w:t>Phenotypic and genomic information</w:t>
      </w:r>
    </w:p>
    <w:p w14:paraId="2380DBEE" w14:textId="77777777" w:rsidR="00E30D2A" w:rsidRPr="00912DAA" w:rsidRDefault="00E30D2A" w:rsidP="00E30D2A">
      <w:pPr>
        <w:spacing w:after="0" w:line="480" w:lineRule="auto"/>
        <w:ind w:firstLine="720"/>
        <w:jc w:val="both"/>
        <w:rPr>
          <w:rFonts w:ascii="Times New Roman" w:hAnsi="Times New Roman" w:cs="Times New Roman"/>
          <w:sz w:val="24"/>
          <w:szCs w:val="24"/>
        </w:rPr>
      </w:pPr>
      <w:bookmarkStart w:id="0" w:name="OLE_LINK48"/>
      <w:r w:rsidRPr="00912DAA">
        <w:rPr>
          <w:rFonts w:ascii="Times New Roman" w:hAnsi="Times New Roman" w:cs="Times New Roman"/>
          <w:sz w:val="24"/>
          <w:szCs w:val="24"/>
        </w:rPr>
        <w:t xml:space="preserve">The dataset was provided by </w:t>
      </w:r>
      <w:bookmarkStart w:id="1" w:name="OLE_LINK139"/>
      <w:bookmarkStart w:id="2" w:name="OLE_LINK140"/>
      <w:r w:rsidRPr="00912DAA">
        <w:rPr>
          <w:rFonts w:ascii="Times New Roman" w:hAnsi="Times New Roman" w:cs="Times New Roman"/>
          <w:sz w:val="24"/>
          <w:szCs w:val="24"/>
        </w:rPr>
        <w:t>Cobb-</w:t>
      </w:r>
      <w:proofErr w:type="spellStart"/>
      <w:r w:rsidRPr="00912DAA">
        <w:rPr>
          <w:rFonts w:ascii="Times New Roman" w:hAnsi="Times New Roman" w:cs="Times New Roman"/>
          <w:sz w:val="24"/>
          <w:szCs w:val="24"/>
        </w:rPr>
        <w:t>Vantress</w:t>
      </w:r>
      <w:proofErr w:type="spellEnd"/>
      <w:r w:rsidRPr="00912DAA">
        <w:rPr>
          <w:rFonts w:ascii="Times New Roman" w:hAnsi="Times New Roman" w:cs="Times New Roman"/>
          <w:sz w:val="24"/>
          <w:szCs w:val="24"/>
        </w:rPr>
        <w:t xml:space="preserve"> Inc. (Siloam Springs, AR), and included </w:t>
      </w:r>
      <w:bookmarkStart w:id="3" w:name="OLE_LINK53"/>
      <w:bookmarkStart w:id="4" w:name="OLE_LINK54"/>
      <w:r w:rsidRPr="00912DAA">
        <w:rPr>
          <w:rFonts w:ascii="Times New Roman" w:hAnsi="Times New Roman" w:cs="Times New Roman"/>
          <w:sz w:val="24"/>
          <w:szCs w:val="24"/>
        </w:rPr>
        <w:t xml:space="preserve">79,367 </w:t>
      </w:r>
      <w:bookmarkEnd w:id="3"/>
      <w:bookmarkEnd w:id="4"/>
      <w:r w:rsidRPr="00912DAA">
        <w:rPr>
          <w:rFonts w:ascii="Times New Roman" w:hAnsi="Times New Roman" w:cs="Times New Roman"/>
          <w:noProof/>
          <w:sz w:val="24"/>
          <w:szCs w:val="24"/>
        </w:rPr>
        <w:t>body weight</w:t>
      </w:r>
      <w:r w:rsidRPr="00912DAA">
        <w:rPr>
          <w:rFonts w:ascii="Times New Roman" w:hAnsi="Times New Roman" w:cs="Times New Roman"/>
          <w:sz w:val="24"/>
          <w:szCs w:val="24"/>
        </w:rPr>
        <w:t xml:space="preserve"> observations (mean = 2,141.8 g and SD = 238.17 g), measured at 6 weeks of age on broilers from a single purebred line</w:t>
      </w:r>
      <w:bookmarkEnd w:id="1"/>
      <w:bookmarkEnd w:id="2"/>
      <w:r w:rsidRPr="00912DAA">
        <w:rPr>
          <w:rFonts w:ascii="Times New Roman" w:hAnsi="Times New Roman" w:cs="Times New Roman"/>
          <w:sz w:val="24"/>
          <w:szCs w:val="24"/>
        </w:rPr>
        <w:t xml:space="preserve">. </w:t>
      </w:r>
      <w:bookmarkEnd w:id="0"/>
      <w:r w:rsidRPr="00912DAA">
        <w:rPr>
          <w:rFonts w:ascii="Times New Roman" w:hAnsi="Times New Roman" w:cs="Times New Roman"/>
          <w:sz w:val="24"/>
          <w:szCs w:val="24"/>
        </w:rPr>
        <w:t xml:space="preserve">The total number of birds in the pedigree was 342,383, with 680 sires and 6,216 dams. All broilers recorded for body weight were genotyped with a 60k single nucleotide polymorphism (SNP) panel. The genotype quality control was performed using the </w:t>
      </w:r>
      <w:r w:rsidRPr="00912DAA">
        <w:rPr>
          <w:rFonts w:ascii="Times New Roman" w:hAnsi="Times New Roman" w:cs="Times New Roman"/>
          <w:i/>
          <w:sz w:val="24"/>
          <w:szCs w:val="24"/>
        </w:rPr>
        <w:t>PLINK</w:t>
      </w:r>
      <w:r w:rsidRPr="00912DAA">
        <w:rPr>
          <w:rFonts w:ascii="Times New Roman" w:hAnsi="Times New Roman" w:cs="Times New Roman"/>
          <w:sz w:val="24"/>
          <w:szCs w:val="24"/>
        </w:rPr>
        <w:t xml:space="preserve"> software </w:t>
      </w:r>
      <w:r w:rsidRPr="00912DAA">
        <w:rPr>
          <w:rFonts w:ascii="Times New Roman" w:hAnsi="Times New Roman" w:cs="Times New Roman"/>
          <w:sz w:val="24"/>
          <w:szCs w:val="24"/>
        </w:rPr>
        <w:fldChar w:fldCharType="begin" w:fldLock="1"/>
      </w:r>
      <w:r w:rsidRPr="00912DAA">
        <w:rPr>
          <w:rFonts w:ascii="Times New Roman" w:hAnsi="Times New Roman" w:cs="Times New Roman"/>
          <w:sz w:val="24"/>
          <w:szCs w:val="24"/>
        </w:rPr>
        <w:instrText>ADDIN CSL_CITATION {"citationItems":[{"id":"ITEM-1","itemData":{"DOI":"10.1086/519795","ISBN":"00029297","ISSN":"00029297","PMID":"17701901","abstract":"Whole-genome association studies (WGAS) bring new computational, as well as analytic, challenges to researchers. Many existing genetic-analysis tools are not designed to handle such large data sets in a convenient manner and do not necessarily exploit the new opportunities that whole-genome data bring. To address these issues, we developed PLINK, an open-source C/C++ WGAS tool set. With PLINK, large data sets comprising hundreds of thousands of markers genotyped for thousands of individuals can be rapidly manipulated and analyzed in their entirety. As well as providing tools to make the basic analytic steps computationally efficient, PLINK also supports some novel approaches to whole-genome data that take advantage of whole-genome coverage. We introduce PLINK and describe the five main domains of function: data management, summary statistics, population stratification, association analysis, and identity-by-descent estimation. In particular, we focus on the estimation and use of identity-by-state and identity-by-descent information in the context of population-based whole-genome studies. This information can be used to detect and correct for population stratification and to identify extended chromosomal segments that are shared identical by descent between very distantly related individuals. Analysis of the patterns of segmental sharing has the potential to map disease loci that contain multiple rare variants in a population-based linkage analysis.","author":[{"dropping-particle":"","family":"Purcell","given":"Shaun","non-dropping-particle":"","parse-names":false,"suffix":""},{"dropping-particle":"","family":"Neale","given":"Benjamin","non-dropping-particle":"","parse-names":false,"suffix":""},{"dropping-particle":"","family":"Todd-Brown","given":"Kathe","non-dropping-particle":"","parse-names":false,"suffix":""},{"dropping-particle":"","family":"Thomas","given":"Lori","non-dropping-particle":"","parse-names":false,"suffix":""},{"dropping-particle":"","family":"Ferreira","given":"Manuel A.R.","non-dropping-particle":"","parse-names":false,"suffix":""},{"dropping-particle":"","family":"Bender","given":"David","non-dropping-particle":"","parse-names":false,"suffix":""},{"dropping-particle":"","family":"Maller","given":"Julian","non-dropping-particle":"","parse-names":false,"suffix":""},{"dropping-particle":"","family":"Sklar","given":"Pamela","non-dropping-particle":"","parse-names":false,"suffix":""},{"dropping-particle":"","family":"Bakker","given":"Paul I.W.","non-dropping-particle":"de","parse-names":false,"suffix":""},{"dropping-particle":"","family":"Daly","given":"Mark J.","non-dropping-particle":"","parse-names":false,"suffix":""},{"dropping-particle":"","family":"Sham","given":"Pak C.","non-dropping-particle":"","parse-names":false,"suffix":""}],"container-title":"The American Journal of Human Genetics","id":"ITEM-1","issue":"3","issued":{"date-parts":[["2007"]]},"page":"559-575","title":"PLINK: A Tool Set for Whole-Genome Association and Population-Based Linkage Analyses","type":"article-journal","volume":"81"},"uris":["http://www.mendeley.com/documents/?uuid=980898cb-740a-43c1-8487-6e4d9413ea4f"]}],"mendeley":{"formattedCitation":"[30]","manualFormatting":"[31]","plainTextFormattedCitation":"[30]","previouslyFormattedCitation":"(Purcell et al., 2007)"},"properties":{"noteIndex":0},"schema":"https://github.com/citation-style-language/schema/raw/master/csl-citation.json"}</w:instrText>
      </w:r>
      <w:r w:rsidRPr="00912DAA">
        <w:rPr>
          <w:rFonts w:ascii="Times New Roman" w:hAnsi="Times New Roman" w:cs="Times New Roman"/>
          <w:sz w:val="24"/>
          <w:szCs w:val="24"/>
        </w:rPr>
        <w:fldChar w:fldCharType="separate"/>
      </w:r>
      <w:r w:rsidRPr="00912DAA">
        <w:rPr>
          <w:rFonts w:ascii="Times New Roman" w:hAnsi="Times New Roman" w:cs="Times New Roman"/>
          <w:noProof/>
          <w:sz w:val="24"/>
          <w:szCs w:val="24"/>
        </w:rPr>
        <w:t>[40]</w:t>
      </w:r>
      <w:r w:rsidRPr="00912DAA">
        <w:rPr>
          <w:rFonts w:ascii="Times New Roman" w:hAnsi="Times New Roman" w:cs="Times New Roman"/>
          <w:sz w:val="24"/>
          <w:szCs w:val="24"/>
        </w:rPr>
        <w:fldChar w:fldCharType="end"/>
      </w:r>
      <w:r w:rsidRPr="00912DAA">
        <w:rPr>
          <w:rFonts w:ascii="Times New Roman" w:hAnsi="Times New Roman" w:cs="Times New Roman"/>
          <w:sz w:val="24"/>
          <w:szCs w:val="24"/>
        </w:rPr>
        <w:t xml:space="preserve"> with markers excluded based on the following criteria: 1) Located at non-autosome chromosomes; 2) Unknown map position; 3) Minor allele frequency (MAF) &lt; 0.01; 4) Call rate &lt; 95%; and 5) Departures from Hardy-Weinberg equilibrium with </w:t>
      </w:r>
      <w:r w:rsidRPr="00912DAA">
        <w:rPr>
          <w:rFonts w:ascii="Times New Roman" w:hAnsi="Times New Roman" w:cs="Times New Roman"/>
          <w:i/>
          <w:sz w:val="24"/>
          <w:szCs w:val="24"/>
        </w:rPr>
        <w:t>P</w:t>
      </w:r>
      <w:r w:rsidRPr="00912DAA">
        <w:rPr>
          <w:rFonts w:ascii="Times New Roman" w:hAnsi="Times New Roman" w:cs="Times New Roman"/>
          <w:sz w:val="24"/>
          <w:szCs w:val="24"/>
        </w:rPr>
        <w:t xml:space="preserve"> &lt; 10</w:t>
      </w:r>
      <w:r w:rsidRPr="00912DAA">
        <w:rPr>
          <w:rFonts w:ascii="Times New Roman" w:hAnsi="Times New Roman" w:cs="Times New Roman"/>
          <w:sz w:val="24"/>
          <w:szCs w:val="24"/>
          <w:vertAlign w:val="superscript"/>
        </w:rPr>
        <w:t>-10</w:t>
      </w:r>
      <w:r w:rsidRPr="00912DAA">
        <w:rPr>
          <w:rFonts w:ascii="Times New Roman" w:hAnsi="Times New Roman" w:cs="Times New Roman"/>
          <w:sz w:val="24"/>
          <w:szCs w:val="24"/>
        </w:rPr>
        <w:t xml:space="preserve">. Subsequently, missing genotypes were imputed using the software </w:t>
      </w:r>
      <w:proofErr w:type="spellStart"/>
      <w:r w:rsidRPr="00912DAA">
        <w:rPr>
          <w:rFonts w:ascii="Times New Roman" w:hAnsi="Times New Roman" w:cs="Times New Roman"/>
          <w:i/>
          <w:sz w:val="24"/>
          <w:szCs w:val="24"/>
        </w:rPr>
        <w:t>FImpute</w:t>
      </w:r>
      <w:proofErr w:type="spellEnd"/>
      <w:r w:rsidRPr="00912DAA">
        <w:rPr>
          <w:rFonts w:ascii="Times New Roman" w:hAnsi="Times New Roman" w:cs="Times New Roman"/>
          <w:sz w:val="24"/>
          <w:szCs w:val="24"/>
        </w:rPr>
        <w:t xml:space="preserve"> </w:t>
      </w:r>
      <w:r w:rsidRPr="00912DAA">
        <w:rPr>
          <w:rFonts w:ascii="Times New Roman" w:hAnsi="Times New Roman" w:cs="Times New Roman"/>
          <w:sz w:val="24"/>
          <w:szCs w:val="24"/>
        </w:rPr>
        <w:fldChar w:fldCharType="begin" w:fldLock="1"/>
      </w:r>
      <w:r w:rsidRPr="00912DAA">
        <w:rPr>
          <w:rFonts w:ascii="Times New Roman" w:hAnsi="Times New Roman" w:cs="Times New Roman"/>
          <w:sz w:val="24"/>
          <w:szCs w:val="24"/>
        </w:rPr>
        <w:instrText>ADDIN CSL_CITATION {"citationItems":[{"id":"ITEM-1","itemData":{"DOI":"10.1186/1471-2164-15-478","ISSN":"14712164","abstract":"BACKGROUND Genotype imputation can help reduce genotyping costs particularly for implementation of genomic selection. In applications entailing large populations, recovering the genotypes of untyped loci using information from reference individuals that were genotyped with a higher density panel is computationally challenging. Popular imputation methods are based upon the Hidden Markov model and have computational constraints due to an intensive sampling process. A fast, deterministic approach, which makes use of both family and population information, is presented here. All individuals are related and, therefore, share haplotypes which may differ in length and frequency based on their relationships. The method starts with family imputation if pedigree information is available, and then exploits close relationships by searching for long haplotype matches in the reference group using overlapping sliding windows. The search continues as the window size is shrunk in each chromosome sweep in order to capture more distant relationships. RESULTS The proposed method gave higher or similar imputation accuracy than Beagle and Impute2 in cattle data sets when all available information was used. When close relatives of target individuals were present in the reference group, the method resulted in higher accuracy compared to the other two methods even when the pedigree was not used. Rare variants were also imputed with higher accuracy. Finally, computing requirements were considerably lower than those of Beagle and Impute2. The presented method took 28 minutes to impute from 6 k to 50 k genotypes for 2,000 individuals with a reference size of 64,429 individuals. CONCLUSIONS The proposed method efficiently makes use of information from close and distant relatives for accurate genotype imputation. In addition to its high imputation accuracy, the method is fast, owing to its deterministic nature and, therefore, it can easily be used in large data sets where the use of other methods is impractical.","author":[{"dropping-particle":"","family":"Sargolzaei","given":"Mehdi","non-dropping-particle":"","parse-names":false,"suffix":""},{"dropping-particle":"","family":"Chesnais","given":"Jacques P.","non-dropping-particle":"","parse-names":false,"suffix":""},{"dropping-particle":"","family":"Schenkel","given":"Flavio S.","non-dropping-particle":"","parse-names":false,"suffix":""}],"container-title":"BMC Genomics","id":"ITEM-1","issue":"1","issued":{"date-parts":[["2014"]]},"page":"478-493","title":"A new approach for efficient genotype imputation using information from relatives","type":"article-journal","volume":"15"},"uris":["http://www.mendeley.com/documents/?uuid=fc023ae8-a19a-4da5-a6f0-3a49e339a5b9"]}],"mendeley":{"formattedCitation":"[31]","plainTextFormattedCitation":"[31]","previouslyFormattedCitation":"(Sargolzaei et al., 2014)"},"properties":{"noteIndex":0},"schema":"https://github.com/citation-style-language/schema/raw/master/csl-citation.json"}</w:instrText>
      </w:r>
      <w:r w:rsidRPr="00912DAA">
        <w:rPr>
          <w:rFonts w:ascii="Times New Roman" w:hAnsi="Times New Roman" w:cs="Times New Roman"/>
          <w:sz w:val="24"/>
          <w:szCs w:val="24"/>
        </w:rPr>
        <w:fldChar w:fldCharType="separate"/>
      </w:r>
      <w:r w:rsidRPr="00912DAA">
        <w:rPr>
          <w:rFonts w:ascii="Times New Roman" w:hAnsi="Times New Roman" w:cs="Times New Roman"/>
          <w:noProof/>
          <w:sz w:val="24"/>
          <w:szCs w:val="24"/>
        </w:rPr>
        <w:t>[41]</w:t>
      </w:r>
      <w:r w:rsidRPr="00912DAA">
        <w:rPr>
          <w:rFonts w:ascii="Times New Roman" w:hAnsi="Times New Roman" w:cs="Times New Roman"/>
          <w:sz w:val="24"/>
          <w:szCs w:val="24"/>
        </w:rPr>
        <w:fldChar w:fldCharType="end"/>
      </w:r>
      <w:r w:rsidRPr="00912DAA">
        <w:rPr>
          <w:rFonts w:ascii="Times New Roman" w:hAnsi="Times New Roman" w:cs="Times New Roman"/>
          <w:sz w:val="24"/>
          <w:szCs w:val="24"/>
        </w:rPr>
        <w:t>. Body weight observations with ±3.5 standard deviations away from the average of their contemporary group were treated as outliers and removed from the analysis. After these editing procedures, 77,476 broilers and 49,362 SNPs were retained for genome-enabled prediction analysis.</w:t>
      </w:r>
    </w:p>
    <w:p w14:paraId="2182031E" w14:textId="77777777" w:rsidR="00E30D2A" w:rsidRPr="00912DAA" w:rsidRDefault="00E30D2A" w:rsidP="00E30D2A">
      <w:pPr>
        <w:spacing w:after="0" w:line="480" w:lineRule="auto"/>
        <w:jc w:val="both"/>
        <w:rPr>
          <w:rFonts w:ascii="Times New Roman" w:hAnsi="Times New Roman" w:cs="Times New Roman"/>
          <w:b/>
          <w:sz w:val="24"/>
          <w:szCs w:val="24"/>
        </w:rPr>
      </w:pPr>
      <w:r w:rsidRPr="00912DAA">
        <w:rPr>
          <w:rFonts w:ascii="Times New Roman" w:hAnsi="Times New Roman" w:cs="Times New Roman"/>
          <w:b/>
          <w:sz w:val="24"/>
          <w:szCs w:val="24"/>
        </w:rPr>
        <w:t>Genome-enabled prediction analysis</w:t>
      </w:r>
    </w:p>
    <w:p w14:paraId="13BE5E95" w14:textId="77777777" w:rsidR="00E30D2A" w:rsidRPr="00912DAA" w:rsidRDefault="00E30D2A" w:rsidP="00E30D2A">
      <w:pPr>
        <w:spacing w:after="0" w:line="480" w:lineRule="auto"/>
        <w:jc w:val="both"/>
        <w:rPr>
          <w:rFonts w:ascii="Times New Roman" w:hAnsi="Times New Roman" w:cs="Times New Roman"/>
          <w:sz w:val="24"/>
          <w:szCs w:val="24"/>
        </w:rPr>
      </w:pPr>
      <w:r w:rsidRPr="00912DAA">
        <w:rPr>
          <w:rFonts w:ascii="Times New Roman" w:hAnsi="Times New Roman" w:cs="Times New Roman"/>
          <w:b/>
          <w:sz w:val="24"/>
          <w:szCs w:val="24"/>
        </w:rPr>
        <w:tab/>
      </w:r>
      <w:r w:rsidRPr="00912DAA">
        <w:rPr>
          <w:rFonts w:ascii="Times New Roman" w:hAnsi="Times New Roman" w:cs="Times New Roman"/>
          <w:sz w:val="24"/>
          <w:szCs w:val="24"/>
        </w:rPr>
        <w:t xml:space="preserve">Genome-enabled prediction of body weight in broilers was performed in two steps. In the first </w:t>
      </w:r>
      <w:r w:rsidRPr="00912DAA">
        <w:rPr>
          <w:rFonts w:ascii="Times New Roman" w:hAnsi="Times New Roman" w:cs="Times New Roman"/>
          <w:noProof/>
          <w:sz w:val="24"/>
          <w:szCs w:val="24"/>
        </w:rPr>
        <w:t>step,</w:t>
      </w:r>
      <w:r w:rsidRPr="00912DAA">
        <w:rPr>
          <w:rFonts w:ascii="Times New Roman" w:hAnsi="Times New Roman" w:cs="Times New Roman"/>
          <w:sz w:val="24"/>
          <w:szCs w:val="24"/>
        </w:rPr>
        <w:t xml:space="preserve"> variance components were estimated using the AIRemlf90 software </w:t>
      </w:r>
      <w:r w:rsidRPr="00912DAA">
        <w:rPr>
          <w:rFonts w:ascii="Times New Roman" w:hAnsi="Times New Roman" w:cs="Times New Roman"/>
          <w:sz w:val="24"/>
          <w:szCs w:val="24"/>
        </w:rPr>
        <w:fldChar w:fldCharType="begin" w:fldLock="1"/>
      </w:r>
      <w:r w:rsidRPr="00912DAA">
        <w:rPr>
          <w:rFonts w:ascii="Times New Roman" w:hAnsi="Times New Roman" w:cs="Times New Roman"/>
          <w:sz w:val="24"/>
          <w:szCs w:val="24"/>
        </w:rPr>
        <w:instrText>ADDIN CSL_CITATION {"citationItems":[{"id":"ITEM-1","itemData":{"author":[{"dropping-particle":"","family":"Misztal","given":"Ignacy","non-dropping-particle":"","parse-names":false,"suffix":""},{"dropping-particle":"","family":"Tsuruta","given":"Shogo","non-dropping-particle":"","parse-names":false,"suffix":""},{"dropping-particle":"","family":"Lourenco","given":"Daniela","non-dropping-particle":"","parse-names":false,"suffix":""},{"dropping-particle":"","family":"Aguilar","given":"Ignacio","non-dropping-particle":"","parse-names":false,"suffix":""},{"dropping-particle":"","family":"Legarra","given":"Adres","non-dropping-particle":"","parse-names":false,"suffix":""},{"dropping-particle":"","family":"Vitezica","given":"Zulma","non-dropping-particle":"","parse-names":false,"suffix":""}],"id":"ITEM-1","issued":{"date-parts":[["2015"]]},"number-of-pages":"125","publisher-place":"University of Georgia, Athens, GA","title":"Manual for BLUPF90 family of programs","type":"book"},"uris":["http://www.mendeley.com/documents/?uuid=a14f5bff-a8b2-4966-8fdf-4d458cabb5cb"]}],"mendeley":{"formattedCitation":"[32]","plainTextFormattedCitation":"[32]","previouslyFormattedCitation":"(Misztal et al., 2015)"},"properties":{"noteIndex":0},"schema":"https://github.com/citation-style-language/schema/raw/master/csl-citation.json"}</w:instrText>
      </w:r>
      <w:r w:rsidRPr="00912DAA">
        <w:rPr>
          <w:rFonts w:ascii="Times New Roman" w:hAnsi="Times New Roman" w:cs="Times New Roman"/>
          <w:sz w:val="24"/>
          <w:szCs w:val="24"/>
        </w:rPr>
        <w:fldChar w:fldCharType="separate"/>
      </w:r>
      <w:r w:rsidRPr="00912DAA">
        <w:rPr>
          <w:rFonts w:ascii="Times New Roman" w:hAnsi="Times New Roman" w:cs="Times New Roman"/>
          <w:noProof/>
          <w:sz w:val="24"/>
          <w:szCs w:val="24"/>
        </w:rPr>
        <w:t>[42]</w:t>
      </w:r>
      <w:r w:rsidRPr="00912DAA">
        <w:rPr>
          <w:rFonts w:ascii="Times New Roman" w:hAnsi="Times New Roman" w:cs="Times New Roman"/>
          <w:sz w:val="24"/>
          <w:szCs w:val="24"/>
        </w:rPr>
        <w:fldChar w:fldCharType="end"/>
      </w:r>
      <w:r w:rsidRPr="00912DAA">
        <w:rPr>
          <w:rFonts w:ascii="Times New Roman" w:hAnsi="Times New Roman" w:cs="Times New Roman"/>
          <w:sz w:val="24"/>
          <w:szCs w:val="24"/>
        </w:rPr>
        <w:t>, and body weight was pre-adjusted by fitting the following linear mixed model:</w:t>
      </w:r>
    </w:p>
    <w:p w14:paraId="093F34F4" w14:textId="77777777" w:rsidR="00E30D2A" w:rsidRPr="00912DAA" w:rsidRDefault="00E30D2A" w:rsidP="00E30D2A">
      <w:pPr>
        <w:spacing w:after="0" w:line="480" w:lineRule="auto"/>
        <w:jc w:val="both"/>
        <w:rPr>
          <w:rFonts w:ascii="Times New Roman" w:hAnsi="Times New Roman" w:cs="Times New Roman"/>
          <w:sz w:val="24"/>
          <w:szCs w:val="24"/>
        </w:rPr>
      </w:pPr>
    </w:p>
    <w:bookmarkStart w:id="5" w:name="OLE_LINK40"/>
    <w:p w14:paraId="58DF184E" w14:textId="77777777" w:rsidR="00E30D2A" w:rsidRPr="00912DAA" w:rsidRDefault="00E30D2A" w:rsidP="00E30D2A">
      <w:pPr>
        <w:spacing w:after="0" w:line="480" w:lineRule="auto"/>
        <w:jc w:val="center"/>
        <w:rPr>
          <w:rFonts w:ascii="Times New Roman" w:hAnsi="Times New Roman" w:cs="Times New Roman"/>
          <w:sz w:val="24"/>
          <w:szCs w:val="24"/>
        </w:rPr>
      </w:pPr>
      <w:r w:rsidRPr="00912DAA">
        <w:rPr>
          <w:rFonts w:ascii="Times New Roman" w:hAnsi="Times New Roman" w:cs="Times New Roman"/>
          <w:position w:val="-10"/>
          <w:sz w:val="24"/>
          <w:szCs w:val="24"/>
        </w:rPr>
        <w:object w:dxaOrig="2160" w:dyaOrig="320" w14:anchorId="418025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pt;height:18pt" o:ole="">
            <v:imagedata r:id="rId4" o:title=""/>
          </v:shape>
          <o:OLEObject Type="Embed" ProgID="Equation.3" ShapeID="_x0000_i1025" DrawAspect="Content" ObjectID="_1653332808" r:id="rId5"/>
        </w:object>
      </w:r>
      <w:bookmarkEnd w:id="5"/>
    </w:p>
    <w:p w14:paraId="01B453DD" w14:textId="77777777" w:rsidR="00E30D2A" w:rsidRPr="00912DAA" w:rsidRDefault="00E30D2A" w:rsidP="00E30D2A">
      <w:pPr>
        <w:spacing w:after="0" w:line="480" w:lineRule="auto"/>
        <w:jc w:val="center"/>
        <w:rPr>
          <w:rFonts w:ascii="Times New Roman" w:hAnsi="Times New Roman" w:cs="Times New Roman"/>
          <w:sz w:val="24"/>
          <w:szCs w:val="24"/>
        </w:rPr>
      </w:pPr>
    </w:p>
    <w:p w14:paraId="7E01EB7F" w14:textId="77777777" w:rsidR="00E30D2A" w:rsidRPr="00912DAA" w:rsidRDefault="00E30D2A" w:rsidP="00E30D2A">
      <w:pPr>
        <w:spacing w:after="0" w:line="480" w:lineRule="auto"/>
        <w:jc w:val="both"/>
        <w:rPr>
          <w:rFonts w:ascii="Times New Roman" w:hAnsi="Times New Roman" w:cs="Times New Roman"/>
          <w:sz w:val="24"/>
          <w:szCs w:val="24"/>
        </w:rPr>
      </w:pPr>
      <w:r w:rsidRPr="00912DAA">
        <w:rPr>
          <w:rFonts w:ascii="Times New Roman" w:hAnsi="Times New Roman" w:cs="Times New Roman"/>
          <w:sz w:val="24"/>
          <w:szCs w:val="24"/>
        </w:rPr>
        <w:t xml:space="preserve">where </w:t>
      </w:r>
      <w:bookmarkStart w:id="6" w:name="OLE_LINK34"/>
      <w:r w:rsidRPr="00912DAA">
        <w:rPr>
          <w:rFonts w:ascii="Times New Roman" w:hAnsi="Times New Roman" w:cs="Times New Roman"/>
          <w:position w:val="-10"/>
          <w:sz w:val="24"/>
          <w:szCs w:val="24"/>
        </w:rPr>
        <w:object w:dxaOrig="200" w:dyaOrig="260" w14:anchorId="6C1A055D">
          <v:shape id="_x0000_i1026" type="#_x0000_t75" style="width:12pt;height:12pt" o:ole="">
            <v:imagedata r:id="rId6" o:title=""/>
          </v:shape>
          <o:OLEObject Type="Embed" ProgID="Equation.3" ShapeID="_x0000_i1026" DrawAspect="Content" ObjectID="_1653332809" r:id="rId7"/>
        </w:object>
      </w:r>
      <w:bookmarkEnd w:id="6"/>
      <w:r w:rsidRPr="00912DAA">
        <w:rPr>
          <w:rFonts w:ascii="Times New Roman" w:hAnsi="Times New Roman" w:cs="Times New Roman"/>
          <w:sz w:val="24"/>
          <w:szCs w:val="24"/>
        </w:rPr>
        <w:t xml:space="preserve"> is a vector of body weights; </w:t>
      </w:r>
      <w:bookmarkStart w:id="7" w:name="OLE_LINK38"/>
      <w:r w:rsidRPr="00912DAA">
        <w:rPr>
          <w:rFonts w:ascii="Times New Roman" w:hAnsi="Times New Roman" w:cs="Times New Roman"/>
          <w:position w:val="-6"/>
          <w:sz w:val="24"/>
          <w:szCs w:val="24"/>
        </w:rPr>
        <w:object w:dxaOrig="200" w:dyaOrig="279" w14:anchorId="3D4CAFFB">
          <v:shape id="_x0000_i1027" type="#_x0000_t75" style="width:12pt;height:12pt" o:ole="">
            <v:imagedata r:id="rId8" o:title=""/>
          </v:shape>
          <o:OLEObject Type="Embed" ProgID="Equation.3" ShapeID="_x0000_i1027" DrawAspect="Content" ObjectID="_1653332810" r:id="rId9"/>
        </w:object>
      </w:r>
      <w:bookmarkEnd w:id="7"/>
      <w:r w:rsidRPr="00912DAA">
        <w:rPr>
          <w:rFonts w:ascii="Times New Roman" w:hAnsi="Times New Roman" w:cs="Times New Roman"/>
          <w:sz w:val="24"/>
          <w:szCs w:val="24"/>
        </w:rPr>
        <w:t xml:space="preserve"> is a vector of fixed effects; </w:t>
      </w:r>
      <w:bookmarkStart w:id="8" w:name="OLE_LINK37"/>
      <w:bookmarkStart w:id="9" w:name="OLE_LINK35"/>
      <w:bookmarkStart w:id="10" w:name="OLE_LINK36"/>
      <w:r w:rsidRPr="00912DAA">
        <w:rPr>
          <w:rFonts w:ascii="Times New Roman" w:hAnsi="Times New Roman" w:cs="Times New Roman"/>
          <w:position w:val="-6"/>
          <w:sz w:val="24"/>
          <w:szCs w:val="24"/>
        </w:rPr>
        <w:object w:dxaOrig="200" w:dyaOrig="220" w14:anchorId="4207F8F0">
          <v:shape id="_x0000_i1028" type="#_x0000_t75" style="width:12pt;height:12pt" o:ole="">
            <v:imagedata r:id="rId10" o:title=""/>
          </v:shape>
          <o:OLEObject Type="Embed" ProgID="Equation.3" ShapeID="_x0000_i1028" DrawAspect="Content" ObjectID="_1653332811" r:id="rId11"/>
        </w:object>
      </w:r>
      <w:bookmarkEnd w:id="8"/>
      <w:r w:rsidRPr="00912DAA">
        <w:rPr>
          <w:rFonts w:ascii="Times New Roman" w:hAnsi="Times New Roman" w:cs="Times New Roman"/>
          <w:sz w:val="24"/>
          <w:szCs w:val="24"/>
        </w:rPr>
        <w:t xml:space="preserve"> and </w:t>
      </w:r>
      <w:bookmarkStart w:id="11" w:name="OLE_LINK39"/>
      <w:r w:rsidRPr="00912DAA">
        <w:rPr>
          <w:rFonts w:ascii="Times New Roman" w:hAnsi="Times New Roman" w:cs="Times New Roman"/>
          <w:position w:val="-6"/>
          <w:sz w:val="24"/>
          <w:szCs w:val="24"/>
        </w:rPr>
        <w:object w:dxaOrig="180" w:dyaOrig="220" w14:anchorId="46E5F756">
          <v:shape id="_x0000_i1029" type="#_x0000_t75" style="width:12pt;height:12pt" o:ole="">
            <v:imagedata r:id="rId12" o:title=""/>
          </v:shape>
          <o:OLEObject Type="Embed" ProgID="Equation.3" ShapeID="_x0000_i1029" DrawAspect="Content" ObjectID="_1653332812" r:id="rId13"/>
        </w:object>
      </w:r>
      <w:bookmarkEnd w:id="11"/>
      <w:r w:rsidRPr="00912DAA">
        <w:rPr>
          <w:rFonts w:ascii="Times New Roman" w:hAnsi="Times New Roman" w:cs="Times New Roman"/>
          <w:sz w:val="24"/>
          <w:szCs w:val="24"/>
        </w:rPr>
        <w:t xml:space="preserve"> are vectors of random additive genetic and maternal permanent environmental effects, respectively; </w:t>
      </w:r>
      <w:bookmarkStart w:id="12" w:name="OLE_LINK41"/>
      <w:r w:rsidRPr="00912DAA">
        <w:rPr>
          <w:rFonts w:ascii="Times New Roman" w:hAnsi="Times New Roman" w:cs="Times New Roman"/>
          <w:position w:val="-4"/>
          <w:sz w:val="24"/>
          <w:szCs w:val="24"/>
        </w:rPr>
        <w:object w:dxaOrig="260" w:dyaOrig="260" w14:anchorId="7F4E8A83">
          <v:shape id="_x0000_i1030" type="#_x0000_t75" style="width:12pt;height:12pt" o:ole="">
            <v:imagedata r:id="rId14" o:title=""/>
          </v:shape>
          <o:OLEObject Type="Embed" ProgID="Equation.3" ShapeID="_x0000_i1030" DrawAspect="Content" ObjectID="_1653332813" r:id="rId15"/>
        </w:object>
      </w:r>
      <w:bookmarkEnd w:id="12"/>
      <w:r w:rsidRPr="00912DAA">
        <w:rPr>
          <w:rFonts w:ascii="Times New Roman" w:hAnsi="Times New Roman" w:cs="Times New Roman"/>
          <w:sz w:val="24"/>
          <w:szCs w:val="24"/>
        </w:rPr>
        <w:t xml:space="preserve">, </w:t>
      </w:r>
      <w:r w:rsidRPr="00912DAA">
        <w:rPr>
          <w:rFonts w:ascii="Times New Roman" w:hAnsi="Times New Roman" w:cs="Times New Roman"/>
          <w:position w:val="-4"/>
          <w:sz w:val="24"/>
          <w:szCs w:val="24"/>
        </w:rPr>
        <w:object w:dxaOrig="240" w:dyaOrig="260" w14:anchorId="0324AF7E">
          <v:shape id="_x0000_i1031" type="#_x0000_t75" style="width:12pt;height:12pt" o:ole="">
            <v:imagedata r:id="rId16" o:title=""/>
          </v:shape>
          <o:OLEObject Type="Embed" ProgID="Equation.3" ShapeID="_x0000_i1031" DrawAspect="Content" ObjectID="_1653332814" r:id="rId17"/>
        </w:object>
      </w:r>
      <w:r w:rsidRPr="00912DAA">
        <w:rPr>
          <w:rFonts w:ascii="Times New Roman" w:hAnsi="Times New Roman" w:cs="Times New Roman"/>
          <w:sz w:val="24"/>
          <w:szCs w:val="24"/>
        </w:rPr>
        <w:t xml:space="preserve">, and </w:t>
      </w:r>
      <w:r w:rsidRPr="00912DAA">
        <w:rPr>
          <w:rFonts w:ascii="Times New Roman" w:hAnsi="Times New Roman" w:cs="Times New Roman"/>
          <w:position w:val="-6"/>
          <w:sz w:val="24"/>
          <w:szCs w:val="24"/>
        </w:rPr>
        <w:object w:dxaOrig="320" w:dyaOrig="279" w14:anchorId="316D1777">
          <v:shape id="_x0000_i1032" type="#_x0000_t75" style="width:18pt;height:12pt" o:ole="">
            <v:imagedata r:id="rId18" o:title=""/>
          </v:shape>
          <o:OLEObject Type="Embed" ProgID="Equation.3" ShapeID="_x0000_i1032" DrawAspect="Content" ObjectID="_1653332815" r:id="rId19"/>
        </w:object>
      </w:r>
      <w:r w:rsidRPr="00912DAA">
        <w:rPr>
          <w:rFonts w:ascii="Times New Roman" w:hAnsi="Times New Roman" w:cs="Times New Roman"/>
          <w:sz w:val="24"/>
          <w:szCs w:val="24"/>
        </w:rPr>
        <w:t xml:space="preserve"> are known incidence matrices of fixed, additive genetic, and maternal permanent </w:t>
      </w:r>
      <w:r w:rsidRPr="00912DAA">
        <w:rPr>
          <w:rFonts w:ascii="Times New Roman" w:hAnsi="Times New Roman" w:cs="Times New Roman"/>
          <w:sz w:val="24"/>
          <w:szCs w:val="24"/>
        </w:rPr>
        <w:lastRenderedPageBreak/>
        <w:t xml:space="preserve">environmental effects, respectively; and </w:t>
      </w:r>
      <w:r w:rsidRPr="00912DAA">
        <w:rPr>
          <w:rFonts w:ascii="Times New Roman" w:hAnsi="Times New Roman" w:cs="Times New Roman"/>
          <w:position w:val="-6"/>
          <w:sz w:val="24"/>
          <w:szCs w:val="24"/>
        </w:rPr>
        <w:object w:dxaOrig="180" w:dyaOrig="220" w14:anchorId="412A0DE5">
          <v:shape id="_x0000_i1033" type="#_x0000_t75" style="width:12pt;height:12pt" o:ole="">
            <v:imagedata r:id="rId20" o:title=""/>
          </v:shape>
          <o:OLEObject Type="Embed" ProgID="Equation.3" ShapeID="_x0000_i1033" DrawAspect="Content" ObjectID="_1653332816" r:id="rId21"/>
        </w:object>
      </w:r>
      <w:r w:rsidRPr="00912DAA">
        <w:rPr>
          <w:rFonts w:ascii="Times New Roman" w:hAnsi="Times New Roman" w:cs="Times New Roman"/>
          <w:sz w:val="24"/>
          <w:szCs w:val="24"/>
        </w:rPr>
        <w:t>is the vector of residuals</w:t>
      </w:r>
      <w:bookmarkEnd w:id="9"/>
      <w:bookmarkEnd w:id="10"/>
      <w:r w:rsidRPr="00912DAA">
        <w:rPr>
          <w:rFonts w:ascii="Times New Roman" w:hAnsi="Times New Roman" w:cs="Times New Roman"/>
          <w:sz w:val="24"/>
          <w:szCs w:val="24"/>
        </w:rPr>
        <w:t xml:space="preserve">. Fixed effects in the model were sex (2 levels) and contemporary groups (500 levels). Random effects were assumed to be independent from each other with distributions </w:t>
      </w:r>
      <w:r w:rsidRPr="00912DAA">
        <w:rPr>
          <w:rFonts w:ascii="Times New Roman" w:hAnsi="Times New Roman" w:cs="Times New Roman"/>
          <w:position w:val="-12"/>
          <w:sz w:val="24"/>
          <w:szCs w:val="24"/>
        </w:rPr>
        <w:object w:dxaOrig="1420" w:dyaOrig="380" w14:anchorId="0563D69F">
          <v:shape id="_x0000_i1034" type="#_x0000_t75" style="width:1in;height:18pt" o:ole="">
            <v:imagedata r:id="rId22" o:title=""/>
          </v:shape>
          <o:OLEObject Type="Embed" ProgID="Equation.3" ShapeID="_x0000_i1034" DrawAspect="Content" ObjectID="_1653332817" r:id="rId23"/>
        </w:object>
      </w:r>
      <w:r w:rsidRPr="00912DAA">
        <w:rPr>
          <w:rFonts w:ascii="Times New Roman" w:hAnsi="Times New Roman" w:cs="Times New Roman"/>
          <w:sz w:val="24"/>
          <w:szCs w:val="24"/>
        </w:rPr>
        <w:t xml:space="preserve">, </w:t>
      </w:r>
      <w:r w:rsidRPr="00912DAA">
        <w:rPr>
          <w:rFonts w:ascii="Times New Roman" w:hAnsi="Times New Roman" w:cs="Times New Roman"/>
          <w:position w:val="-12"/>
          <w:sz w:val="24"/>
          <w:szCs w:val="24"/>
        </w:rPr>
        <w:object w:dxaOrig="1300" w:dyaOrig="380" w14:anchorId="622D4FBA">
          <v:shape id="_x0000_i1035" type="#_x0000_t75" style="width:66pt;height:18pt" o:ole="">
            <v:imagedata r:id="rId24" o:title=""/>
          </v:shape>
          <o:OLEObject Type="Embed" ProgID="Equation.3" ShapeID="_x0000_i1035" DrawAspect="Content" ObjectID="_1653332818" r:id="rId25"/>
        </w:object>
      </w:r>
      <w:r w:rsidRPr="00912DAA">
        <w:rPr>
          <w:rFonts w:ascii="Times New Roman" w:hAnsi="Times New Roman" w:cs="Times New Roman"/>
          <w:sz w:val="24"/>
          <w:szCs w:val="24"/>
        </w:rPr>
        <w:t xml:space="preserve">, and </w:t>
      </w:r>
      <w:r w:rsidRPr="00912DAA">
        <w:rPr>
          <w:rFonts w:ascii="Times New Roman" w:hAnsi="Times New Roman" w:cs="Times New Roman"/>
          <w:position w:val="-12"/>
          <w:sz w:val="24"/>
          <w:szCs w:val="24"/>
        </w:rPr>
        <w:object w:dxaOrig="1300" w:dyaOrig="380" w14:anchorId="7F5874B9">
          <v:shape id="_x0000_i1036" type="#_x0000_t75" style="width:66pt;height:18pt" o:ole="">
            <v:imagedata r:id="rId26" o:title=""/>
          </v:shape>
          <o:OLEObject Type="Embed" ProgID="Equation.3" ShapeID="_x0000_i1036" DrawAspect="Content" ObjectID="_1653332819" r:id="rId27"/>
        </w:object>
      </w:r>
      <w:r w:rsidRPr="00912DAA">
        <w:rPr>
          <w:rFonts w:ascii="Times New Roman" w:hAnsi="Times New Roman" w:cs="Times New Roman"/>
          <w:sz w:val="24"/>
          <w:szCs w:val="24"/>
        </w:rPr>
        <w:t xml:space="preserve">, where </w:t>
      </w:r>
      <w:bookmarkStart w:id="13" w:name="OLE_LINK42"/>
      <w:bookmarkStart w:id="14" w:name="OLE_LINK43"/>
      <w:r w:rsidRPr="00912DAA">
        <w:rPr>
          <w:rFonts w:ascii="Times New Roman" w:hAnsi="Times New Roman" w:cs="Times New Roman"/>
          <w:position w:val="-4"/>
          <w:sz w:val="24"/>
          <w:szCs w:val="24"/>
        </w:rPr>
        <w:object w:dxaOrig="260" w:dyaOrig="260" w14:anchorId="7F82DB75">
          <v:shape id="_x0000_i1037" type="#_x0000_t75" style="width:12pt;height:12pt" o:ole="">
            <v:imagedata r:id="rId28" o:title=""/>
          </v:shape>
          <o:OLEObject Type="Embed" ProgID="Equation.3" ShapeID="_x0000_i1037" DrawAspect="Content" ObjectID="_1653332820" r:id="rId29"/>
        </w:object>
      </w:r>
      <w:bookmarkEnd w:id="13"/>
      <w:bookmarkEnd w:id="14"/>
      <w:r w:rsidRPr="00912DAA">
        <w:rPr>
          <w:rFonts w:ascii="Times New Roman" w:hAnsi="Times New Roman" w:cs="Times New Roman"/>
          <w:sz w:val="24"/>
          <w:szCs w:val="24"/>
        </w:rPr>
        <w:t xml:space="preserve"> is the additive genetic relationship matrix (</w:t>
      </w:r>
      <w:bookmarkStart w:id="15" w:name="OLE_LINK49"/>
      <w:r w:rsidRPr="00912DAA">
        <w:rPr>
          <w:rFonts w:ascii="Times New Roman" w:hAnsi="Times New Roman" w:cs="Times New Roman"/>
          <w:sz w:val="24"/>
          <w:szCs w:val="24"/>
        </w:rPr>
        <w:t xml:space="preserve">342,383 </w:t>
      </w:r>
      <w:bookmarkEnd w:id="15"/>
      <w:r w:rsidRPr="00912DAA">
        <w:rPr>
          <w:rFonts w:ascii="Times New Roman" w:hAnsi="Times New Roman" w:cs="Times New Roman"/>
          <w:sz w:val="24"/>
          <w:szCs w:val="24"/>
        </w:rPr>
        <w:t xml:space="preserve">x 342,383), </w:t>
      </w:r>
      <w:r w:rsidRPr="00912DAA">
        <w:rPr>
          <w:rFonts w:ascii="Times New Roman" w:hAnsi="Times New Roman" w:cs="Times New Roman"/>
          <w:position w:val="-4"/>
          <w:sz w:val="24"/>
          <w:szCs w:val="24"/>
        </w:rPr>
        <w:object w:dxaOrig="180" w:dyaOrig="260" w14:anchorId="5A2A1A41">
          <v:shape id="_x0000_i1038" type="#_x0000_t75" style="width:12pt;height:12pt" o:ole="">
            <v:imagedata r:id="rId30" o:title=""/>
          </v:shape>
          <o:OLEObject Type="Embed" ProgID="Equation.3" ShapeID="_x0000_i1038" DrawAspect="Content" ObjectID="_1653332821" r:id="rId31"/>
        </w:object>
      </w:r>
      <w:r w:rsidRPr="00912DAA">
        <w:rPr>
          <w:rFonts w:ascii="Times New Roman" w:hAnsi="Times New Roman" w:cs="Times New Roman"/>
          <w:sz w:val="24"/>
          <w:szCs w:val="24"/>
        </w:rPr>
        <w:t xml:space="preserve"> is an identity matrix of appropriate order (i.e. 333 x 333 for maternal permanent environmental and 77,476 x 77,476 for residuals), and </w:t>
      </w:r>
      <w:r w:rsidRPr="00912DAA">
        <w:rPr>
          <w:rFonts w:ascii="Times New Roman" w:hAnsi="Times New Roman" w:cs="Times New Roman"/>
          <w:position w:val="-12"/>
          <w:sz w:val="24"/>
          <w:szCs w:val="24"/>
        </w:rPr>
        <w:object w:dxaOrig="300" w:dyaOrig="380" w14:anchorId="1C3E081B">
          <v:shape id="_x0000_i1039" type="#_x0000_t75" style="width:18pt;height:18pt" o:ole="">
            <v:imagedata r:id="rId32" o:title=""/>
          </v:shape>
          <o:OLEObject Type="Embed" ProgID="Equation.3" ShapeID="_x0000_i1039" DrawAspect="Content" ObjectID="_1653332822" r:id="rId33"/>
        </w:object>
      </w:r>
      <w:r w:rsidRPr="00912DAA">
        <w:rPr>
          <w:rFonts w:ascii="Times New Roman" w:hAnsi="Times New Roman" w:cs="Times New Roman"/>
          <w:sz w:val="24"/>
          <w:szCs w:val="24"/>
        </w:rPr>
        <w:t xml:space="preserve">, </w:t>
      </w:r>
      <w:r w:rsidRPr="00912DAA">
        <w:rPr>
          <w:rFonts w:ascii="Times New Roman" w:hAnsi="Times New Roman" w:cs="Times New Roman"/>
          <w:position w:val="-12"/>
          <w:sz w:val="24"/>
          <w:szCs w:val="24"/>
        </w:rPr>
        <w:object w:dxaOrig="300" w:dyaOrig="380" w14:anchorId="12C9BB25">
          <v:shape id="_x0000_i1040" type="#_x0000_t75" style="width:18pt;height:18pt" o:ole="">
            <v:imagedata r:id="rId34" o:title=""/>
          </v:shape>
          <o:OLEObject Type="Embed" ProgID="Equation.3" ShapeID="_x0000_i1040" DrawAspect="Content" ObjectID="_1653332823" r:id="rId35"/>
        </w:object>
      </w:r>
      <w:r w:rsidRPr="00912DAA">
        <w:rPr>
          <w:rFonts w:ascii="Times New Roman" w:hAnsi="Times New Roman" w:cs="Times New Roman"/>
          <w:sz w:val="24"/>
          <w:szCs w:val="24"/>
        </w:rPr>
        <w:t xml:space="preserve">, and </w:t>
      </w:r>
      <w:r w:rsidRPr="00912DAA">
        <w:rPr>
          <w:rFonts w:ascii="Times New Roman" w:hAnsi="Times New Roman" w:cs="Times New Roman"/>
          <w:position w:val="-12"/>
          <w:sz w:val="24"/>
          <w:szCs w:val="24"/>
        </w:rPr>
        <w:object w:dxaOrig="300" w:dyaOrig="380" w14:anchorId="601D2AEB">
          <v:shape id="_x0000_i1041" type="#_x0000_t75" style="width:18pt;height:18pt" o:ole="">
            <v:imagedata r:id="rId36" o:title=""/>
          </v:shape>
          <o:OLEObject Type="Embed" ProgID="Equation.3" ShapeID="_x0000_i1041" DrawAspect="Content" ObjectID="_1653332824" r:id="rId37"/>
        </w:object>
      </w:r>
      <w:r w:rsidRPr="00912DAA">
        <w:rPr>
          <w:rFonts w:ascii="Times New Roman" w:hAnsi="Times New Roman" w:cs="Times New Roman"/>
          <w:sz w:val="24"/>
          <w:szCs w:val="24"/>
        </w:rPr>
        <w:t xml:space="preserve"> are the variance components for additive genetic, maternal permanent environmental and residual effects, respectively. The pre-adjusted body weight was defined as </w:t>
      </w:r>
      <w:r w:rsidRPr="00912DAA">
        <w:rPr>
          <w:rFonts w:ascii="Times New Roman" w:hAnsi="Times New Roman" w:cs="Times New Roman"/>
          <w:position w:val="-10"/>
          <w:sz w:val="24"/>
          <w:szCs w:val="24"/>
        </w:rPr>
        <w:object w:dxaOrig="1760" w:dyaOrig="380" w14:anchorId="5A046737">
          <v:shape id="_x0000_i1042" type="#_x0000_t75" style="width:90pt;height:18pt" o:ole="">
            <v:imagedata r:id="rId38" o:title=""/>
          </v:shape>
          <o:OLEObject Type="Embed" ProgID="Equation.3" ShapeID="_x0000_i1042" DrawAspect="Content" ObjectID="_1653332825" r:id="rId39"/>
        </w:object>
      </w:r>
      <w:r w:rsidRPr="00912DAA">
        <w:rPr>
          <w:rFonts w:ascii="Times New Roman" w:hAnsi="Times New Roman" w:cs="Times New Roman"/>
          <w:sz w:val="24"/>
          <w:szCs w:val="24"/>
        </w:rPr>
        <w:t xml:space="preserve">. In the second step, the pre-adjusted body weight was fit on the genetic markers by using three predictive approaches: BRR, Bayes </w:t>
      </w:r>
      <w:bookmarkStart w:id="16" w:name="OLE_LINK46"/>
      <w:r w:rsidRPr="00912DAA">
        <w:rPr>
          <w:rFonts w:ascii="Times New Roman" w:hAnsi="Times New Roman" w:cs="Times New Roman"/>
          <w:sz w:val="24"/>
          <w:szCs w:val="24"/>
        </w:rPr>
        <w:t>Cπ</w:t>
      </w:r>
      <w:bookmarkEnd w:id="16"/>
      <w:r w:rsidRPr="00912DAA">
        <w:rPr>
          <w:rFonts w:ascii="Times New Roman" w:hAnsi="Times New Roman" w:cs="Times New Roman"/>
          <w:sz w:val="24"/>
          <w:szCs w:val="24"/>
        </w:rPr>
        <w:t xml:space="preserve">, and DNN. </w:t>
      </w:r>
    </w:p>
    <w:p w14:paraId="2AB45968" w14:textId="77777777" w:rsidR="00E30D2A" w:rsidRPr="00912DAA" w:rsidRDefault="00E30D2A" w:rsidP="00E30D2A">
      <w:pPr>
        <w:spacing w:after="0" w:line="480" w:lineRule="auto"/>
        <w:jc w:val="both"/>
        <w:rPr>
          <w:rFonts w:ascii="Times New Roman" w:hAnsi="Times New Roman" w:cs="Times New Roman"/>
          <w:sz w:val="24"/>
          <w:szCs w:val="24"/>
        </w:rPr>
      </w:pPr>
    </w:p>
    <w:p w14:paraId="63D6B555" w14:textId="77777777" w:rsidR="00E30D2A" w:rsidRPr="00912DAA" w:rsidRDefault="00E30D2A" w:rsidP="00E30D2A">
      <w:pPr>
        <w:spacing w:after="0" w:line="480" w:lineRule="auto"/>
        <w:jc w:val="both"/>
        <w:rPr>
          <w:rFonts w:ascii="Times New Roman" w:hAnsi="Times New Roman" w:cs="Times New Roman"/>
          <w:sz w:val="24"/>
          <w:szCs w:val="24"/>
        </w:rPr>
      </w:pPr>
      <w:r w:rsidRPr="00912DAA">
        <w:rPr>
          <w:rFonts w:ascii="Times New Roman" w:hAnsi="Times New Roman" w:cs="Times New Roman"/>
          <w:b/>
          <w:sz w:val="24"/>
          <w:szCs w:val="24"/>
        </w:rPr>
        <w:t>Bayesian regression models</w:t>
      </w:r>
      <w:r w:rsidRPr="00912DAA">
        <w:rPr>
          <w:rFonts w:ascii="Times New Roman" w:hAnsi="Times New Roman" w:cs="Times New Roman"/>
          <w:sz w:val="24"/>
          <w:szCs w:val="24"/>
        </w:rPr>
        <w:t xml:space="preserve">  </w:t>
      </w:r>
    </w:p>
    <w:p w14:paraId="3EF773D1" w14:textId="77777777" w:rsidR="00E30D2A" w:rsidRPr="00912DAA" w:rsidRDefault="00E30D2A" w:rsidP="00E30D2A">
      <w:pPr>
        <w:spacing w:after="0" w:line="480" w:lineRule="auto"/>
        <w:ind w:firstLine="720"/>
        <w:jc w:val="both"/>
        <w:rPr>
          <w:rFonts w:ascii="Times New Roman" w:hAnsi="Times New Roman" w:cs="Times New Roman"/>
          <w:sz w:val="24"/>
          <w:szCs w:val="24"/>
        </w:rPr>
      </w:pPr>
      <w:r w:rsidRPr="00912DAA">
        <w:rPr>
          <w:rFonts w:ascii="Times New Roman" w:hAnsi="Times New Roman" w:cs="Times New Roman"/>
          <w:sz w:val="24"/>
          <w:szCs w:val="24"/>
        </w:rPr>
        <w:t xml:space="preserve">The Bayesian regression analyses were implemented with the R package </w:t>
      </w:r>
      <w:r w:rsidRPr="00912DAA">
        <w:rPr>
          <w:rFonts w:ascii="Times New Roman" w:hAnsi="Times New Roman" w:cs="Times New Roman"/>
          <w:i/>
          <w:sz w:val="24"/>
          <w:szCs w:val="24"/>
        </w:rPr>
        <w:t xml:space="preserve">BGLR </w:t>
      </w:r>
      <w:r w:rsidRPr="00912DAA">
        <w:rPr>
          <w:rFonts w:ascii="Times New Roman" w:hAnsi="Times New Roman" w:cs="Times New Roman"/>
          <w:i/>
          <w:sz w:val="24"/>
          <w:szCs w:val="24"/>
        </w:rPr>
        <w:fldChar w:fldCharType="begin" w:fldLock="1"/>
      </w:r>
      <w:r w:rsidRPr="00912DAA">
        <w:rPr>
          <w:rFonts w:ascii="Times New Roman" w:hAnsi="Times New Roman" w:cs="Times New Roman"/>
          <w:i/>
          <w:sz w:val="24"/>
          <w:szCs w:val="24"/>
        </w:rPr>
        <w:instrText>ADDIN CSL_CITATION {"citationItems":[{"id":"ITEM-1","itemData":{"DOI":"10.1534/genetics.114.164442","ISBN":"1943-2631 (Electronic)\\r0016-6731 (Linking)","ISSN":"1943-2631","PMID":"25009151","abstract":"Many modern genomic data analysis problems require implementing regressions where the number of unknowns (p, e.g., the number of marker effects) vastly exceeds sample size (n). Implementing these large-p-with-small-n regressions poses several statistical and com-putational challenges. Some of these challenges can be confronted using Bayesian meth-ods, and the Bayesian approach allows integrating various parametric and non-parametric shrinkage and variable selection procedures in a unified and consistent manner. The BGLR R-package implements a large collection Bayesian regression models, including various parametric regressions where regression coefficients are allowed to have different types of prior densities (flat, normal, scaled-t, double-exponential and various finite mixtures of the spike-slab family) and semi-parametric methods (Bayesian reproducing kernel Hilbert spaces nregressions, RKHS). The software was originally developed as an extension of the BLR package and with a focus on genomic applications; however, the methods im-plemented are useful for many non-genomic applications as well. The response can be continuous (censored or not) or categorical (either binary, or ordinal). The algorithm is based on a Gibbs Sampler with scalar updates and the implementation takes advantage of efficient compiled C and Fortran routines. In this article we describe the methods implemented in BGLR, present examples of the use of the package and discuss practical issues emerging in real-data analysis.","author":[{"dropping-particle":"","family":"Perez","given":"P.","non-dropping-particle":"","parse-names":false,"suffix":""},{"dropping-particle":"","family":"los Campos","given":"G.","non-dropping-particle":"de","parse-names":false,"suffix":""}],"container-title":"Genetics","id":"ITEM-1","issue":"2","issued":{"date-parts":[["2014"]]},"page":"483-495","title":"BGLR : A statistical package for whole genome regression and prediction","type":"article-journal","volume":"198"},"uris":["http://www.mendeley.com/documents/?uuid=7ff9aff7-e975-4c0a-a649-de8840ae4d60"]}],"mendeley":{"formattedCitation":"[33]","plainTextFormattedCitation":"[33]","previouslyFormattedCitation":"(Perez and de los Campos, 2014)"},"properties":{"noteIndex":0},"schema":"https://github.com/citation-style-language/schema/raw/master/csl-citation.json"}</w:instrText>
      </w:r>
      <w:r w:rsidRPr="00912DAA">
        <w:rPr>
          <w:rFonts w:ascii="Times New Roman" w:hAnsi="Times New Roman" w:cs="Times New Roman"/>
          <w:i/>
          <w:sz w:val="24"/>
          <w:szCs w:val="24"/>
        </w:rPr>
        <w:fldChar w:fldCharType="separate"/>
      </w:r>
      <w:r w:rsidRPr="00912DAA">
        <w:rPr>
          <w:rFonts w:ascii="Times New Roman" w:hAnsi="Times New Roman" w:cs="Times New Roman"/>
          <w:noProof/>
          <w:sz w:val="24"/>
          <w:szCs w:val="24"/>
        </w:rPr>
        <w:t>[43]</w:t>
      </w:r>
      <w:r w:rsidRPr="00912DAA">
        <w:rPr>
          <w:rFonts w:ascii="Times New Roman" w:hAnsi="Times New Roman" w:cs="Times New Roman"/>
          <w:i/>
          <w:sz w:val="24"/>
          <w:szCs w:val="24"/>
        </w:rPr>
        <w:fldChar w:fldCharType="end"/>
      </w:r>
      <w:r w:rsidRPr="00912DAA">
        <w:rPr>
          <w:rFonts w:ascii="Times New Roman" w:hAnsi="Times New Roman" w:cs="Times New Roman"/>
          <w:i/>
          <w:sz w:val="24"/>
          <w:szCs w:val="24"/>
        </w:rPr>
        <w:t>.</w:t>
      </w:r>
      <w:r w:rsidRPr="00912DAA">
        <w:rPr>
          <w:rFonts w:ascii="Times New Roman" w:hAnsi="Times New Roman" w:cs="Times New Roman"/>
          <w:sz w:val="24"/>
          <w:szCs w:val="24"/>
        </w:rPr>
        <w:t xml:space="preserve"> The Markov Chain Monte Carlo sampling process was performed for each Bayesian model considering a chain of 30,000 iterations, from which the first 20,000 cycles were discarded as a warm-up period, keeping posterior samples for every 5 iterations. The general statistical model for BRR and Bayes Cπ was:</w:t>
      </w:r>
    </w:p>
    <w:p w14:paraId="3622EF05" w14:textId="77777777" w:rsidR="00E30D2A" w:rsidRPr="00912DAA" w:rsidRDefault="00E30D2A" w:rsidP="00E30D2A">
      <w:pPr>
        <w:spacing w:after="0" w:line="480" w:lineRule="auto"/>
        <w:jc w:val="center"/>
        <w:rPr>
          <w:rFonts w:ascii="Times New Roman" w:hAnsi="Times New Roman" w:cs="Times New Roman"/>
          <w:sz w:val="24"/>
          <w:szCs w:val="24"/>
        </w:rPr>
      </w:pPr>
      <w:r w:rsidRPr="00912DAA">
        <w:rPr>
          <w:rFonts w:ascii="Times New Roman" w:hAnsi="Times New Roman" w:cs="Times New Roman"/>
          <w:position w:val="-30"/>
          <w:sz w:val="24"/>
          <w:szCs w:val="24"/>
        </w:rPr>
        <w:object w:dxaOrig="2000" w:dyaOrig="700" w14:anchorId="75F88DC2">
          <v:shape id="_x0000_i1043" type="#_x0000_t75" style="width:120pt;height:36pt" o:ole="">
            <v:imagedata r:id="rId40" o:title=""/>
          </v:shape>
          <o:OLEObject Type="Embed" ProgID="Equation.3" ShapeID="_x0000_i1043" DrawAspect="Content" ObjectID="_1653332826" r:id="rId41"/>
        </w:object>
      </w:r>
    </w:p>
    <w:p w14:paraId="75386157" w14:textId="77777777" w:rsidR="00E30D2A" w:rsidRPr="00912DAA" w:rsidRDefault="00E30D2A" w:rsidP="00E30D2A">
      <w:pPr>
        <w:spacing w:after="0" w:line="480" w:lineRule="auto"/>
        <w:jc w:val="both"/>
      </w:pPr>
      <w:r w:rsidRPr="00912DAA">
        <w:rPr>
          <w:rFonts w:ascii="Times New Roman" w:hAnsi="Times New Roman" w:cs="Times New Roman"/>
          <w:sz w:val="24"/>
          <w:szCs w:val="24"/>
        </w:rPr>
        <w:t xml:space="preserve">where </w:t>
      </w:r>
      <w:r w:rsidRPr="00912DAA">
        <w:rPr>
          <w:position w:val="-10"/>
        </w:rPr>
        <w:object w:dxaOrig="279" w:dyaOrig="360" w14:anchorId="5B633114">
          <v:shape id="_x0000_i1044" type="#_x0000_t75" style="width:12pt;height:18pt" o:ole="">
            <v:imagedata r:id="rId42" o:title=""/>
          </v:shape>
          <o:OLEObject Type="Embed" ProgID="Equation.3" ShapeID="_x0000_i1044" DrawAspect="Content" ObjectID="_1653332827" r:id="rId43"/>
        </w:object>
      </w:r>
      <w:r w:rsidRPr="00912DAA">
        <w:t xml:space="preserve"> </w:t>
      </w:r>
      <w:r w:rsidRPr="00912DAA">
        <w:rPr>
          <w:rFonts w:ascii="Times New Roman" w:hAnsi="Times New Roman" w:cs="Times New Roman"/>
          <w:sz w:val="24"/>
          <w:szCs w:val="24"/>
        </w:rPr>
        <w:t xml:space="preserve">is </w:t>
      </w:r>
      <w:r w:rsidRPr="00912DAA">
        <w:rPr>
          <w:rFonts w:ascii="Times New Roman" w:hAnsi="Times New Roman" w:cs="Times New Roman"/>
          <w:noProof/>
          <w:sz w:val="24"/>
          <w:szCs w:val="24"/>
        </w:rPr>
        <w:t>the n</w:t>
      </w:r>
      <w:r w:rsidRPr="00912DAA">
        <w:rPr>
          <w:rFonts w:ascii="Times New Roman" w:hAnsi="Times New Roman" w:cs="Times New Roman"/>
          <w:sz w:val="24"/>
          <w:szCs w:val="24"/>
        </w:rPr>
        <w:t xml:space="preserve"> × 1 vector of pre-adjusted body weights; </w:t>
      </w:r>
      <w:r w:rsidRPr="00912DAA">
        <w:rPr>
          <w:rFonts w:ascii="Times New Roman" w:hAnsi="Times New Roman" w:cs="Times New Roman"/>
          <w:i/>
          <w:sz w:val="24"/>
          <w:szCs w:val="24"/>
        </w:rPr>
        <w:t>µ</w:t>
      </w:r>
      <w:r w:rsidRPr="00912DAA">
        <w:rPr>
          <w:rFonts w:ascii="Times New Roman" w:hAnsi="Times New Roman" w:cs="Times New Roman"/>
          <w:sz w:val="24"/>
          <w:szCs w:val="24"/>
        </w:rPr>
        <w:t xml:space="preserve"> is an overall intercept; </w:t>
      </w:r>
      <w:r w:rsidRPr="00912DAA">
        <w:rPr>
          <w:rFonts w:ascii="Times New Roman" w:hAnsi="Times New Roman" w:cs="Times New Roman"/>
          <w:i/>
          <w:sz w:val="24"/>
          <w:szCs w:val="24"/>
        </w:rPr>
        <w:t>k</w:t>
      </w:r>
      <w:r w:rsidRPr="00912DAA">
        <w:rPr>
          <w:rFonts w:ascii="Times New Roman" w:hAnsi="Times New Roman" w:cs="Times New Roman"/>
          <w:sz w:val="24"/>
          <w:szCs w:val="24"/>
        </w:rPr>
        <w:t xml:space="preserve"> is the number of markers; </w:t>
      </w:r>
      <w:r w:rsidRPr="00912DAA">
        <w:rPr>
          <w:rFonts w:ascii="Times New Roman" w:hAnsi="Times New Roman" w:cs="Times New Roman"/>
          <w:position w:val="-14"/>
          <w:sz w:val="24"/>
          <w:szCs w:val="24"/>
        </w:rPr>
        <w:object w:dxaOrig="279" w:dyaOrig="380" w14:anchorId="075EB1CC">
          <v:shape id="_x0000_i1045" type="#_x0000_t75" style="width:18pt;height:24pt" o:ole="">
            <v:imagedata r:id="rId44" o:title=""/>
          </v:shape>
          <o:OLEObject Type="Embed" ProgID="Equation.3" ShapeID="_x0000_i1045" DrawAspect="Content" ObjectID="_1653332828" r:id="rId45"/>
        </w:object>
      </w:r>
      <w:r w:rsidRPr="00912DAA">
        <w:rPr>
          <w:rFonts w:ascii="Times New Roman" w:hAnsi="Times New Roman" w:cs="Times New Roman"/>
          <w:sz w:val="24"/>
          <w:szCs w:val="24"/>
        </w:rPr>
        <w:t xml:space="preserve"> is </w:t>
      </w:r>
      <w:r w:rsidRPr="00912DAA">
        <w:rPr>
          <w:rFonts w:ascii="Times New Roman" w:hAnsi="Times New Roman" w:cs="Times New Roman"/>
          <w:noProof/>
          <w:sz w:val="24"/>
          <w:szCs w:val="24"/>
        </w:rPr>
        <w:t xml:space="preserve">a n </w:t>
      </w:r>
      <w:r w:rsidRPr="00912DAA">
        <w:rPr>
          <w:rFonts w:ascii="Times New Roman" w:hAnsi="Times New Roman" w:cs="Times New Roman"/>
          <w:sz w:val="24"/>
          <w:szCs w:val="24"/>
        </w:rPr>
        <w:t xml:space="preserve">× 1 vector denoting the genotypes of the animals for marker </w:t>
      </w:r>
      <w:r w:rsidRPr="00912DAA">
        <w:rPr>
          <w:rFonts w:ascii="Times New Roman" w:hAnsi="Times New Roman" w:cs="Times New Roman"/>
          <w:i/>
          <w:sz w:val="24"/>
          <w:szCs w:val="24"/>
        </w:rPr>
        <w:t>j</w:t>
      </w:r>
      <w:r w:rsidRPr="00912DAA">
        <w:rPr>
          <w:rFonts w:ascii="Times New Roman" w:hAnsi="Times New Roman" w:cs="Times New Roman"/>
          <w:sz w:val="24"/>
          <w:szCs w:val="24"/>
        </w:rPr>
        <w:t xml:space="preserve">; </w:t>
      </w:r>
      <w:r w:rsidRPr="00912DAA">
        <w:rPr>
          <w:rFonts w:ascii="Times New Roman" w:hAnsi="Times New Roman" w:cs="Times New Roman"/>
          <w:position w:val="-14"/>
          <w:sz w:val="24"/>
          <w:szCs w:val="24"/>
        </w:rPr>
        <w:object w:dxaOrig="279" w:dyaOrig="380" w14:anchorId="56D7974E">
          <v:shape id="_x0000_i1046" type="#_x0000_t75" style="width:18pt;height:24pt" o:ole="">
            <v:imagedata r:id="rId46" o:title=""/>
          </v:shape>
          <o:OLEObject Type="Embed" ProgID="Equation.3" ShapeID="_x0000_i1046" DrawAspect="Content" ObjectID="_1653332829" r:id="rId47"/>
        </w:object>
      </w:r>
      <w:r w:rsidRPr="00912DAA">
        <w:rPr>
          <w:rFonts w:ascii="Times New Roman" w:hAnsi="Times New Roman" w:cs="Times New Roman"/>
          <w:sz w:val="24"/>
          <w:szCs w:val="24"/>
        </w:rPr>
        <w:t xml:space="preserve"> is the effect of marker </w:t>
      </w:r>
      <w:bookmarkStart w:id="17" w:name="OLE_LINK47"/>
      <w:r w:rsidRPr="00912DAA">
        <w:rPr>
          <w:rFonts w:ascii="Times New Roman" w:hAnsi="Times New Roman" w:cs="Times New Roman"/>
          <w:i/>
          <w:sz w:val="24"/>
          <w:szCs w:val="24"/>
        </w:rPr>
        <w:t>j</w:t>
      </w:r>
      <w:bookmarkEnd w:id="17"/>
      <w:r w:rsidRPr="00912DAA">
        <w:rPr>
          <w:rFonts w:ascii="Times New Roman" w:hAnsi="Times New Roman" w:cs="Times New Roman"/>
          <w:noProof/>
          <w:sz w:val="24"/>
          <w:szCs w:val="24"/>
        </w:rPr>
        <w:t>, and</w:t>
      </w:r>
      <w:r w:rsidRPr="00912DAA">
        <w:rPr>
          <w:rFonts w:ascii="Times New Roman" w:hAnsi="Times New Roman" w:cs="Times New Roman"/>
          <w:sz w:val="24"/>
          <w:szCs w:val="24"/>
        </w:rPr>
        <w:t xml:space="preserve"> </w:t>
      </w:r>
      <w:r w:rsidRPr="00912DAA">
        <w:rPr>
          <w:rFonts w:ascii="Times New Roman" w:hAnsi="Times New Roman" w:cs="Times New Roman"/>
          <w:b/>
          <w:sz w:val="24"/>
          <w:szCs w:val="24"/>
        </w:rPr>
        <w:t>e</w:t>
      </w:r>
      <w:r w:rsidRPr="00912DAA">
        <w:rPr>
          <w:rFonts w:ascii="Times New Roman" w:hAnsi="Times New Roman" w:cs="Times New Roman"/>
          <w:sz w:val="24"/>
          <w:szCs w:val="24"/>
        </w:rPr>
        <w:t xml:space="preserve"> is the vector of residuals. SNP genotypes were standardized to display mean 0 and variance 1. The vector of residuals </w:t>
      </w:r>
      <w:r w:rsidRPr="00912DAA">
        <w:rPr>
          <w:rFonts w:ascii="Times New Roman" w:hAnsi="Times New Roman" w:cs="Times New Roman"/>
          <w:b/>
          <w:sz w:val="24"/>
          <w:szCs w:val="24"/>
        </w:rPr>
        <w:t>e</w:t>
      </w:r>
      <w:r w:rsidRPr="00912DAA">
        <w:rPr>
          <w:rFonts w:ascii="Times New Roman" w:hAnsi="Times New Roman" w:cs="Times New Roman"/>
          <w:sz w:val="24"/>
          <w:szCs w:val="24"/>
        </w:rPr>
        <w:t xml:space="preserve"> was assumed to follow a Gaussian distribution with mean zero and variance </w:t>
      </w:r>
      <w:r w:rsidRPr="00912DAA">
        <w:rPr>
          <w:position w:val="-12"/>
        </w:rPr>
        <w:object w:dxaOrig="300" w:dyaOrig="380" w14:anchorId="27D46E05">
          <v:shape id="_x0000_i1047" type="#_x0000_t75" style="width:18pt;height:18pt" o:ole="">
            <v:imagedata r:id="rId48" o:title=""/>
          </v:shape>
          <o:OLEObject Type="Embed" ProgID="Equation.3" ShapeID="_x0000_i1047" DrawAspect="Content" ObjectID="_1653332830" r:id="rId49"/>
        </w:object>
      </w:r>
      <w:r w:rsidRPr="00912DAA">
        <w:t xml:space="preserve">. </w:t>
      </w:r>
    </w:p>
    <w:p w14:paraId="0EFB2E3C" w14:textId="77777777" w:rsidR="00E30D2A" w:rsidRPr="00912DAA" w:rsidRDefault="00E30D2A" w:rsidP="00E30D2A">
      <w:pPr>
        <w:spacing w:after="0" w:line="480" w:lineRule="auto"/>
        <w:jc w:val="both"/>
      </w:pPr>
    </w:p>
    <w:p w14:paraId="55296F5D" w14:textId="77777777" w:rsidR="00E30D2A" w:rsidRPr="00912DAA" w:rsidRDefault="00E30D2A" w:rsidP="00E30D2A">
      <w:pPr>
        <w:spacing w:after="0" w:line="480" w:lineRule="auto"/>
        <w:jc w:val="both"/>
        <w:rPr>
          <w:rFonts w:ascii="Times New Roman" w:hAnsi="Times New Roman" w:cs="Times New Roman"/>
          <w:b/>
          <w:sz w:val="24"/>
          <w:szCs w:val="24"/>
        </w:rPr>
      </w:pPr>
      <w:r w:rsidRPr="00912DAA">
        <w:rPr>
          <w:rFonts w:ascii="Times New Roman" w:hAnsi="Times New Roman" w:cs="Times New Roman"/>
          <w:b/>
          <w:sz w:val="24"/>
          <w:szCs w:val="24"/>
        </w:rPr>
        <w:t>Bayesian Ridge Regression</w:t>
      </w:r>
    </w:p>
    <w:p w14:paraId="31A22C23" w14:textId="77777777" w:rsidR="00E30D2A" w:rsidRPr="00912DAA" w:rsidRDefault="00E30D2A" w:rsidP="00E30D2A">
      <w:pPr>
        <w:spacing w:after="0" w:line="480" w:lineRule="auto"/>
        <w:jc w:val="both"/>
        <w:rPr>
          <w:rFonts w:ascii="Times New Roman" w:hAnsi="Times New Roman" w:cs="Times New Roman"/>
          <w:sz w:val="24"/>
          <w:szCs w:val="24"/>
        </w:rPr>
      </w:pPr>
      <w:r w:rsidRPr="00912DAA">
        <w:rPr>
          <w:rFonts w:ascii="Times New Roman" w:hAnsi="Times New Roman" w:cs="Times New Roman"/>
          <w:sz w:val="24"/>
          <w:szCs w:val="24"/>
        </w:rPr>
        <w:tab/>
        <w:t xml:space="preserve">In BRR, an independent prior Gaussian distribution with mean zero and variance </w:t>
      </w:r>
      <w:r w:rsidRPr="00912DAA">
        <w:rPr>
          <w:rFonts w:ascii="Times New Roman" w:hAnsi="Times New Roman" w:cs="Times New Roman"/>
          <w:position w:val="-12"/>
          <w:sz w:val="24"/>
          <w:szCs w:val="24"/>
        </w:rPr>
        <w:object w:dxaOrig="300" w:dyaOrig="380" w14:anchorId="1B8D71C3">
          <v:shape id="_x0000_i1048" type="#_x0000_t75" style="width:12pt;height:24pt" o:ole="">
            <v:imagedata r:id="rId50" o:title=""/>
          </v:shape>
          <o:OLEObject Type="Embed" ProgID="Equation.3" ShapeID="_x0000_i1048" DrawAspect="Content" ObjectID="_1653332831" r:id="rId51"/>
        </w:object>
      </w:r>
      <w:r w:rsidRPr="00912DAA">
        <w:rPr>
          <w:rFonts w:ascii="Times New Roman" w:hAnsi="Times New Roman" w:cs="Times New Roman"/>
          <w:sz w:val="24"/>
          <w:szCs w:val="24"/>
        </w:rPr>
        <w:t xml:space="preserve"> was assigned to each SNP, so that </w:t>
      </w:r>
      <w:r w:rsidRPr="00912DAA">
        <w:rPr>
          <w:rFonts w:ascii="Times New Roman" w:hAnsi="Times New Roman" w:cs="Times New Roman"/>
          <w:position w:val="-18"/>
          <w:sz w:val="24"/>
          <w:szCs w:val="24"/>
        </w:rPr>
        <w:object w:dxaOrig="3580" w:dyaOrig="480" w14:anchorId="1C52054E">
          <v:shape id="_x0000_i1049" type="#_x0000_t75" style="width:180pt;height:24pt" o:ole="">
            <v:imagedata r:id="rId52" o:title=""/>
          </v:shape>
          <o:OLEObject Type="Embed" ProgID="Equation.3" ShapeID="_x0000_i1049" DrawAspect="Content" ObjectID="_1653332832" r:id="rId53"/>
        </w:object>
      </w:r>
      <w:r w:rsidRPr="00912DAA">
        <w:rPr>
          <w:rFonts w:ascii="Times New Roman" w:hAnsi="Times New Roman" w:cs="Times New Roman"/>
          <w:sz w:val="24"/>
          <w:szCs w:val="24"/>
        </w:rPr>
        <w:t xml:space="preserve">. The unknown variance parameter </w:t>
      </w:r>
      <w:r w:rsidRPr="00912DAA">
        <w:rPr>
          <w:rFonts w:ascii="Times New Roman" w:hAnsi="Times New Roman" w:cs="Times New Roman"/>
          <w:position w:val="-12"/>
          <w:sz w:val="24"/>
          <w:szCs w:val="24"/>
        </w:rPr>
        <w:object w:dxaOrig="300" w:dyaOrig="380" w14:anchorId="11A25569">
          <v:shape id="_x0000_i1050" type="#_x0000_t75" style="width:12pt;height:24pt" o:ole="">
            <v:imagedata r:id="rId54" o:title=""/>
          </v:shape>
          <o:OLEObject Type="Embed" ProgID="Equation.3" ShapeID="_x0000_i1050" DrawAspect="Content" ObjectID="_1653332833" r:id="rId55"/>
        </w:object>
      </w:r>
      <w:r w:rsidRPr="00912DAA">
        <w:rPr>
          <w:rFonts w:ascii="Times New Roman" w:hAnsi="Times New Roman" w:cs="Times New Roman"/>
          <w:sz w:val="24"/>
          <w:szCs w:val="24"/>
        </w:rPr>
        <w:t xml:space="preserve"> is the same for all genetic markers, and a scaled inverse chi-squared distribution </w:t>
      </w:r>
      <w:r w:rsidRPr="00912DAA">
        <w:rPr>
          <w:rFonts w:ascii="Times New Roman" w:hAnsi="Times New Roman" w:cs="Times New Roman"/>
          <w:position w:val="-12"/>
          <w:sz w:val="24"/>
          <w:szCs w:val="24"/>
        </w:rPr>
        <w:object w:dxaOrig="1120" w:dyaOrig="380" w14:anchorId="1BB348FB">
          <v:shape id="_x0000_i1051" type="#_x0000_t75" style="width:54pt;height:18pt" o:ole="">
            <v:imagedata r:id="rId56" o:title=""/>
          </v:shape>
          <o:OLEObject Type="Embed" ProgID="Equation.3" ShapeID="_x0000_i1051" DrawAspect="Content" ObjectID="_1653332834" r:id="rId57"/>
        </w:object>
      </w:r>
      <w:r w:rsidRPr="00912DAA">
        <w:rPr>
          <w:rFonts w:ascii="Times New Roman" w:hAnsi="Times New Roman" w:cs="Times New Roman"/>
          <w:sz w:val="24"/>
          <w:szCs w:val="24"/>
        </w:rPr>
        <w:t xml:space="preserve"> was </w:t>
      </w:r>
      <w:bookmarkStart w:id="18" w:name="OLE_LINK57"/>
      <w:bookmarkStart w:id="19" w:name="OLE_LINK58"/>
      <w:r w:rsidRPr="00912DAA">
        <w:rPr>
          <w:rFonts w:ascii="Times New Roman" w:hAnsi="Times New Roman" w:cs="Times New Roman"/>
          <w:sz w:val="24"/>
          <w:szCs w:val="24"/>
        </w:rPr>
        <w:t xml:space="preserve">specified </w:t>
      </w:r>
      <w:bookmarkEnd w:id="18"/>
      <w:bookmarkEnd w:id="19"/>
      <w:r w:rsidRPr="00912DAA">
        <w:rPr>
          <w:rFonts w:ascii="Times New Roman" w:hAnsi="Times New Roman" w:cs="Times New Roman"/>
          <w:sz w:val="24"/>
          <w:szCs w:val="24"/>
        </w:rPr>
        <w:t xml:space="preserve">as a prior distribution, where </w:t>
      </w:r>
      <w:r w:rsidRPr="00912DAA">
        <w:rPr>
          <w:rFonts w:ascii="Times New Roman" w:hAnsi="Times New Roman" w:cs="Times New Roman"/>
          <w:position w:val="-12"/>
          <w:sz w:val="24"/>
          <w:szCs w:val="24"/>
        </w:rPr>
        <w:object w:dxaOrig="279" w:dyaOrig="380" w14:anchorId="480382A0">
          <v:shape id="_x0000_i1052" type="#_x0000_t75" style="width:12pt;height:18pt" o:ole="">
            <v:imagedata r:id="rId58" o:title=""/>
          </v:shape>
          <o:OLEObject Type="Embed" ProgID="Equation.3" ShapeID="_x0000_i1052" DrawAspect="Content" ObjectID="_1653332835" r:id="rId59"/>
        </w:object>
      </w:r>
      <w:r w:rsidRPr="00912DAA">
        <w:rPr>
          <w:rFonts w:ascii="Times New Roman" w:hAnsi="Times New Roman" w:cs="Times New Roman"/>
          <w:sz w:val="24"/>
          <w:szCs w:val="24"/>
        </w:rPr>
        <w:t xml:space="preserve"> and </w:t>
      </w:r>
      <w:r w:rsidRPr="00912DAA">
        <w:rPr>
          <w:rFonts w:ascii="Times New Roman" w:hAnsi="Times New Roman" w:cs="Times New Roman"/>
          <w:position w:val="-12"/>
          <w:sz w:val="24"/>
          <w:szCs w:val="24"/>
        </w:rPr>
        <w:object w:dxaOrig="260" w:dyaOrig="360" w14:anchorId="49B70BDE">
          <v:shape id="_x0000_i1053" type="#_x0000_t75" style="width:12pt;height:18pt" o:ole="">
            <v:imagedata r:id="rId60" o:title=""/>
          </v:shape>
          <o:OLEObject Type="Embed" ProgID="Equation.3" ShapeID="_x0000_i1053" DrawAspect="Content" ObjectID="_1653332836" r:id="rId61"/>
        </w:object>
      </w:r>
      <w:r w:rsidRPr="00912DAA">
        <w:rPr>
          <w:rFonts w:ascii="Times New Roman" w:hAnsi="Times New Roman" w:cs="Times New Roman"/>
          <w:sz w:val="24"/>
          <w:szCs w:val="24"/>
        </w:rPr>
        <w:t xml:space="preserve"> are a scale </w:t>
      </w:r>
      <w:r w:rsidRPr="00912DAA">
        <w:rPr>
          <w:rFonts w:ascii="Times New Roman" w:hAnsi="Times New Roman" w:cs="Times New Roman"/>
          <w:noProof/>
          <w:sz w:val="24"/>
          <w:szCs w:val="24"/>
        </w:rPr>
        <w:t>parameter</w:t>
      </w:r>
      <w:r w:rsidRPr="00912DAA">
        <w:rPr>
          <w:rFonts w:ascii="Times New Roman" w:hAnsi="Times New Roman" w:cs="Times New Roman"/>
          <w:sz w:val="24"/>
          <w:szCs w:val="24"/>
        </w:rPr>
        <w:t xml:space="preserve"> and degrees of freedom, respectively. A flat prior distribution was assigned for the overall constant </w:t>
      </w:r>
      <w:r w:rsidRPr="00912DAA">
        <w:rPr>
          <w:rFonts w:ascii="Times New Roman" w:hAnsi="Times New Roman" w:cs="Times New Roman"/>
          <w:i/>
          <w:sz w:val="24"/>
          <w:szCs w:val="24"/>
        </w:rPr>
        <w:t>µ</w:t>
      </w:r>
      <w:r w:rsidRPr="00912DAA">
        <w:rPr>
          <w:rFonts w:ascii="Times New Roman" w:hAnsi="Times New Roman" w:cs="Times New Roman"/>
          <w:sz w:val="24"/>
          <w:szCs w:val="24"/>
        </w:rPr>
        <w:t xml:space="preserve">, and similarly to </w:t>
      </w:r>
      <w:r w:rsidRPr="00912DAA">
        <w:rPr>
          <w:rFonts w:ascii="Times New Roman" w:hAnsi="Times New Roman" w:cs="Times New Roman"/>
          <w:position w:val="-12"/>
          <w:sz w:val="24"/>
          <w:szCs w:val="24"/>
        </w:rPr>
        <w:object w:dxaOrig="300" w:dyaOrig="380" w14:anchorId="0E4F1207">
          <v:shape id="_x0000_i1054" type="#_x0000_t75" style="width:12pt;height:24pt" o:ole="">
            <v:imagedata r:id="rId54" o:title=""/>
          </v:shape>
          <o:OLEObject Type="Embed" ProgID="Equation.3" ShapeID="_x0000_i1054" DrawAspect="Content" ObjectID="_1653332837" r:id="rId62"/>
        </w:object>
      </w:r>
      <w:r w:rsidRPr="00912DAA">
        <w:rPr>
          <w:rFonts w:ascii="Times New Roman" w:hAnsi="Times New Roman" w:cs="Times New Roman"/>
          <w:sz w:val="24"/>
          <w:szCs w:val="24"/>
        </w:rPr>
        <w:t xml:space="preserve">, a scaled inverse chi-square distribution </w:t>
      </w:r>
      <w:r w:rsidRPr="00912DAA">
        <w:rPr>
          <w:rFonts w:ascii="Times New Roman" w:hAnsi="Times New Roman" w:cs="Times New Roman"/>
          <w:position w:val="-12"/>
          <w:sz w:val="24"/>
          <w:szCs w:val="24"/>
        </w:rPr>
        <w:object w:dxaOrig="1120" w:dyaOrig="380" w14:anchorId="0A7349DF">
          <v:shape id="_x0000_i1055" type="#_x0000_t75" style="width:54pt;height:18pt" o:ole="">
            <v:imagedata r:id="rId63" o:title=""/>
          </v:shape>
          <o:OLEObject Type="Embed" ProgID="Equation.3" ShapeID="_x0000_i1055" DrawAspect="Content" ObjectID="_1653332838" r:id="rId64"/>
        </w:object>
      </w:r>
      <w:r w:rsidRPr="00912DAA">
        <w:rPr>
          <w:rFonts w:ascii="Times New Roman" w:hAnsi="Times New Roman" w:cs="Times New Roman"/>
          <w:sz w:val="24"/>
          <w:szCs w:val="24"/>
        </w:rPr>
        <w:t xml:space="preserve"> was defined as the prior distribution for the residual variance </w:t>
      </w:r>
      <w:r w:rsidRPr="00912DAA">
        <w:rPr>
          <w:rFonts w:ascii="Times New Roman" w:hAnsi="Times New Roman" w:cs="Times New Roman"/>
          <w:position w:val="-12"/>
          <w:sz w:val="24"/>
          <w:szCs w:val="24"/>
        </w:rPr>
        <w:object w:dxaOrig="300" w:dyaOrig="380" w14:anchorId="03E5B3C0">
          <v:shape id="_x0000_i1056" type="#_x0000_t75" style="width:18pt;height:18pt" o:ole="">
            <v:imagedata r:id="rId48" o:title=""/>
          </v:shape>
          <o:OLEObject Type="Embed" ProgID="Equation.3" ShapeID="_x0000_i1056" DrawAspect="Content" ObjectID="_1653332839" r:id="rId65"/>
        </w:object>
      </w:r>
      <w:r w:rsidRPr="00912DAA">
        <w:rPr>
          <w:rFonts w:ascii="Times New Roman" w:hAnsi="Times New Roman" w:cs="Times New Roman"/>
          <w:sz w:val="24"/>
          <w:szCs w:val="24"/>
        </w:rPr>
        <w:t xml:space="preserve">. </w:t>
      </w:r>
    </w:p>
    <w:p w14:paraId="3583FD07" w14:textId="77777777" w:rsidR="00E30D2A" w:rsidRPr="00912DAA" w:rsidRDefault="00E30D2A" w:rsidP="00E30D2A">
      <w:pPr>
        <w:spacing w:after="0" w:line="480" w:lineRule="auto"/>
        <w:jc w:val="both"/>
        <w:rPr>
          <w:rFonts w:ascii="Times New Roman" w:hAnsi="Times New Roman" w:cs="Times New Roman"/>
          <w:sz w:val="24"/>
          <w:szCs w:val="24"/>
        </w:rPr>
      </w:pPr>
    </w:p>
    <w:p w14:paraId="238EC5DE" w14:textId="77777777" w:rsidR="00E30D2A" w:rsidRPr="00912DAA" w:rsidRDefault="00E30D2A" w:rsidP="00E30D2A">
      <w:pPr>
        <w:spacing w:after="0" w:line="480" w:lineRule="auto"/>
        <w:jc w:val="both"/>
        <w:rPr>
          <w:rFonts w:ascii="Times New Roman" w:hAnsi="Times New Roman" w:cs="Times New Roman"/>
          <w:sz w:val="24"/>
          <w:szCs w:val="24"/>
        </w:rPr>
      </w:pPr>
    </w:p>
    <w:p w14:paraId="3749A4B3" w14:textId="77777777" w:rsidR="00E30D2A" w:rsidRPr="00912DAA" w:rsidRDefault="00E30D2A" w:rsidP="00E30D2A">
      <w:pPr>
        <w:spacing w:after="0" w:line="480" w:lineRule="auto"/>
        <w:jc w:val="both"/>
        <w:rPr>
          <w:rFonts w:ascii="Times New Roman" w:hAnsi="Times New Roman" w:cs="Times New Roman"/>
          <w:b/>
          <w:sz w:val="24"/>
          <w:szCs w:val="24"/>
        </w:rPr>
      </w:pPr>
      <w:r w:rsidRPr="00912DAA">
        <w:rPr>
          <w:rFonts w:ascii="Times New Roman" w:hAnsi="Times New Roman" w:cs="Times New Roman"/>
          <w:b/>
          <w:sz w:val="24"/>
          <w:szCs w:val="24"/>
        </w:rPr>
        <w:t>Bayes C</w:t>
      </w:r>
      <w:bookmarkStart w:id="20" w:name="OLE_LINK3"/>
      <w:bookmarkStart w:id="21" w:name="OLE_LINK4"/>
      <w:r w:rsidRPr="00912DAA">
        <w:rPr>
          <w:rFonts w:ascii="Times New Roman" w:hAnsi="Times New Roman" w:cs="Times New Roman"/>
          <w:b/>
          <w:sz w:val="24"/>
          <w:szCs w:val="24"/>
        </w:rPr>
        <w:t>π</w:t>
      </w:r>
      <w:bookmarkEnd w:id="20"/>
      <w:bookmarkEnd w:id="21"/>
    </w:p>
    <w:p w14:paraId="1F4032B5" w14:textId="77777777" w:rsidR="00E30D2A" w:rsidRPr="00912DAA" w:rsidRDefault="00E30D2A" w:rsidP="00E30D2A">
      <w:pPr>
        <w:spacing w:after="0" w:line="480" w:lineRule="auto"/>
        <w:jc w:val="both"/>
        <w:rPr>
          <w:rFonts w:ascii="Times New Roman" w:hAnsi="Times New Roman" w:cs="Times New Roman"/>
          <w:sz w:val="24"/>
          <w:szCs w:val="24"/>
        </w:rPr>
      </w:pPr>
      <w:r w:rsidRPr="00912DAA">
        <w:rPr>
          <w:rFonts w:ascii="Times New Roman" w:hAnsi="Times New Roman" w:cs="Times New Roman"/>
          <w:sz w:val="24"/>
          <w:szCs w:val="24"/>
        </w:rPr>
        <w:tab/>
        <w:t>The Bayes C</w:t>
      </w:r>
      <w:bookmarkStart w:id="22" w:name="OLE_LINK11"/>
      <w:bookmarkStart w:id="23" w:name="OLE_LINK12"/>
      <w:r w:rsidRPr="00912DAA">
        <w:rPr>
          <w:rFonts w:ascii="Times New Roman" w:hAnsi="Times New Roman" w:cs="Times New Roman"/>
          <w:sz w:val="24"/>
          <w:szCs w:val="24"/>
        </w:rPr>
        <w:t>π</w:t>
      </w:r>
      <w:bookmarkEnd w:id="22"/>
      <w:bookmarkEnd w:id="23"/>
      <w:r w:rsidRPr="00912DAA">
        <w:rPr>
          <w:rFonts w:ascii="Times New Roman" w:hAnsi="Times New Roman" w:cs="Times New Roman"/>
          <w:sz w:val="24"/>
          <w:szCs w:val="24"/>
        </w:rPr>
        <w:t xml:space="preserve"> method was proposed by </w:t>
      </w:r>
      <w:r w:rsidRPr="00912DAA">
        <w:rPr>
          <w:rFonts w:ascii="Times New Roman" w:hAnsi="Times New Roman" w:cs="Times New Roman"/>
          <w:sz w:val="24"/>
          <w:szCs w:val="24"/>
        </w:rPr>
        <w:fldChar w:fldCharType="begin" w:fldLock="1"/>
      </w:r>
      <w:r w:rsidRPr="00912DAA">
        <w:rPr>
          <w:rFonts w:ascii="Times New Roman" w:hAnsi="Times New Roman" w:cs="Times New Roman"/>
          <w:sz w:val="24"/>
          <w:szCs w:val="24"/>
        </w:rPr>
        <w:instrText>ADDIN CSL_CITATION {"citationItems":[{"id":"ITEM-1","itemData":{"DOI":"10.1186/1471-2105-12-186","ISBN":"1471-2105 (Electronic)\\n1471-2105 (Linking)","ISSN":"1471-2105","PMID":"21605355","abstract":"Two bayesian methods, BayesCπ and BayesDπ, were developed for genomic prediction to address the drawback of BayesA and BayesB regarding the impact of prior hyperparameters and treat the prior probability π that a SNP has zero effect as unknown. The methods were compared in terms of inference of the number of QTL and accuracy of genomic estimated breeding values (GEBVs), using simulated scenarios and real data from North American Holstein bulls.","author":[{"dropping-particle":"","family":"Habier","given":"David","non-dropping-particle":"","parse-names":false,"suffix":""},{"dropping-particle":"","family":"Fernando","given":"Rohan L","non-dropping-particle":"","parse-names":false,"suffix":""},{"dropping-particle":"","family":"Kizilkaya","given":"Kadir","non-dropping-particle":"","parse-names":false,"suffix":""},{"dropping-particle":"","family":"Garrick","given":"Dorian J","non-dropping-particle":"","parse-names":false,"suffix":""}],"container-title":"BMC Bioinformatics","id":"ITEM-1","issue":"1","issued":{"date-parts":[["2011","12","23"]]},"page":"186-198","publisher":"BioMed Central Ltd","title":"Extension of the bayesian alphabet for genomic selection","type":"article-journal","volume":"12"},"uris":["http://www.mendeley.com/documents/?uuid=743f02d2-64aa-484c-9347-8807b20990d8"]}],"mendeley":{"formattedCitation":"[11]","manualFormatting":"Habier et al. (2011)","plainTextFormattedCitation":"[11]","previouslyFormattedCitation":"(Habier et al., 2011)"},"properties":{"noteIndex":0},"schema":"https://github.com/citation-style-language/schema/raw/master/csl-citation.json"}</w:instrText>
      </w:r>
      <w:r w:rsidRPr="00912DAA">
        <w:rPr>
          <w:rFonts w:ascii="Times New Roman" w:hAnsi="Times New Roman" w:cs="Times New Roman"/>
          <w:sz w:val="24"/>
          <w:szCs w:val="24"/>
        </w:rPr>
        <w:fldChar w:fldCharType="separate"/>
      </w:r>
      <w:r w:rsidRPr="00912DAA">
        <w:rPr>
          <w:rFonts w:ascii="Times New Roman" w:hAnsi="Times New Roman" w:cs="Times New Roman"/>
          <w:noProof/>
          <w:sz w:val="24"/>
          <w:szCs w:val="24"/>
        </w:rPr>
        <w:t xml:space="preserve">Habier </w:t>
      </w:r>
      <w:r w:rsidRPr="00912DAA">
        <w:rPr>
          <w:rFonts w:ascii="Times New Roman" w:hAnsi="Times New Roman" w:cs="Times New Roman"/>
          <w:i/>
          <w:noProof/>
          <w:sz w:val="24"/>
          <w:szCs w:val="24"/>
        </w:rPr>
        <w:t>et al.</w:t>
      </w:r>
      <w:r w:rsidRPr="00912DAA">
        <w:rPr>
          <w:rFonts w:ascii="Times New Roman" w:hAnsi="Times New Roman" w:cs="Times New Roman"/>
          <w:noProof/>
          <w:sz w:val="24"/>
          <w:szCs w:val="24"/>
        </w:rPr>
        <w:t xml:space="preserve"> (2011)</w:t>
      </w:r>
      <w:r w:rsidRPr="00912DAA">
        <w:rPr>
          <w:rFonts w:ascii="Times New Roman" w:hAnsi="Times New Roman" w:cs="Times New Roman"/>
          <w:sz w:val="24"/>
          <w:szCs w:val="24"/>
        </w:rPr>
        <w:fldChar w:fldCharType="end"/>
      </w:r>
      <w:r w:rsidRPr="00912DAA">
        <w:rPr>
          <w:rFonts w:ascii="Times New Roman" w:hAnsi="Times New Roman" w:cs="Times New Roman"/>
          <w:sz w:val="24"/>
          <w:szCs w:val="24"/>
        </w:rPr>
        <w:t xml:space="preserve"> [10], and assumed that the vast majority of genetic markers have null effect, with a small proportion of SNPs with non-null effect. The prior distribution of the genetic markers (</w:t>
      </w:r>
      <w:r w:rsidRPr="00912DAA">
        <w:rPr>
          <w:rFonts w:ascii="Times New Roman" w:hAnsi="Times New Roman" w:cs="Times New Roman"/>
          <w:position w:val="-14"/>
          <w:sz w:val="24"/>
          <w:szCs w:val="24"/>
        </w:rPr>
        <w:object w:dxaOrig="279" w:dyaOrig="380" w14:anchorId="1E2D8805">
          <v:shape id="_x0000_i1057" type="#_x0000_t75" style="width:18pt;height:24pt" o:ole="">
            <v:imagedata r:id="rId46" o:title=""/>
          </v:shape>
          <o:OLEObject Type="Embed" ProgID="Equation.3" ShapeID="_x0000_i1057" DrawAspect="Content" ObjectID="_1653332840" r:id="rId66"/>
        </w:object>
      </w:r>
      <w:r w:rsidRPr="00912DAA">
        <w:rPr>
          <w:rFonts w:ascii="Times New Roman" w:hAnsi="Times New Roman" w:cs="Times New Roman"/>
          <w:sz w:val="24"/>
          <w:szCs w:val="24"/>
        </w:rPr>
        <w:t xml:space="preserve">) depends on the variance </w:t>
      </w:r>
      <w:r w:rsidRPr="00912DAA">
        <w:rPr>
          <w:position w:val="-16"/>
        </w:rPr>
        <w:object w:dxaOrig="360" w:dyaOrig="420" w14:anchorId="53C7F54B">
          <v:shape id="_x0000_i1058" type="#_x0000_t75" style="width:18pt;height:24pt" o:ole="">
            <v:imagedata r:id="rId67" o:title=""/>
          </v:shape>
          <o:OLEObject Type="Embed" ProgID="Equation.3" ShapeID="_x0000_i1058" DrawAspect="Content" ObjectID="_1653332841" r:id="rId68"/>
        </w:object>
      </w:r>
      <w:r w:rsidRPr="00912DAA">
        <w:t xml:space="preserve"> </w:t>
      </w:r>
      <w:r w:rsidRPr="00912DAA">
        <w:rPr>
          <w:rFonts w:ascii="Times New Roman" w:hAnsi="Times New Roman" w:cs="Times New Roman"/>
          <w:sz w:val="24"/>
          <w:szCs w:val="24"/>
        </w:rPr>
        <w:t xml:space="preserve">and the probability π of a marker having zero </w:t>
      </w:r>
      <w:r w:rsidRPr="00912DAA">
        <w:rPr>
          <w:rFonts w:ascii="Times New Roman" w:hAnsi="Times New Roman" w:cs="Times New Roman"/>
          <w:noProof/>
          <w:sz w:val="24"/>
          <w:szCs w:val="24"/>
        </w:rPr>
        <w:t xml:space="preserve">effect. These mixture of distributions </w:t>
      </w:r>
      <w:r w:rsidRPr="00912DAA">
        <w:rPr>
          <w:rFonts w:ascii="Times New Roman" w:hAnsi="Times New Roman" w:cs="Times New Roman"/>
          <w:sz w:val="24"/>
          <w:szCs w:val="24"/>
        </w:rPr>
        <w:t xml:space="preserve">are described as follows: </w:t>
      </w:r>
    </w:p>
    <w:p w14:paraId="7CE60EC2" w14:textId="77777777" w:rsidR="00E30D2A" w:rsidRPr="00912DAA" w:rsidRDefault="00E30D2A" w:rsidP="00E30D2A">
      <w:pPr>
        <w:spacing w:after="0" w:line="48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j</m:t>
              </m:r>
            </m:sub>
          </m:sSub>
          <m:r>
            <w:rPr>
              <w:rFonts w:ascii="Cambria Math" w:hAnsi="Cambria Math" w:cs="Times New Roman"/>
              <w:sz w:val="24"/>
              <w:szCs w:val="24"/>
            </w:rPr>
            <m:t>|π,</m:t>
          </m:r>
          <m:sSubSup>
            <m:sSubSupPr>
              <m:ctrlPr>
                <w:rPr>
                  <w:rFonts w:ascii="Cambria Math" w:hAnsi="Cambria Math" w:cs="Times New Roman"/>
                  <w:i/>
                  <w:sz w:val="24"/>
                  <w:szCs w:val="24"/>
                </w:rPr>
              </m:ctrlPr>
            </m:sSubSupPr>
            <m:e>
              <m:r>
                <w:rPr>
                  <w:rFonts w:ascii="Cambria Math" w:hAnsi="Cambria Math" w:cs="Times New Roman"/>
                  <w:sz w:val="24"/>
                  <w:szCs w:val="24"/>
                </w:rPr>
                <m:t>σ</m:t>
              </m:r>
            </m:e>
            <m:sub>
              <m:r>
                <w:rPr>
                  <w:rFonts w:ascii="Cambria Math" w:hAnsi="Cambria Math" w:cs="Times New Roman"/>
                  <w:sz w:val="24"/>
                  <w:szCs w:val="24"/>
                </w:rPr>
                <m:t>a</m:t>
              </m:r>
            </m:sub>
            <m:sup>
              <m:r>
                <w:rPr>
                  <w:rFonts w:ascii="Cambria Math" w:hAnsi="Cambria Math" w:cs="Times New Roman"/>
                  <w:sz w:val="24"/>
                  <w:szCs w:val="24"/>
                </w:rPr>
                <m:t>2</m:t>
              </m:r>
            </m:sup>
          </m:sSubSup>
          <m:r>
            <w:rPr>
              <w:rFonts w:ascii="Cambria Math" w:hAnsi="Cambria Math" w:cs="Times New Roman"/>
              <w:sz w:val="24"/>
              <w:szCs w:val="24"/>
            </w:rPr>
            <m:t>=</m:t>
          </m:r>
          <m:d>
            <m:dPr>
              <m:begChr m:val="{"/>
              <m:endChr m:val=""/>
              <m:ctrlPr>
                <w:rPr>
                  <w:rFonts w:ascii="Cambria Math" w:hAnsi="Cambria Math" w:cs="Times New Roman"/>
                  <w:i/>
                  <w:sz w:val="24"/>
                  <w:szCs w:val="24"/>
                </w:rPr>
              </m:ctrlPr>
            </m:dPr>
            <m:e>
              <m:m>
                <m:mPr>
                  <m:mcs>
                    <m:mc>
                      <m:mcPr>
                        <m:count m:val="2"/>
                        <m:mcJc m:val="center"/>
                      </m:mcPr>
                    </m:mc>
                  </m:mcs>
                  <m:ctrlPr>
                    <w:rPr>
                      <w:rFonts w:ascii="Cambria Math" w:hAnsi="Cambria Math" w:cs="Times New Roman"/>
                      <w:i/>
                      <w:sz w:val="24"/>
                      <w:szCs w:val="24"/>
                    </w:rPr>
                  </m:ctrlPr>
                </m:mPr>
                <m:mr>
                  <m:e>
                    <m:r>
                      <m:rPr>
                        <m:sty m:val="p"/>
                      </m:rPr>
                      <w:rPr>
                        <w:rFonts w:ascii="Cambria Math" w:hAnsi="Cambria Math" w:cs="Times New Roman"/>
                        <w:sz w:val="24"/>
                        <w:szCs w:val="24"/>
                      </w:rPr>
                      <m:t>0</m:t>
                    </m:r>
                  </m:e>
                  <m:e>
                    <m:r>
                      <m:rPr>
                        <m:sty m:val="p"/>
                      </m:rPr>
                      <w:rPr>
                        <w:rFonts w:ascii="Cambria Math" w:hAnsi="Cambria Math" w:cs="Times New Roman"/>
                        <w:sz w:val="24"/>
                        <w:szCs w:val="24"/>
                      </w:rPr>
                      <m:t>with probability</m:t>
                    </m:r>
                    <m:r>
                      <w:rPr>
                        <w:rFonts w:ascii="Cambria Math" w:hAnsi="Cambria Math" w:cs="Times New Roman"/>
                        <w:sz w:val="24"/>
                        <w:szCs w:val="24"/>
                      </w:rPr>
                      <m:t xml:space="preserve"> π</m:t>
                    </m:r>
                  </m:e>
                </m:mr>
                <m:mr>
                  <m:e>
                    <m:r>
                      <m:rPr>
                        <m:sty m:val="p"/>
                      </m:rPr>
                      <w:rPr>
                        <w:rFonts w:ascii="Cambria Math" w:hAnsi="Cambria Math" w:cs="Times New Roman"/>
                        <w:sz w:val="24"/>
                        <w:szCs w:val="24"/>
                      </w:rPr>
                      <m:t>~N</m:t>
                    </m:r>
                    <m:r>
                      <w:rPr>
                        <w:rFonts w:ascii="Cambria Math" w:hAnsi="Cambria Math" w:cs="Times New Roman"/>
                        <w:sz w:val="24"/>
                        <w:szCs w:val="24"/>
                      </w:rPr>
                      <m:t>(</m:t>
                    </m:r>
                    <m:r>
                      <m:rPr>
                        <m:sty m:val="p"/>
                      </m:rPr>
                      <w:rPr>
                        <w:rFonts w:ascii="Cambria Math" w:hAnsi="Cambria Math" w:cs="Times New Roman"/>
                        <w:sz w:val="24"/>
                        <w:szCs w:val="24"/>
                      </w:rPr>
                      <m:t>0</m:t>
                    </m:r>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σ</m:t>
                        </m:r>
                      </m:e>
                      <m:sub>
                        <m:r>
                          <w:rPr>
                            <w:rFonts w:ascii="Cambria Math" w:hAnsi="Cambria Math" w:cs="Times New Roman"/>
                            <w:sz w:val="24"/>
                            <w:szCs w:val="24"/>
                          </w:rPr>
                          <m:t>a</m:t>
                        </m:r>
                      </m:sub>
                      <m:sup>
                        <m:r>
                          <w:rPr>
                            <w:rFonts w:ascii="Cambria Math" w:hAnsi="Cambria Math" w:cs="Times New Roman"/>
                            <w:sz w:val="24"/>
                            <w:szCs w:val="24"/>
                          </w:rPr>
                          <m:t>2</m:t>
                        </m:r>
                      </m:sup>
                    </m:sSubSup>
                    <m:r>
                      <w:rPr>
                        <w:rFonts w:ascii="Cambria Math" w:hAnsi="Cambria Math" w:cs="Times New Roman"/>
                        <w:sz w:val="24"/>
                        <w:szCs w:val="24"/>
                      </w:rPr>
                      <m:t>)</m:t>
                    </m:r>
                  </m:e>
                  <m:e>
                    <m:r>
                      <m:rPr>
                        <m:sty m:val="p"/>
                      </m:rPr>
                      <w:rPr>
                        <w:rFonts w:ascii="Cambria Math" w:hAnsi="Cambria Math" w:cs="Times New Roman"/>
                        <w:sz w:val="24"/>
                        <w:szCs w:val="24"/>
                      </w:rPr>
                      <m:t>with probability</m:t>
                    </m:r>
                    <m:r>
                      <w:rPr>
                        <w:rFonts w:ascii="Cambria Math" w:hAnsi="Cambria Math" w:cs="Times New Roman"/>
                        <w:sz w:val="24"/>
                        <w:szCs w:val="24"/>
                      </w:rPr>
                      <m:t xml:space="preserve"> (1-π)</m:t>
                    </m:r>
                  </m:e>
                </m:mr>
              </m:m>
            </m:e>
          </m:d>
        </m:oMath>
      </m:oMathPara>
    </w:p>
    <w:p w14:paraId="20D133D8" w14:textId="77777777" w:rsidR="00E30D2A" w:rsidRPr="00912DAA" w:rsidRDefault="00E30D2A" w:rsidP="00E30D2A">
      <w:pPr>
        <w:spacing w:after="0" w:line="480" w:lineRule="auto"/>
        <w:jc w:val="both"/>
        <w:rPr>
          <w:rFonts w:ascii="Times New Roman" w:hAnsi="Times New Roman" w:cs="Times New Roman"/>
          <w:sz w:val="24"/>
          <w:szCs w:val="24"/>
        </w:rPr>
      </w:pPr>
      <w:r w:rsidRPr="00912DAA">
        <w:rPr>
          <w:rFonts w:ascii="Times New Roman" w:hAnsi="Times New Roman" w:cs="Times New Roman"/>
          <w:sz w:val="24"/>
          <w:szCs w:val="24"/>
        </w:rPr>
        <w:t xml:space="preserve">A scale inverse chi-square distribution with parameters </w:t>
      </w:r>
      <w:r w:rsidRPr="00912DAA">
        <w:rPr>
          <w:rFonts w:ascii="Times New Roman" w:hAnsi="Times New Roman" w:cs="Times New Roman"/>
          <w:position w:val="-12"/>
          <w:sz w:val="24"/>
          <w:szCs w:val="24"/>
        </w:rPr>
        <w:object w:dxaOrig="260" w:dyaOrig="360" w14:anchorId="391A110B">
          <v:shape id="_x0000_i1059" type="#_x0000_t75" style="width:12pt;height:18pt" o:ole="">
            <v:imagedata r:id="rId69" o:title=""/>
          </v:shape>
          <o:OLEObject Type="Embed" ProgID="Equation.3" ShapeID="_x0000_i1059" DrawAspect="Content" ObjectID="_1653332842" r:id="rId70"/>
        </w:object>
      </w:r>
      <w:r w:rsidRPr="00912DAA">
        <w:rPr>
          <w:rFonts w:ascii="Times New Roman" w:hAnsi="Times New Roman" w:cs="Times New Roman"/>
          <w:sz w:val="24"/>
          <w:szCs w:val="24"/>
        </w:rPr>
        <w:t xml:space="preserve"> and </w:t>
      </w:r>
      <w:r w:rsidRPr="00912DAA">
        <w:rPr>
          <w:rFonts w:ascii="Times New Roman" w:hAnsi="Times New Roman" w:cs="Times New Roman"/>
          <w:position w:val="-12"/>
          <w:sz w:val="24"/>
          <w:szCs w:val="24"/>
        </w:rPr>
        <w:object w:dxaOrig="300" w:dyaOrig="380" w14:anchorId="380CA1D2">
          <v:shape id="_x0000_i1060" type="#_x0000_t75" style="width:18pt;height:18pt" o:ole="">
            <v:imagedata r:id="rId71" o:title=""/>
          </v:shape>
          <o:OLEObject Type="Embed" ProgID="Equation.3" ShapeID="_x0000_i1060" DrawAspect="Content" ObjectID="_1653332843" r:id="rId72"/>
        </w:object>
      </w:r>
      <w:r w:rsidRPr="00912DAA">
        <w:rPr>
          <w:rFonts w:ascii="Times New Roman" w:hAnsi="Times New Roman" w:cs="Times New Roman"/>
          <w:sz w:val="24"/>
          <w:szCs w:val="24"/>
        </w:rPr>
        <w:t xml:space="preserve"> was assumed for </w:t>
      </w:r>
      <w:r w:rsidRPr="00912DAA">
        <w:rPr>
          <w:position w:val="-12"/>
        </w:rPr>
        <w:object w:dxaOrig="300" w:dyaOrig="380" w14:anchorId="57A8D26C">
          <v:shape id="_x0000_i1061" type="#_x0000_t75" style="width:18pt;height:18pt" o:ole="">
            <v:imagedata r:id="rId73" o:title=""/>
          </v:shape>
          <o:OLEObject Type="Embed" ProgID="Equation.3" ShapeID="_x0000_i1061" DrawAspect="Content" ObjectID="_1653332844" r:id="rId74"/>
        </w:object>
      </w:r>
      <w:r w:rsidRPr="00912DAA">
        <w:rPr>
          <w:rFonts w:ascii="Times New Roman" w:hAnsi="Times New Roman" w:cs="Times New Roman"/>
          <w:sz w:val="24"/>
          <w:szCs w:val="24"/>
        </w:rPr>
        <w:t xml:space="preserve">, in which </w:t>
      </w:r>
      <w:r w:rsidRPr="00912DAA">
        <w:rPr>
          <w:rFonts w:ascii="Times New Roman" w:hAnsi="Times New Roman" w:cs="Times New Roman"/>
          <w:position w:val="-12"/>
          <w:sz w:val="24"/>
          <w:szCs w:val="24"/>
        </w:rPr>
        <w:object w:dxaOrig="820" w:dyaOrig="360" w14:anchorId="029D70F9">
          <v:shape id="_x0000_i1062" type="#_x0000_t75" style="width:42pt;height:18pt" o:ole="">
            <v:imagedata r:id="rId75" o:title=""/>
          </v:shape>
          <o:OLEObject Type="Embed" ProgID="Equation.3" ShapeID="_x0000_i1062" DrawAspect="Content" ObjectID="_1653332845" r:id="rId76"/>
        </w:object>
      </w:r>
      <w:r w:rsidRPr="00912DAA">
        <w:rPr>
          <w:rFonts w:ascii="Times New Roman" w:hAnsi="Times New Roman" w:cs="Times New Roman"/>
          <w:sz w:val="24"/>
          <w:szCs w:val="24"/>
        </w:rPr>
        <w:t xml:space="preserve"> </w:t>
      </w:r>
      <w:proofErr w:type="spellStart"/>
      <w:r w:rsidRPr="00912DAA">
        <w:rPr>
          <w:rFonts w:ascii="Times New Roman" w:hAnsi="Times New Roman" w:cs="Times New Roman"/>
          <w:sz w:val="24"/>
          <w:szCs w:val="24"/>
        </w:rPr>
        <w:t>and</w:t>
      </w:r>
      <w:proofErr w:type="spellEnd"/>
      <w:r w:rsidRPr="00912DAA">
        <w:rPr>
          <w:rFonts w:ascii="Times New Roman" w:hAnsi="Times New Roman" w:cs="Times New Roman"/>
          <w:sz w:val="24"/>
          <w:szCs w:val="24"/>
        </w:rPr>
        <w:t xml:space="preserve"> </w:t>
      </w:r>
      <w:r w:rsidRPr="00912DAA">
        <w:rPr>
          <w:rFonts w:ascii="Times New Roman" w:hAnsi="Times New Roman" w:cs="Times New Roman"/>
          <w:position w:val="-30"/>
          <w:sz w:val="24"/>
          <w:szCs w:val="24"/>
        </w:rPr>
        <w:object w:dxaOrig="1560" w:dyaOrig="720" w14:anchorId="6D03BDF9">
          <v:shape id="_x0000_i1063" type="#_x0000_t75" style="width:78pt;height:36pt" o:ole="">
            <v:imagedata r:id="rId77" o:title=""/>
          </v:shape>
          <o:OLEObject Type="Embed" ProgID="Equation.3" ShapeID="_x0000_i1063" DrawAspect="Content" ObjectID="_1653332846" r:id="rId78"/>
        </w:object>
      </w:r>
      <w:r w:rsidRPr="00912DAA">
        <w:rPr>
          <w:rFonts w:ascii="Times New Roman" w:hAnsi="Times New Roman" w:cs="Times New Roman"/>
          <w:sz w:val="24"/>
          <w:szCs w:val="24"/>
        </w:rPr>
        <w:t xml:space="preserve">.  The parameter </w:t>
      </w:r>
      <w:r w:rsidRPr="00912DAA">
        <w:rPr>
          <w:rFonts w:ascii="Times New Roman" w:hAnsi="Times New Roman" w:cs="Times New Roman"/>
          <w:position w:val="-12"/>
          <w:sz w:val="24"/>
          <w:szCs w:val="24"/>
        </w:rPr>
        <w:object w:dxaOrig="300" w:dyaOrig="380" w14:anchorId="439BD82B">
          <v:shape id="_x0000_i1064" type="#_x0000_t75" style="width:18pt;height:18pt" o:ole="">
            <v:imagedata r:id="rId79" o:title=""/>
          </v:shape>
          <o:OLEObject Type="Embed" ProgID="Equation.3" ShapeID="_x0000_i1064" DrawAspect="Content" ObjectID="_1653332847" r:id="rId80"/>
        </w:object>
      </w:r>
      <w:r w:rsidRPr="00912DAA">
        <w:rPr>
          <w:rFonts w:ascii="Times New Roman" w:hAnsi="Times New Roman" w:cs="Times New Roman"/>
          <w:sz w:val="24"/>
          <w:szCs w:val="24"/>
        </w:rPr>
        <w:t xml:space="preserve"> is equal to </w:t>
      </w:r>
      <w:r w:rsidRPr="00912DAA">
        <w:rPr>
          <w:rFonts w:ascii="Times New Roman" w:hAnsi="Times New Roman" w:cs="Times New Roman"/>
          <w:position w:val="-40"/>
          <w:sz w:val="24"/>
          <w:szCs w:val="24"/>
        </w:rPr>
        <w:object w:dxaOrig="2160" w:dyaOrig="820" w14:anchorId="4CC0CAF4">
          <v:shape id="_x0000_i1065" type="#_x0000_t75" style="width:108pt;height:42pt" o:ole="">
            <v:imagedata r:id="rId81" o:title=""/>
          </v:shape>
          <o:OLEObject Type="Embed" ProgID="Equation.3" ShapeID="_x0000_i1065" DrawAspect="Content" ObjectID="_1653332848" r:id="rId82"/>
        </w:object>
      </w:r>
      <w:r w:rsidRPr="00912DAA">
        <w:rPr>
          <w:rFonts w:ascii="Times New Roman" w:hAnsi="Times New Roman" w:cs="Times New Roman"/>
          <w:sz w:val="24"/>
          <w:szCs w:val="24"/>
        </w:rPr>
        <w:t>,</w:t>
      </w:r>
      <w:r w:rsidRPr="00912DAA">
        <w:t xml:space="preserve"> </w:t>
      </w:r>
      <w:r w:rsidRPr="00912DAA">
        <w:rPr>
          <w:rFonts w:ascii="Times New Roman" w:hAnsi="Times New Roman" w:cs="Times New Roman"/>
          <w:sz w:val="24"/>
        </w:rPr>
        <w:t>where</w:t>
      </w:r>
      <w:r w:rsidRPr="00912DAA">
        <w:t xml:space="preserve"> </w:t>
      </w:r>
      <w:r w:rsidRPr="00912DAA">
        <w:rPr>
          <w:position w:val="-12"/>
        </w:rPr>
        <w:object w:dxaOrig="300" w:dyaOrig="380" w14:anchorId="1B36CA9C">
          <v:shape id="_x0000_i1066" type="#_x0000_t75" style="width:18pt;height:18pt" o:ole="">
            <v:imagedata r:id="rId83" o:title=""/>
          </v:shape>
          <o:OLEObject Type="Embed" ProgID="Equation.3" ShapeID="_x0000_i1066" DrawAspect="Content" ObjectID="_1653332849" r:id="rId84"/>
        </w:object>
      </w:r>
      <w:r w:rsidRPr="00912DAA">
        <w:t xml:space="preserve"> </w:t>
      </w:r>
      <w:r w:rsidRPr="00912DAA">
        <w:rPr>
          <w:rFonts w:ascii="Times New Roman" w:hAnsi="Times New Roman" w:cs="Times New Roman"/>
          <w:sz w:val="24"/>
        </w:rPr>
        <w:lastRenderedPageBreak/>
        <w:t xml:space="preserve">is the variance explained by all markers and </w:t>
      </w:r>
      <w:r w:rsidRPr="00912DAA">
        <w:rPr>
          <w:rFonts w:ascii="Times New Roman" w:hAnsi="Times New Roman" w:cs="Times New Roman"/>
          <w:position w:val="-14"/>
        </w:rPr>
        <w:object w:dxaOrig="300" w:dyaOrig="380" w14:anchorId="20077F97">
          <v:shape id="_x0000_i1067" type="#_x0000_t75" style="width:18pt;height:18pt" o:ole="">
            <v:imagedata r:id="rId85" o:title=""/>
          </v:shape>
          <o:OLEObject Type="Embed" ProgID="Equation.3" ShapeID="_x0000_i1067" DrawAspect="Content" ObjectID="_1653332850" r:id="rId86"/>
        </w:object>
      </w:r>
      <w:r w:rsidRPr="00912DAA">
        <w:rPr>
          <w:rFonts w:ascii="Times New Roman" w:hAnsi="Times New Roman" w:cs="Times New Roman"/>
          <w:sz w:val="24"/>
        </w:rPr>
        <w:t xml:space="preserve"> is the allele frequency of the </w:t>
      </w:r>
      <w:proofErr w:type="spellStart"/>
      <w:r w:rsidRPr="00912DAA">
        <w:rPr>
          <w:rFonts w:ascii="Times New Roman" w:hAnsi="Times New Roman" w:cs="Times New Roman"/>
          <w:i/>
          <w:sz w:val="24"/>
        </w:rPr>
        <w:t>j</w:t>
      </w:r>
      <w:r w:rsidRPr="00912DAA">
        <w:rPr>
          <w:rFonts w:ascii="Times New Roman" w:hAnsi="Times New Roman" w:cs="Times New Roman"/>
          <w:i/>
          <w:sz w:val="24"/>
          <w:vertAlign w:val="superscript"/>
        </w:rPr>
        <w:t>th</w:t>
      </w:r>
      <w:proofErr w:type="spellEnd"/>
      <w:r w:rsidRPr="00912DAA">
        <w:rPr>
          <w:rFonts w:ascii="Times New Roman" w:hAnsi="Times New Roman" w:cs="Times New Roman"/>
          <w:sz w:val="24"/>
        </w:rPr>
        <w:t xml:space="preserve"> SNP. In the Bayes Cπ method, π is treated as unknown and a uniform </w:t>
      </w:r>
      <w:r w:rsidRPr="00912DAA">
        <w:rPr>
          <w:rFonts w:ascii="Times New Roman" w:hAnsi="Times New Roman" w:cs="Times New Roman"/>
          <w:i/>
          <w:sz w:val="24"/>
        </w:rPr>
        <w:t>prior</w:t>
      </w:r>
      <w:r w:rsidRPr="00912DAA">
        <w:rPr>
          <w:rFonts w:ascii="Times New Roman" w:hAnsi="Times New Roman" w:cs="Times New Roman"/>
          <w:sz w:val="24"/>
        </w:rPr>
        <w:t xml:space="preserve"> distribution (0,1) was assigned to this parameter. The inclusion/exclusion of each marker in the model is modeled by an indicator variable </w:t>
      </w:r>
      <w:r w:rsidRPr="00912DAA">
        <w:rPr>
          <w:rFonts w:ascii="Times New Roman" w:hAnsi="Times New Roman" w:cs="Times New Roman"/>
          <w:position w:val="-14"/>
          <w:sz w:val="24"/>
        </w:rPr>
        <w:object w:dxaOrig="260" w:dyaOrig="380" w14:anchorId="5AB6912E">
          <v:shape id="_x0000_i1068" type="#_x0000_t75" style="width:12pt;height:18pt" o:ole="">
            <v:imagedata r:id="rId87" o:title=""/>
          </v:shape>
          <o:OLEObject Type="Embed" ProgID="Equation.3" ShapeID="_x0000_i1068" DrawAspect="Content" ObjectID="_1653332851" r:id="rId88"/>
        </w:object>
      </w:r>
      <w:r w:rsidRPr="00912DAA">
        <w:rPr>
          <w:rFonts w:ascii="Times New Roman" w:hAnsi="Times New Roman" w:cs="Times New Roman"/>
          <w:sz w:val="24"/>
        </w:rPr>
        <w:t xml:space="preserve">, which is equal to 1 if the marker </w:t>
      </w:r>
      <w:r w:rsidRPr="00912DAA">
        <w:rPr>
          <w:rFonts w:ascii="Times New Roman" w:hAnsi="Times New Roman" w:cs="Times New Roman"/>
          <w:i/>
          <w:sz w:val="24"/>
        </w:rPr>
        <w:t>j</w:t>
      </w:r>
      <w:r w:rsidRPr="00912DAA">
        <w:rPr>
          <w:rFonts w:ascii="Times New Roman" w:hAnsi="Times New Roman" w:cs="Times New Roman"/>
          <w:sz w:val="24"/>
        </w:rPr>
        <w:t xml:space="preserve"> is fitted into the model, and zero otherwise. The prior distribution for the overall constant </w:t>
      </w:r>
      <w:r w:rsidRPr="00912DAA">
        <w:rPr>
          <w:rFonts w:ascii="Times New Roman" w:hAnsi="Times New Roman" w:cs="Times New Roman"/>
          <w:i/>
          <w:sz w:val="24"/>
          <w:szCs w:val="24"/>
        </w:rPr>
        <w:t>µ</w:t>
      </w:r>
      <w:r w:rsidRPr="00912DAA">
        <w:rPr>
          <w:rFonts w:ascii="Times New Roman" w:hAnsi="Times New Roman" w:cs="Times New Roman"/>
          <w:sz w:val="24"/>
        </w:rPr>
        <w:t xml:space="preserve"> and the residual variance </w:t>
      </w:r>
      <w:r w:rsidRPr="00912DAA">
        <w:rPr>
          <w:rFonts w:ascii="Times New Roman" w:hAnsi="Times New Roman" w:cs="Times New Roman"/>
          <w:position w:val="-12"/>
          <w:sz w:val="24"/>
          <w:szCs w:val="24"/>
        </w:rPr>
        <w:object w:dxaOrig="300" w:dyaOrig="380" w14:anchorId="28EC7CEF">
          <v:shape id="_x0000_i1069" type="#_x0000_t75" style="width:18pt;height:18pt" o:ole="">
            <v:imagedata r:id="rId48" o:title=""/>
          </v:shape>
          <o:OLEObject Type="Embed" ProgID="Equation.3" ShapeID="_x0000_i1069" DrawAspect="Content" ObjectID="_1653332852" r:id="rId89"/>
        </w:object>
      </w:r>
      <w:r w:rsidRPr="00912DAA">
        <w:rPr>
          <w:rFonts w:ascii="Times New Roman" w:hAnsi="Times New Roman" w:cs="Times New Roman"/>
          <w:sz w:val="24"/>
          <w:szCs w:val="24"/>
        </w:rPr>
        <w:t xml:space="preserve"> </w:t>
      </w:r>
      <w:r w:rsidRPr="00912DAA">
        <w:rPr>
          <w:rFonts w:ascii="Times New Roman" w:hAnsi="Times New Roman" w:cs="Times New Roman"/>
          <w:sz w:val="24"/>
        </w:rPr>
        <w:t xml:space="preserve">were the same as those specified in the BRR model. </w:t>
      </w:r>
    </w:p>
    <w:p w14:paraId="14BEB99E" w14:textId="77777777" w:rsidR="00E30D2A" w:rsidRPr="00912DAA" w:rsidRDefault="00E30D2A" w:rsidP="00E30D2A">
      <w:pPr>
        <w:spacing w:after="0" w:line="480" w:lineRule="auto"/>
        <w:jc w:val="both"/>
        <w:rPr>
          <w:rFonts w:ascii="Times New Roman" w:hAnsi="Times New Roman" w:cs="Times New Roman"/>
          <w:b/>
          <w:sz w:val="24"/>
          <w:szCs w:val="24"/>
        </w:rPr>
      </w:pPr>
    </w:p>
    <w:p w14:paraId="73E39532" w14:textId="77777777" w:rsidR="00E30D2A" w:rsidRPr="00912DAA" w:rsidRDefault="00E30D2A" w:rsidP="00E30D2A">
      <w:pPr>
        <w:spacing w:after="0" w:line="480" w:lineRule="auto"/>
        <w:jc w:val="both"/>
        <w:rPr>
          <w:rFonts w:ascii="Times New Roman" w:hAnsi="Times New Roman" w:cs="Times New Roman"/>
          <w:b/>
          <w:sz w:val="24"/>
          <w:szCs w:val="24"/>
        </w:rPr>
      </w:pPr>
      <w:r w:rsidRPr="00912DAA">
        <w:rPr>
          <w:rFonts w:ascii="Times New Roman" w:hAnsi="Times New Roman" w:cs="Times New Roman"/>
          <w:b/>
          <w:sz w:val="24"/>
          <w:szCs w:val="24"/>
        </w:rPr>
        <w:t>Deep Neural Networks</w:t>
      </w:r>
    </w:p>
    <w:p w14:paraId="7CDFA535" w14:textId="77777777" w:rsidR="00E30D2A" w:rsidRPr="00912DAA" w:rsidRDefault="00E30D2A" w:rsidP="00E30D2A">
      <w:pPr>
        <w:spacing w:after="0" w:line="480" w:lineRule="auto"/>
        <w:ind w:firstLine="720"/>
        <w:jc w:val="both"/>
        <w:rPr>
          <w:rFonts w:ascii="Times New Roman" w:hAnsi="Times New Roman" w:cs="Times New Roman"/>
          <w:sz w:val="24"/>
          <w:szCs w:val="24"/>
        </w:rPr>
      </w:pPr>
      <w:r w:rsidRPr="00912DAA">
        <w:rPr>
          <w:rFonts w:ascii="Times New Roman" w:hAnsi="Times New Roman" w:cs="Times New Roman"/>
          <w:sz w:val="24"/>
          <w:szCs w:val="24"/>
        </w:rPr>
        <w:t xml:space="preserve">Deep neural networks were implemented using a Multilayer Perceptron (MLPs) architecture, in which units from adjacent layers are fully connected, and contained a minimum of 3 layers (Figure 4). The first layer was the input layer composed by 49,361 units, with each unit representing an SNP. Initially, the inputs for each unit were coded as 0, 1, and 2, representing the number of copies for the reference allele. The inputs were standardized (mean = 0, variance = 1) to avoid numerical issues during the training of DNN. In this setting, each unit (i.e., SNP) has similar interpretation of a covariate in a linear regression model. The last layer in the MPLs is called output layer and provides the prediction (output) of the pre-adjusted body weight. The layers between input and output layers are defined as hidden layers. Connections between units are established through a structure referred to as weights. The training process of DNN occurs in two steps: forward and backward propagations. In the forward propagation, the information flows from the input to the output layer, and each unit transforms a linear combination of weights and inputs from the previous layer with an activation function, and outputs it to the units in the next layer. The output of each unit is obtained as </w:t>
      </w:r>
      <w:r w:rsidRPr="00912DAA">
        <w:rPr>
          <w:position w:val="-16"/>
        </w:rPr>
        <w:object w:dxaOrig="1880" w:dyaOrig="460" w14:anchorId="1381B3E5">
          <v:shape id="_x0000_i1070" type="#_x0000_t75" style="width:96pt;height:24pt" o:ole="">
            <v:imagedata r:id="rId90" o:title=""/>
          </v:shape>
          <o:OLEObject Type="Embed" ProgID="Equation.3" ShapeID="_x0000_i1070" DrawAspect="Content" ObjectID="_1653332853" r:id="rId91"/>
        </w:object>
      </w:r>
      <w:r w:rsidRPr="00912DAA">
        <w:rPr>
          <w:rFonts w:ascii="Times New Roman" w:hAnsi="Times New Roman" w:cs="Times New Roman"/>
          <w:sz w:val="24"/>
          <w:szCs w:val="24"/>
        </w:rPr>
        <w:t xml:space="preserve">, where </w:t>
      </w:r>
      <w:r w:rsidRPr="00912DAA">
        <w:rPr>
          <w:position w:val="-12"/>
        </w:rPr>
        <w:object w:dxaOrig="499" w:dyaOrig="360" w14:anchorId="71DF0E36">
          <v:shape id="_x0000_i1071" type="#_x0000_t75" style="width:24pt;height:18pt" o:ole="">
            <v:imagedata r:id="rId92" o:title=""/>
          </v:shape>
          <o:OLEObject Type="Embed" ProgID="Equation.3" ShapeID="_x0000_i1071" DrawAspect="Content" ObjectID="_1653332854" r:id="rId93"/>
        </w:object>
      </w:r>
      <w:r w:rsidRPr="00912DAA">
        <w:t xml:space="preserve"> </w:t>
      </w:r>
      <w:r w:rsidRPr="00912DAA">
        <w:rPr>
          <w:rFonts w:ascii="Times New Roman" w:hAnsi="Times New Roman" w:cs="Times New Roman"/>
          <w:sz w:val="24"/>
        </w:rPr>
        <w:t xml:space="preserve">is the activation function, </w:t>
      </w:r>
      <w:r w:rsidRPr="00912DAA">
        <w:rPr>
          <w:position w:val="-12"/>
        </w:rPr>
        <w:object w:dxaOrig="360" w:dyaOrig="360" w14:anchorId="15312C66">
          <v:shape id="_x0000_i1072" type="#_x0000_t75" style="width:18pt;height:18pt" o:ole="">
            <v:imagedata r:id="rId94" o:title=""/>
          </v:shape>
          <o:OLEObject Type="Embed" ProgID="Equation.3" ShapeID="_x0000_i1072" DrawAspect="Content" ObjectID="_1653332855" r:id="rId95"/>
        </w:object>
      </w:r>
      <w:r w:rsidRPr="00912DAA">
        <w:t xml:space="preserve"> </w:t>
      </w:r>
      <w:r w:rsidRPr="00912DAA">
        <w:rPr>
          <w:rFonts w:ascii="Times New Roman" w:hAnsi="Times New Roman" w:cs="Times New Roman"/>
          <w:sz w:val="24"/>
          <w:szCs w:val="24"/>
        </w:rPr>
        <w:t xml:space="preserve">is the weight of the </w:t>
      </w:r>
      <w:proofErr w:type="spellStart"/>
      <w:r w:rsidRPr="00912DAA">
        <w:rPr>
          <w:rFonts w:ascii="Times New Roman" w:hAnsi="Times New Roman" w:cs="Times New Roman"/>
          <w:i/>
          <w:sz w:val="24"/>
          <w:szCs w:val="24"/>
        </w:rPr>
        <w:t>r</w:t>
      </w:r>
      <w:r w:rsidRPr="00912DAA">
        <w:rPr>
          <w:rFonts w:ascii="Times New Roman" w:hAnsi="Times New Roman" w:cs="Times New Roman"/>
          <w:i/>
          <w:sz w:val="24"/>
          <w:szCs w:val="24"/>
          <w:vertAlign w:val="superscript"/>
        </w:rPr>
        <w:t>th</w:t>
      </w:r>
      <w:proofErr w:type="spellEnd"/>
      <w:r w:rsidRPr="00912DAA">
        <w:rPr>
          <w:rFonts w:ascii="Times New Roman" w:hAnsi="Times New Roman" w:cs="Times New Roman"/>
          <w:sz w:val="24"/>
          <w:szCs w:val="24"/>
        </w:rPr>
        <w:t xml:space="preserve"> unit to </w:t>
      </w:r>
      <w:r w:rsidRPr="00912DAA">
        <w:rPr>
          <w:rFonts w:ascii="Times New Roman" w:hAnsi="Times New Roman" w:cs="Times New Roman"/>
          <w:i/>
          <w:noProof/>
          <w:sz w:val="24"/>
          <w:szCs w:val="24"/>
        </w:rPr>
        <w:t>x</w:t>
      </w:r>
      <w:r w:rsidRPr="00912DAA">
        <w:rPr>
          <w:rFonts w:ascii="Times New Roman" w:hAnsi="Times New Roman" w:cs="Times New Roman"/>
          <w:i/>
          <w:noProof/>
          <w:sz w:val="24"/>
          <w:szCs w:val="24"/>
          <w:vertAlign w:val="subscript"/>
        </w:rPr>
        <w:t>s</w:t>
      </w:r>
      <w:r w:rsidRPr="00912DAA">
        <w:rPr>
          <w:rFonts w:ascii="Times New Roman" w:hAnsi="Times New Roman" w:cs="Times New Roman"/>
          <w:sz w:val="24"/>
          <w:szCs w:val="24"/>
        </w:rPr>
        <w:t xml:space="preserve"> input of neuron s from the previous layer, and </w:t>
      </w:r>
      <w:r w:rsidRPr="00912DAA">
        <w:rPr>
          <w:rFonts w:ascii="Times New Roman" w:hAnsi="Times New Roman" w:cs="Times New Roman"/>
          <w:i/>
          <w:sz w:val="24"/>
          <w:szCs w:val="24"/>
        </w:rPr>
        <w:t>z</w:t>
      </w:r>
      <w:r w:rsidRPr="00912DAA">
        <w:rPr>
          <w:rFonts w:ascii="Times New Roman" w:hAnsi="Times New Roman" w:cs="Times New Roman"/>
          <w:sz w:val="24"/>
          <w:szCs w:val="24"/>
        </w:rPr>
        <w:t xml:space="preserve"> is the number of units in the previous layer.</w:t>
      </w:r>
      <w:r w:rsidRPr="00912DAA">
        <w:t xml:space="preserve"> </w:t>
      </w:r>
      <w:r w:rsidRPr="00912DAA">
        <w:rPr>
          <w:rFonts w:ascii="Times New Roman" w:hAnsi="Times New Roman" w:cs="Times New Roman"/>
          <w:sz w:val="24"/>
          <w:szCs w:val="24"/>
        </w:rPr>
        <w:t xml:space="preserve">The information propagates in a similar way through the DNN layers, reaching the output layer that provides the prediction for pre-adjusted body weight. A linear activation function, i.e. </w:t>
      </w:r>
      <w:r w:rsidRPr="00912DAA">
        <w:rPr>
          <w:position w:val="-16"/>
        </w:rPr>
        <w:object w:dxaOrig="1060" w:dyaOrig="460" w14:anchorId="1A81056C">
          <v:shape id="_x0000_i1073" type="#_x0000_t75" style="width:54pt;height:24pt" o:ole="">
            <v:imagedata r:id="rId96" o:title=""/>
          </v:shape>
          <o:OLEObject Type="Embed" ProgID="Equation.3" ShapeID="_x0000_i1073" DrawAspect="Content" ObjectID="_1653332856" r:id="rId97"/>
        </w:object>
      </w:r>
      <w:r w:rsidRPr="00912DAA">
        <w:rPr>
          <w:rFonts w:ascii="Times New Roman" w:hAnsi="Times New Roman" w:cs="Times New Roman"/>
          <w:sz w:val="24"/>
          <w:szCs w:val="24"/>
        </w:rPr>
        <w:t xml:space="preserve">, was applied to the output layer, while rectified linear activation functions, i.e. </w:t>
      </w:r>
      <w:r w:rsidRPr="00912DAA">
        <w:rPr>
          <w:rFonts w:ascii="Times New Roman" w:hAnsi="Times New Roman" w:cs="Times New Roman"/>
          <w:position w:val="-16"/>
          <w:sz w:val="24"/>
          <w:szCs w:val="24"/>
        </w:rPr>
        <w:object w:dxaOrig="1820" w:dyaOrig="460" w14:anchorId="62B9B4D5">
          <v:shape id="_x0000_i1074" type="#_x0000_t75" style="width:90pt;height:24pt" o:ole="">
            <v:imagedata r:id="rId98" o:title=""/>
          </v:shape>
          <o:OLEObject Type="Embed" ProgID="Equation.3" ShapeID="_x0000_i1074" DrawAspect="Content" ObjectID="_1653332857" r:id="rId99"/>
        </w:object>
      </w:r>
      <w:r w:rsidRPr="00912DAA">
        <w:rPr>
          <w:rFonts w:ascii="Times New Roman" w:hAnsi="Times New Roman" w:cs="Times New Roman"/>
          <w:sz w:val="24"/>
          <w:szCs w:val="24"/>
        </w:rPr>
        <w:t>, were considered for neurons in the hidden layers. In the backward propagation step, the weights of the DNN are adjusted via a stochastic gradient descent algorithm, which involves the use of partial derivatives with the intent to minimize the loss function. Hence, the main goal during the training of DNN is to find optimal weights, such that the loss function is minimized. In the present study, weights were initialized with a normal distribution with mean zero and variance 10</w:t>
      </w:r>
      <w:r w:rsidRPr="00912DAA">
        <w:rPr>
          <w:rFonts w:ascii="Times New Roman" w:hAnsi="Times New Roman" w:cs="Times New Roman"/>
          <w:sz w:val="24"/>
          <w:szCs w:val="24"/>
          <w:vertAlign w:val="superscript"/>
        </w:rPr>
        <w:t>-4</w:t>
      </w:r>
      <w:r w:rsidRPr="00912DAA">
        <w:rPr>
          <w:rFonts w:ascii="Times New Roman" w:hAnsi="Times New Roman" w:cs="Times New Roman"/>
          <w:sz w:val="24"/>
          <w:szCs w:val="24"/>
        </w:rPr>
        <w:t xml:space="preserve">, and the loss function included a ridge penalization (L2) which is represented in matrix notation as follows: </w:t>
      </w:r>
    </w:p>
    <w:p w14:paraId="2AD1E0CF" w14:textId="77777777" w:rsidR="00E30D2A" w:rsidRPr="00912DAA" w:rsidRDefault="00E30D2A" w:rsidP="00E30D2A">
      <w:pPr>
        <w:spacing w:after="0" w:line="480" w:lineRule="auto"/>
        <w:jc w:val="center"/>
        <w:rPr>
          <w:rFonts w:ascii="Times New Roman" w:hAnsi="Times New Roman" w:cs="Times New Roman"/>
          <w:sz w:val="24"/>
          <w:szCs w:val="24"/>
        </w:rPr>
      </w:pPr>
      <w:r w:rsidRPr="00912DAA">
        <w:rPr>
          <w:rFonts w:ascii="Times New Roman" w:hAnsi="Times New Roman" w:cs="Times New Roman"/>
          <w:position w:val="-10"/>
          <w:sz w:val="24"/>
          <w:szCs w:val="24"/>
        </w:rPr>
        <w:object w:dxaOrig="3060" w:dyaOrig="380" w14:anchorId="095B3CDA">
          <v:shape id="_x0000_i1075" type="#_x0000_t75" style="width:150pt;height:18pt" o:ole="">
            <v:imagedata r:id="rId100" o:title=""/>
          </v:shape>
          <o:OLEObject Type="Embed" ProgID="Equation.3" ShapeID="_x0000_i1075" DrawAspect="Content" ObjectID="_1653332858" r:id="rId101"/>
        </w:object>
      </w:r>
    </w:p>
    <w:p w14:paraId="50AA3718" w14:textId="77777777" w:rsidR="00E30D2A" w:rsidRPr="00912DAA" w:rsidRDefault="00E30D2A" w:rsidP="00E30D2A">
      <w:pPr>
        <w:spacing w:after="0" w:line="480" w:lineRule="auto"/>
        <w:jc w:val="both"/>
        <w:rPr>
          <w:rFonts w:ascii="Times New Roman" w:hAnsi="Times New Roman" w:cs="Times New Roman"/>
          <w:sz w:val="24"/>
          <w:szCs w:val="24"/>
        </w:rPr>
      </w:pPr>
      <w:r w:rsidRPr="00912DAA">
        <w:rPr>
          <w:rFonts w:ascii="Times New Roman" w:hAnsi="Times New Roman" w:cs="Times New Roman"/>
          <w:sz w:val="24"/>
          <w:szCs w:val="24"/>
        </w:rPr>
        <w:t xml:space="preserve">where </w:t>
      </w:r>
      <w:r w:rsidRPr="00912DAA">
        <w:rPr>
          <w:rFonts w:ascii="Times New Roman" w:hAnsi="Times New Roman" w:cs="Times New Roman"/>
          <w:position w:val="-10"/>
          <w:sz w:val="24"/>
          <w:szCs w:val="24"/>
        </w:rPr>
        <w:object w:dxaOrig="720" w:dyaOrig="320" w14:anchorId="0C3A3923">
          <v:shape id="_x0000_i1076" type="#_x0000_t75" style="width:36pt;height:18pt" o:ole="">
            <v:imagedata r:id="rId102" o:title=""/>
          </v:shape>
          <o:OLEObject Type="Embed" ProgID="Equation.3" ShapeID="_x0000_i1076" DrawAspect="Content" ObjectID="_1653332859" r:id="rId103"/>
        </w:object>
      </w:r>
      <w:r w:rsidRPr="00912DAA">
        <w:rPr>
          <w:rFonts w:ascii="Times New Roman" w:hAnsi="Times New Roman" w:cs="Times New Roman"/>
          <w:sz w:val="24"/>
          <w:szCs w:val="24"/>
        </w:rPr>
        <w:t xml:space="preserve"> is the penalized loss function, </w:t>
      </w:r>
      <w:r w:rsidRPr="00912DAA">
        <w:rPr>
          <w:rFonts w:ascii="Times New Roman" w:hAnsi="Times New Roman" w:cs="Times New Roman"/>
          <w:position w:val="-10"/>
          <w:sz w:val="24"/>
          <w:szCs w:val="24"/>
        </w:rPr>
        <w:object w:dxaOrig="200" w:dyaOrig="260" w14:anchorId="30AEA133">
          <v:shape id="_x0000_i1077" type="#_x0000_t75" style="width:12pt;height:12pt" o:ole="">
            <v:imagedata r:id="rId104" o:title=""/>
          </v:shape>
          <o:OLEObject Type="Embed" ProgID="Equation.3" ShapeID="_x0000_i1077" DrawAspect="Content" ObjectID="_1653332860" r:id="rId105"/>
        </w:object>
      </w:r>
      <w:r w:rsidRPr="00912DAA">
        <w:rPr>
          <w:rFonts w:ascii="Times New Roman" w:hAnsi="Times New Roman" w:cs="Times New Roman"/>
          <w:sz w:val="24"/>
          <w:szCs w:val="24"/>
        </w:rPr>
        <w:t xml:space="preserve"> is the vector of pre-corrected body weights, </w:t>
      </w:r>
      <w:r w:rsidRPr="00912DAA">
        <w:rPr>
          <w:rFonts w:ascii="Times New Roman" w:hAnsi="Times New Roman" w:cs="Times New Roman"/>
          <w:position w:val="-6"/>
          <w:sz w:val="24"/>
          <w:szCs w:val="24"/>
        </w:rPr>
        <w:object w:dxaOrig="200" w:dyaOrig="279" w14:anchorId="366ADED2">
          <v:shape id="_x0000_i1078" type="#_x0000_t75" style="width:12pt;height:12pt" o:ole="">
            <v:imagedata r:id="rId106" o:title=""/>
          </v:shape>
          <o:OLEObject Type="Embed" ProgID="Equation.3" ShapeID="_x0000_i1078" DrawAspect="Content" ObjectID="_1653332861" r:id="rId107"/>
        </w:object>
      </w:r>
      <w:r w:rsidRPr="00912DAA">
        <w:rPr>
          <w:rFonts w:ascii="Times New Roman" w:hAnsi="Times New Roman" w:cs="Times New Roman"/>
          <w:sz w:val="24"/>
          <w:szCs w:val="24"/>
        </w:rPr>
        <w:t xml:space="preserve"> is vector of predicted body weights, </w:t>
      </w:r>
      <w:r w:rsidRPr="00912DAA">
        <w:rPr>
          <w:rFonts w:ascii="Times New Roman" w:hAnsi="Times New Roman" w:cs="Times New Roman"/>
          <w:position w:val="-6"/>
          <w:sz w:val="24"/>
          <w:szCs w:val="24"/>
        </w:rPr>
        <w:object w:dxaOrig="260" w:dyaOrig="220" w14:anchorId="3CF2E818">
          <v:shape id="_x0000_i1079" type="#_x0000_t75" style="width:12pt;height:12pt" o:ole="">
            <v:imagedata r:id="rId108" o:title=""/>
          </v:shape>
          <o:OLEObject Type="Embed" ProgID="Equation.3" ShapeID="_x0000_i1079" DrawAspect="Content" ObjectID="_1653332862" r:id="rId109"/>
        </w:object>
      </w:r>
      <w:r w:rsidRPr="00912DAA">
        <w:rPr>
          <w:rFonts w:ascii="Times New Roman" w:hAnsi="Times New Roman" w:cs="Times New Roman"/>
          <w:sz w:val="24"/>
          <w:szCs w:val="24"/>
        </w:rPr>
        <w:t xml:space="preserve"> is a vector of DNN weights, and </w:t>
      </w:r>
      <w:r w:rsidRPr="00912DAA">
        <w:rPr>
          <w:rFonts w:ascii="Times New Roman" w:hAnsi="Times New Roman" w:cs="Times New Roman"/>
          <w:position w:val="-4"/>
          <w:sz w:val="24"/>
          <w:szCs w:val="24"/>
        </w:rPr>
        <w:object w:dxaOrig="200" w:dyaOrig="260" w14:anchorId="4DBEB756">
          <v:shape id="_x0000_i1080" type="#_x0000_t75" style="width:12pt;height:12pt" o:ole="">
            <v:imagedata r:id="rId110" o:title=""/>
          </v:shape>
          <o:OLEObject Type="Embed" ProgID="Equation.3" ShapeID="_x0000_i1080" DrawAspect="Content" ObjectID="_1653332863" r:id="rId111"/>
        </w:object>
      </w:r>
      <w:r w:rsidRPr="00912DAA">
        <w:rPr>
          <w:rFonts w:ascii="Times New Roman" w:hAnsi="Times New Roman" w:cs="Times New Roman"/>
          <w:sz w:val="24"/>
          <w:szCs w:val="24"/>
        </w:rPr>
        <w:t xml:space="preserve"> is the regularization parameter. Moreover, the DNN optimization was performed with the Adam algorithm, which is an extension of the stochastic gradient descent that accounts for the first and second moments of the gradients </w:t>
      </w:r>
      <w:r w:rsidRPr="00912DAA">
        <w:rPr>
          <w:rFonts w:ascii="Times New Roman" w:hAnsi="Times New Roman" w:cs="Times New Roman"/>
          <w:sz w:val="24"/>
          <w:szCs w:val="24"/>
        </w:rPr>
        <w:fldChar w:fldCharType="begin" w:fldLock="1"/>
      </w:r>
      <w:r w:rsidRPr="00912DAA">
        <w:rPr>
          <w:rFonts w:ascii="Times New Roman" w:hAnsi="Times New Roman" w:cs="Times New Roman"/>
          <w:sz w:val="24"/>
          <w:szCs w:val="24"/>
        </w:rPr>
        <w:instrText>ADDIN CSL_CITATION {"citationItems":[{"id":"ITEM-1","itemData":{"DOI":"10.1063/1.4902458","ISBN":"9780735412705","ISSN":"15517616","abstract":"We introduce Adam, an algorithm for first-order gradient-based optimization of stochastic objective functions, based on adaptive estimates of lower-order moments. The method is straightforward to implement, is computationally efficient, has little memory requirements, is invariant to diagonal rescaling of the gradients, and is well suited for problems that are large in terms of data and/or parameters. The method is also appropriate for non-stationary objectives and problems with very noisy and/or sparse gradients. The hyper-parameters have intuitive interpretations and typically require little tuning. Some connections to related algorithms, on which Adam was inspired, are discussed. We also analyze the theoretical convergence properties of the algorithm and provide a regret bound on the convergence rate that is comparable to the best known results under the online convex optimization framework. Empirical results demonstrate that Adam works well in practice and compares favorably to other stochastic optimization methods. Finally, we discuss AdaMax, a variant of Adam based on the infinity norm.","author":[{"dropping-particle":"","family":"Kingma","given":"Diederik P.","non-dropping-particle":"","parse-names":false,"suffix":""},{"dropping-particle":"","family":"Ba","given":"Jimmy","non-dropping-particle":"","parse-names":false,"suffix":""}],"container-title":"arXiv","id":"ITEM-1","issued":{"date-parts":[["2014","12","22"]]},"page":"58-62","title":"Adam: A Method for Stochastic Optimization","type":"article-journal","volume":"1631"},"uris":["http://www.mendeley.com/documents/?uuid=0b3e80fd-965f-4bd1-a28a-0f2a425a68b4"]}],"mendeley":{"formattedCitation":"[34]","plainTextFormattedCitation":"[34]","previouslyFormattedCitation":"(Kingma and Ba, 2014)"},"properties":{"noteIndex":0},"schema":"https://github.com/citation-style-language/schema/raw/master/csl-citation.json"}</w:instrText>
      </w:r>
      <w:r w:rsidRPr="00912DAA">
        <w:rPr>
          <w:rFonts w:ascii="Times New Roman" w:hAnsi="Times New Roman" w:cs="Times New Roman"/>
          <w:sz w:val="24"/>
          <w:szCs w:val="24"/>
        </w:rPr>
        <w:fldChar w:fldCharType="separate"/>
      </w:r>
      <w:r w:rsidRPr="00912DAA">
        <w:rPr>
          <w:rFonts w:ascii="Times New Roman" w:hAnsi="Times New Roman" w:cs="Times New Roman"/>
          <w:noProof/>
          <w:sz w:val="24"/>
          <w:szCs w:val="24"/>
        </w:rPr>
        <w:t>[44]</w:t>
      </w:r>
      <w:r w:rsidRPr="00912DAA">
        <w:rPr>
          <w:rFonts w:ascii="Times New Roman" w:hAnsi="Times New Roman" w:cs="Times New Roman"/>
          <w:sz w:val="24"/>
          <w:szCs w:val="24"/>
        </w:rPr>
        <w:fldChar w:fldCharType="end"/>
      </w:r>
      <w:r w:rsidRPr="00912DAA">
        <w:rPr>
          <w:rFonts w:ascii="Times New Roman" w:hAnsi="Times New Roman" w:cs="Times New Roman"/>
          <w:sz w:val="24"/>
          <w:szCs w:val="24"/>
        </w:rPr>
        <w:t>. Deep neural networks were trained with a learning rate of 10</w:t>
      </w:r>
      <w:r w:rsidRPr="00912DAA">
        <w:rPr>
          <w:rFonts w:ascii="Times New Roman" w:hAnsi="Times New Roman" w:cs="Times New Roman"/>
          <w:sz w:val="24"/>
          <w:szCs w:val="24"/>
          <w:vertAlign w:val="superscript"/>
        </w:rPr>
        <w:t>-4</w:t>
      </w:r>
      <w:r w:rsidRPr="00912DAA">
        <w:rPr>
          <w:rFonts w:ascii="Times New Roman" w:hAnsi="Times New Roman" w:cs="Times New Roman"/>
          <w:sz w:val="24"/>
          <w:szCs w:val="24"/>
        </w:rPr>
        <w:t xml:space="preserve"> and a mini-batch size of 256 instances.   </w:t>
      </w:r>
    </w:p>
    <w:p w14:paraId="2D108204" w14:textId="77777777" w:rsidR="00E30D2A" w:rsidRPr="00912DAA" w:rsidRDefault="00E30D2A" w:rsidP="00E30D2A">
      <w:pPr>
        <w:spacing w:after="0" w:line="480" w:lineRule="auto"/>
        <w:ind w:firstLine="720"/>
        <w:jc w:val="both"/>
        <w:rPr>
          <w:rFonts w:ascii="Times New Roman" w:hAnsi="Times New Roman" w:cs="Times New Roman"/>
          <w:sz w:val="24"/>
          <w:szCs w:val="24"/>
        </w:rPr>
      </w:pPr>
      <w:r w:rsidRPr="00912DAA">
        <w:rPr>
          <w:rFonts w:ascii="Times New Roman" w:hAnsi="Times New Roman" w:cs="Times New Roman"/>
          <w:sz w:val="24"/>
          <w:szCs w:val="24"/>
        </w:rPr>
        <w:t xml:space="preserve">A common challenge when modeling DNN is overfitting. Besides to the ridge penalization, we implemented DNN using two additional approaches to tackle potential overfitting: early stopping and dropout </w:t>
      </w:r>
      <w:r w:rsidRPr="00912DAA">
        <w:rPr>
          <w:rFonts w:ascii="Times New Roman" w:hAnsi="Times New Roman" w:cs="Times New Roman"/>
          <w:sz w:val="24"/>
          <w:szCs w:val="24"/>
        </w:rPr>
        <w:fldChar w:fldCharType="begin" w:fldLock="1"/>
      </w:r>
      <w:r w:rsidRPr="00912DAA">
        <w:rPr>
          <w:rFonts w:ascii="Times New Roman" w:hAnsi="Times New Roman" w:cs="Times New Roman"/>
          <w:sz w:val="24"/>
          <w:szCs w:val="24"/>
        </w:rPr>
        <w:instrText>ADDIN CSL_CITATION {"citationItems":[{"id":"ITEM-1","itemData":{"DOI":"10.1214/12-AOS1000","ISBN":"1532-4435","ISSN":"15337928","PMID":"23285570","abstract":"Deep neural nets with a large number of parameters are very powerful machine learning systems. However, overfitting is a serious problem in such networks. Large networks are also slow to use, making it difficult to deal with overfitting by combining the predictions of many different large neural nets at test time. Dropout is a technique for addressing this problem. The key idea is to randomly drop units (along with their connections) from the neural network during training. This prevents units from co-adapting too much. During training, dropout samples from an exponential number of different “thinned” networks. At test time, it is easy to approximate the effect of averaging the predictions of all these thinned networks by simply using a single unthinned network that has smaller weights. This significantly reduces overfitting and gives major improvements over other regularization methods. We show that dropout improves the performance of neural networks on supervised learning tasks in vision, speech recognition, document classification and computational biology, obtaining","author":[{"dropping-particle":"","family":"Srivastava","given":"Nitish","non-dropping-particle":"","parse-names":false,"suffix":""},{"dropping-particle":"","family":"Hinton","given":"Geoffrey","non-dropping-particle":"","parse-names":false,"suffix":""},{"dropping-particle":"","family":"Krizhevsky","given":"Alex","non-dropping-particle":"","parse-names":false,"suffix":""},{"dropping-particle":"","family":"Sutskever","given":"Ilya","non-dropping-particle":"","parse-names":false,"suffix":""},{"dropping-particle":"","family":"Salakhutdinov","given":"Ruslan","non-dropping-particle":"","parse-names":false,"suffix":""}],"container-title":"Journal of Machine Learning Research","id":"ITEM-1","issued":{"date-parts":[["2014"]]},"page":"1929-1958","title":"Dropout: A simple way to prevent neural networks from overfitting","type":"article-journal","volume":"15"},"uris":["http://www.mendeley.com/documents/?uuid=2d160ef1-c841-4e4b-8507-015b3e449cd2"]}],"mendeley":{"formattedCitation":"[25]","manualFormatting":"[27]","plainTextFormattedCitation":"[25]","previouslyFormattedCitation":"(Srivastava et al., 2014)"},"properties":{"noteIndex":0},"schema":"https://github.com/citation-style-language/schema/raw/master/csl-citation.json"}</w:instrText>
      </w:r>
      <w:r w:rsidRPr="00912DAA">
        <w:rPr>
          <w:rFonts w:ascii="Times New Roman" w:hAnsi="Times New Roman" w:cs="Times New Roman"/>
          <w:sz w:val="24"/>
          <w:szCs w:val="24"/>
        </w:rPr>
        <w:fldChar w:fldCharType="separate"/>
      </w:r>
      <w:r w:rsidRPr="00912DAA">
        <w:rPr>
          <w:rFonts w:ascii="Times New Roman" w:hAnsi="Times New Roman" w:cs="Times New Roman"/>
          <w:noProof/>
          <w:sz w:val="24"/>
          <w:szCs w:val="24"/>
        </w:rPr>
        <w:t>[36]</w:t>
      </w:r>
      <w:r w:rsidRPr="00912DAA">
        <w:rPr>
          <w:rFonts w:ascii="Times New Roman" w:hAnsi="Times New Roman" w:cs="Times New Roman"/>
          <w:sz w:val="24"/>
          <w:szCs w:val="24"/>
        </w:rPr>
        <w:fldChar w:fldCharType="end"/>
      </w:r>
      <w:r w:rsidRPr="00912DAA">
        <w:rPr>
          <w:rFonts w:ascii="Times New Roman" w:hAnsi="Times New Roman" w:cs="Times New Roman"/>
          <w:sz w:val="24"/>
          <w:szCs w:val="24"/>
        </w:rPr>
        <w:t xml:space="preserve">. In early stopping, a part of the training set, referred to as tuning set, was used exclusively to monitor the performance of DNN. The mean square error (MSE) in the </w:t>
      </w:r>
      <w:r w:rsidRPr="00912DAA">
        <w:rPr>
          <w:rFonts w:ascii="Times New Roman" w:hAnsi="Times New Roman" w:cs="Times New Roman"/>
          <w:sz w:val="24"/>
          <w:szCs w:val="24"/>
        </w:rPr>
        <w:lastRenderedPageBreak/>
        <w:t xml:space="preserve">tuning set was computed for every 5 epochs, and the learning process </w:t>
      </w:r>
      <w:r w:rsidRPr="00912DAA">
        <w:rPr>
          <w:rFonts w:ascii="Times New Roman" w:hAnsi="Times New Roman" w:cs="Times New Roman"/>
          <w:noProof/>
          <w:sz w:val="24"/>
          <w:szCs w:val="24"/>
        </w:rPr>
        <w:t>stopped</w:t>
      </w:r>
      <w:r w:rsidRPr="00912DAA">
        <w:rPr>
          <w:rFonts w:ascii="Times New Roman" w:hAnsi="Times New Roman" w:cs="Times New Roman"/>
          <w:sz w:val="24"/>
          <w:szCs w:val="24"/>
        </w:rPr>
        <w:t xml:space="preserve"> if no improvement was observed after 5 consecutive assessments of the MSE in the tuning set. The maximum number of epochs allowed to train each DNN was 1,000. In the dropout approach, units from DNN are randomly removed during training in a way that in the forward propagation, units are not active, and in the backward propagation their corresponding weights are not updated. Either early stopping or dropout strategies are important approaches to improve generalization of DNN models, and thus mitigate overfitting. Another critical step of DNN is to search for the best architecture since it can drastically influence predictive performance. To address this problem, we applied a random search taking advantage of a parallel computing system available at University of Wisconsin-Madison through the </w:t>
      </w:r>
      <w:bookmarkStart w:id="24" w:name="OLE_LINK133"/>
      <w:r w:rsidRPr="00912DAA">
        <w:rPr>
          <w:rFonts w:ascii="Times New Roman" w:hAnsi="Times New Roman" w:cs="Times New Roman"/>
          <w:sz w:val="24"/>
          <w:szCs w:val="24"/>
        </w:rPr>
        <w:t>Center for High Throughput Computing (CHTC)</w:t>
      </w:r>
      <w:bookmarkEnd w:id="24"/>
      <w:r w:rsidRPr="00912DAA">
        <w:rPr>
          <w:rFonts w:ascii="Times New Roman" w:hAnsi="Times New Roman" w:cs="Times New Roman"/>
          <w:sz w:val="24"/>
          <w:szCs w:val="24"/>
        </w:rPr>
        <w:t xml:space="preserve">, in which 200 different architectures of DNN were tested. Random combinations of all hyperparameters included in the random search [i.e. number of hidden layers, number of units per layer, ridge regularization (L2), and a common dropout rate to each layer] were tested to select the best DNN model. More detailed information about the hyperparameters used in the random search are depicted in Table 2. All DNN analyses were implemented in Python using the TensorFlow library </w:t>
      </w:r>
      <w:r w:rsidRPr="00912DAA">
        <w:rPr>
          <w:rFonts w:ascii="Times New Roman" w:hAnsi="Times New Roman" w:cs="Times New Roman"/>
          <w:sz w:val="24"/>
          <w:szCs w:val="24"/>
        </w:rPr>
        <w:fldChar w:fldCharType="begin" w:fldLock="1"/>
      </w:r>
      <w:r w:rsidRPr="00912DAA">
        <w:rPr>
          <w:rFonts w:ascii="Times New Roman" w:hAnsi="Times New Roman" w:cs="Times New Roman"/>
          <w:sz w:val="24"/>
          <w:szCs w:val="24"/>
        </w:rPr>
        <w:instrText>ADDIN CSL_CITATION {"citationItems":[{"id":"ITEM-1","itemData":{"DOI":"10.1016/0076-6879(83)01039-3","ISBN":"978-1-931971-33-1","ISSN":"15577988","PMID":"6888276","abstract":"TensorFlow is a machine learning system that operates at large scale and in heterogeneous environments. TensorFlow uses dataflow graphs to represent computation, shared state, and the operations that mutate that state. It maps the nodes of a dataflow graph across many machines in a cluster, and within a machine across multiple computational devices, including multicore CPUs, general-purpose GPUs, and custom designed ASICs known as Tensor Processing Units (TPUs). This architecture gives flexibility to the application developer: whereas in previous \"parameter server\" designs the management of shared state is built into the system, TensorFlow enables developers to experiment with novel optimizations and training algorithms. TensorFlow supports a variety of applications, with particularly strong support for training and inference on deep neural networks. Several Google services use TensorFlow in production, we have released it as an open-source project, and it has become widely used for machine learning research. In this paper, we describe the TensorFlow dataflow model in contrast to existing systems, and demonstrate the compelling performance that TensorFlow achieves for several real-world applications.","author":[{"dropping-particle":"","family":"Abadi","given":"Martín","non-dropping-particle":"","parse-names":false,"suffix":""},{"dropping-particle":"","family":"Barham","given":"Paul","non-dropping-particle":"","parse-names":false,"suffix":""},{"dropping-particle":"","family":"Chen","given":"Jianmin","non-dropping-particle":"","parse-names":false,"suffix":""},{"dropping-particle":"","family":"Chen","given":"Zhifeng","non-dropping-particle":"","parse-names":false,"suffix":""},{"dropping-particle":"","family":"Davis","given":"Andy","non-dropping-particle":"","parse-names":false,"suffix":""},{"dropping-particle":"","family":"Dean","given":"Jeffrey","non-dropping-particle":"","parse-names":false,"suffix":""},{"dropping-particle":"","family":"Devin","given":"Matthieu","non-dropping-particle":"","parse-names":false,"suffix":""},{"dropping-particle":"","family":"Ghemawat","given":"Sanjay","non-dropping-particle":"","parse-names":false,"suffix":""},{"dropping-particle":"","family":"Irving","given":"Geoffrey","non-dropping-particle":"","parse-names":false,"suffix":""},{"dropping-particle":"","family":"Isard","given":"Michael","non-dropping-particle":"","parse-names":false,"suffix":""},{"dropping-particle":"","family":"Kudlur","given":"Manjunath","non-dropping-particle":"","parse-names":false,"suffix":""},{"dropping-particle":"","family":"Levenberg","given":"Josh","non-dropping-particle":"","parse-names":false,"suffix":""},{"dropping-particle":"","family":"Monga","given":"Rajat","non-dropping-particle":"","parse-names":false,"suffix":""},{"dropping-particle":"","family":"Moore","given":"Sherry","non-dropping-particle":"","parse-names":false,"suffix":""},{"dropping-particle":"","family":"Murray","given":"Derek G.","non-dropping-particle":"","parse-names":false,"suffix":""},{"dropping-particle":"","family":"Steiner","given":"Benoit","non-dropping-particle":"","parse-names":false,"suffix":""},{"dropping-particle":"","family":"Tucker","given":"Paul","non-dropping-particle":"","parse-names":false,"suffix":""},{"dropping-particle":"","family":"Vasudevan","given":"Vijay","non-dropping-particle":"","parse-names":false,"suffix":""},{"dropping-particle":"","family":"Warden","given":"Pete","non-dropping-particle":"","parse-names":false,"suffix":""},{"dropping-particle":"","family":"Wicke","given":"Martin","non-dropping-particle":"","parse-names":false,"suffix":""},{"dropping-particle":"","family":"Yu","given":"Yuan","non-dropping-particle":"","parse-names":false,"suffix":""},{"dropping-particle":"","family":"Zheng","given":"Xiaoqiang","non-dropping-particle":"","parse-names":false,"suffix":""}],"container-title":"Methods in Enzymology","id":"ITEM-1","issue":"C","issued":{"date-parts":[["2016","5","27"]]},"page":"582-598","title":"TensorFlow: A system for large-scale machine learning","type":"article-journal","volume":"101"},"uris":["http://www.mendeley.com/documents/?uuid=2afe67d2-b06a-494c-8524-3d2277867b3b"]}],"mendeley":{"formattedCitation":"[35]","plainTextFormattedCitation":"[35]","previouslyFormattedCitation":"(Abadi et al., 2016)"},"properties":{"noteIndex":0},"schema":"https://github.com/citation-style-language/schema/raw/master/csl-citation.json"}</w:instrText>
      </w:r>
      <w:r w:rsidRPr="00912DAA">
        <w:rPr>
          <w:rFonts w:ascii="Times New Roman" w:hAnsi="Times New Roman" w:cs="Times New Roman"/>
          <w:sz w:val="24"/>
          <w:szCs w:val="24"/>
        </w:rPr>
        <w:fldChar w:fldCharType="separate"/>
      </w:r>
      <w:r w:rsidRPr="00912DAA">
        <w:rPr>
          <w:rFonts w:ascii="Times New Roman" w:hAnsi="Times New Roman" w:cs="Times New Roman"/>
          <w:noProof/>
          <w:sz w:val="24"/>
          <w:szCs w:val="24"/>
        </w:rPr>
        <w:t>[45]</w:t>
      </w:r>
      <w:r w:rsidRPr="00912DAA">
        <w:rPr>
          <w:rFonts w:ascii="Times New Roman" w:hAnsi="Times New Roman" w:cs="Times New Roman"/>
          <w:sz w:val="24"/>
          <w:szCs w:val="24"/>
        </w:rPr>
        <w:fldChar w:fldCharType="end"/>
      </w:r>
      <w:r w:rsidRPr="00912DAA">
        <w:rPr>
          <w:rFonts w:ascii="Times New Roman" w:hAnsi="Times New Roman" w:cs="Times New Roman"/>
          <w:sz w:val="24"/>
          <w:szCs w:val="24"/>
        </w:rPr>
        <w:t>.</w:t>
      </w:r>
    </w:p>
    <w:p w14:paraId="6D589550" w14:textId="77777777" w:rsidR="00E30D2A" w:rsidRPr="00912DAA" w:rsidRDefault="00E30D2A" w:rsidP="00E30D2A">
      <w:pPr>
        <w:spacing w:after="0" w:line="480" w:lineRule="auto"/>
        <w:jc w:val="both"/>
        <w:rPr>
          <w:rFonts w:ascii="Times New Roman" w:hAnsi="Times New Roman" w:cs="Times New Roman"/>
          <w:b/>
          <w:sz w:val="24"/>
          <w:szCs w:val="24"/>
        </w:rPr>
      </w:pPr>
    </w:p>
    <w:p w14:paraId="7A65114D" w14:textId="77777777" w:rsidR="00E30D2A" w:rsidRPr="00912DAA" w:rsidRDefault="00E30D2A" w:rsidP="00E30D2A">
      <w:pPr>
        <w:spacing w:after="0" w:line="480" w:lineRule="auto"/>
        <w:jc w:val="both"/>
        <w:rPr>
          <w:rFonts w:ascii="Times New Roman" w:hAnsi="Times New Roman" w:cs="Times New Roman"/>
          <w:b/>
          <w:sz w:val="24"/>
          <w:szCs w:val="24"/>
        </w:rPr>
      </w:pPr>
      <w:r w:rsidRPr="00912DAA">
        <w:rPr>
          <w:rFonts w:ascii="Times New Roman" w:hAnsi="Times New Roman" w:cs="Times New Roman"/>
          <w:b/>
          <w:sz w:val="24"/>
          <w:szCs w:val="24"/>
        </w:rPr>
        <w:t>Assessment of predictive performance</w:t>
      </w:r>
    </w:p>
    <w:p w14:paraId="12559EE7" w14:textId="77777777" w:rsidR="00E30D2A" w:rsidRPr="00912DAA" w:rsidRDefault="00E30D2A" w:rsidP="00E30D2A">
      <w:pPr>
        <w:spacing w:after="0" w:line="480" w:lineRule="auto"/>
        <w:ind w:firstLine="720"/>
        <w:jc w:val="both"/>
        <w:rPr>
          <w:rFonts w:ascii="Times New Roman" w:hAnsi="Times New Roman" w:cs="Times New Roman"/>
          <w:sz w:val="24"/>
          <w:szCs w:val="24"/>
        </w:rPr>
      </w:pPr>
      <w:bookmarkStart w:id="25" w:name="OLE_LINK5"/>
      <w:bookmarkStart w:id="26" w:name="OLE_LINK6"/>
      <w:bookmarkStart w:id="27" w:name="OLE_LINK7"/>
      <w:bookmarkStart w:id="28" w:name="OLE_LINK8"/>
      <w:bookmarkStart w:id="29" w:name="OLE_LINK19"/>
      <w:bookmarkStart w:id="30" w:name="OLE_LINK20"/>
      <w:bookmarkStart w:id="31" w:name="OLE_LINK28"/>
      <w:bookmarkStart w:id="32" w:name="OLE_LINK29"/>
      <w:bookmarkStart w:id="33" w:name="OLE_LINK9"/>
      <w:bookmarkStart w:id="34" w:name="OLE_LINK10"/>
      <w:bookmarkStart w:id="35" w:name="OLE_LINK30"/>
      <w:bookmarkStart w:id="36" w:name="OLE_LINK1"/>
      <w:bookmarkStart w:id="37" w:name="OLE_LINK2"/>
      <w:bookmarkStart w:id="38" w:name="OLE_LINK33"/>
      <w:r w:rsidRPr="00912DAA">
        <w:rPr>
          <w:rFonts w:ascii="Times New Roman" w:hAnsi="Times New Roman" w:cs="Times New Roman"/>
          <w:sz w:val="24"/>
          <w:szCs w:val="24"/>
        </w:rPr>
        <w:t xml:space="preserve">The predictive performance of each method was assessed </w:t>
      </w:r>
      <w:bookmarkEnd w:id="25"/>
      <w:bookmarkEnd w:id="26"/>
      <w:bookmarkEnd w:id="27"/>
      <w:bookmarkEnd w:id="28"/>
      <w:r w:rsidRPr="00912DAA">
        <w:rPr>
          <w:rFonts w:ascii="Times New Roman" w:hAnsi="Times New Roman" w:cs="Times New Roman"/>
          <w:sz w:val="24"/>
          <w:szCs w:val="24"/>
        </w:rPr>
        <w:t>by splitting the data into training and testing sets, in which the chronological information of 18 maternal grandsire generations was used as a criterion to divide the entire data.</w:t>
      </w:r>
      <w:bookmarkStart w:id="39" w:name="OLE_LINK21"/>
      <w:bookmarkStart w:id="40" w:name="OLE_LINK22"/>
      <w:bookmarkStart w:id="41" w:name="OLE_LINK25"/>
      <w:bookmarkStart w:id="42" w:name="OLE_LINK26"/>
      <w:bookmarkStart w:id="43" w:name="OLE_LINK27"/>
      <w:bookmarkStart w:id="44" w:name="OLE_LINK23"/>
      <w:bookmarkStart w:id="45" w:name="OLE_LINK24"/>
      <w:bookmarkStart w:id="46" w:name="OLE_LINK31"/>
      <w:bookmarkStart w:id="47" w:name="OLE_LINK32"/>
      <w:r w:rsidRPr="00912DAA">
        <w:rPr>
          <w:rFonts w:ascii="Times New Roman" w:hAnsi="Times New Roman" w:cs="Times New Roman"/>
          <w:sz w:val="24"/>
          <w:szCs w:val="24"/>
        </w:rPr>
        <w:t xml:space="preserve"> The former set included </w:t>
      </w:r>
      <w:bookmarkStart w:id="48" w:name="OLE_LINK44"/>
      <w:bookmarkStart w:id="49" w:name="OLE_LINK45"/>
      <w:r w:rsidRPr="00912DAA">
        <w:rPr>
          <w:rFonts w:ascii="Times New Roman" w:hAnsi="Times New Roman" w:cs="Times New Roman"/>
          <w:sz w:val="24"/>
          <w:szCs w:val="24"/>
        </w:rPr>
        <w:t xml:space="preserve">67,741 </w:t>
      </w:r>
      <w:bookmarkEnd w:id="48"/>
      <w:bookmarkEnd w:id="49"/>
      <w:r w:rsidRPr="00912DAA">
        <w:rPr>
          <w:rFonts w:ascii="Times New Roman" w:hAnsi="Times New Roman" w:cs="Times New Roman"/>
          <w:sz w:val="24"/>
          <w:szCs w:val="24"/>
        </w:rPr>
        <w:t xml:space="preserve">broilers related to </w:t>
      </w:r>
      <w:bookmarkEnd w:id="39"/>
      <w:bookmarkEnd w:id="40"/>
      <w:bookmarkEnd w:id="41"/>
      <w:bookmarkEnd w:id="42"/>
      <w:bookmarkEnd w:id="43"/>
      <w:r w:rsidRPr="00912DAA">
        <w:rPr>
          <w:rFonts w:ascii="Times New Roman" w:hAnsi="Times New Roman" w:cs="Times New Roman"/>
          <w:sz w:val="24"/>
          <w:szCs w:val="24"/>
        </w:rPr>
        <w:t xml:space="preserve">the oldest 16 generations of maternal grandsire, while the latter set </w:t>
      </w:r>
      <w:bookmarkStart w:id="50" w:name="OLE_LINK16"/>
      <w:bookmarkStart w:id="51" w:name="OLE_LINK17"/>
      <w:bookmarkStart w:id="52" w:name="OLE_LINK18"/>
      <w:r w:rsidRPr="00912DAA">
        <w:rPr>
          <w:rFonts w:ascii="Times New Roman" w:hAnsi="Times New Roman" w:cs="Times New Roman"/>
          <w:sz w:val="24"/>
          <w:szCs w:val="24"/>
        </w:rPr>
        <w:t xml:space="preserve">contained 9,735 broilers originated from </w:t>
      </w:r>
      <w:bookmarkEnd w:id="29"/>
      <w:bookmarkEnd w:id="30"/>
      <w:bookmarkEnd w:id="31"/>
      <w:bookmarkEnd w:id="32"/>
      <w:bookmarkEnd w:id="44"/>
      <w:bookmarkEnd w:id="45"/>
      <w:bookmarkEnd w:id="50"/>
      <w:bookmarkEnd w:id="51"/>
      <w:bookmarkEnd w:id="52"/>
      <w:r w:rsidRPr="00912DAA">
        <w:rPr>
          <w:rFonts w:ascii="Times New Roman" w:hAnsi="Times New Roman" w:cs="Times New Roman"/>
          <w:sz w:val="24"/>
          <w:szCs w:val="24"/>
        </w:rPr>
        <w:t>the newest two generations of maternal grandsire.</w:t>
      </w:r>
      <w:bookmarkEnd w:id="33"/>
      <w:bookmarkEnd w:id="34"/>
      <w:bookmarkEnd w:id="35"/>
      <w:bookmarkEnd w:id="46"/>
      <w:bookmarkEnd w:id="47"/>
      <w:r w:rsidRPr="00912DAA">
        <w:rPr>
          <w:rFonts w:ascii="Times New Roman" w:hAnsi="Times New Roman" w:cs="Times New Roman"/>
          <w:sz w:val="24"/>
          <w:szCs w:val="24"/>
        </w:rPr>
        <w:t xml:space="preserve"> This validation scheme was considered in our study because, in practice, genomic breeding values of selection candidates (younger </w:t>
      </w:r>
      <w:r w:rsidRPr="00912DAA">
        <w:rPr>
          <w:rFonts w:ascii="Times New Roman" w:hAnsi="Times New Roman" w:cs="Times New Roman"/>
          <w:sz w:val="24"/>
          <w:szCs w:val="24"/>
        </w:rPr>
        <w:lastRenderedPageBreak/>
        <w:t xml:space="preserve">individuals) are predicted using marker effects estimated based on the information of a reference population (older individuals). To investigate the impact of the training sample size on predictive performance, 15 subsets of the training set were created, by sub-sampling 1, 3, 5, 7, 10, 15, 20, 30, 40, 50, 60, 70, 80, 90, and 100% of the original training set size. Broilers were randomly assigned to each subset with the constraint that larger subsets contained all animals from smaller sets (i.e., 1% </w:t>
      </w:r>
      <w:bookmarkStart w:id="53" w:name="OLE_LINK14"/>
      <w:r w:rsidRPr="00912DAA">
        <w:rPr>
          <w:rFonts w:ascii="Times New Roman" w:hAnsi="Times New Roman" w:cs="Times New Roman"/>
          <w:sz w:val="24"/>
          <w:szCs w:val="24"/>
        </w:rPr>
        <w:t>⸦</w:t>
      </w:r>
      <w:bookmarkEnd w:id="53"/>
      <w:r w:rsidRPr="00912DAA">
        <w:rPr>
          <w:rFonts w:ascii="Times New Roman" w:hAnsi="Times New Roman" w:cs="Times New Roman"/>
          <w:sz w:val="24"/>
          <w:szCs w:val="24"/>
        </w:rPr>
        <w:t xml:space="preserve"> 3% ⸦ … ⸦ 100%). Furthermore, a tuning set was created to implement the early stopping approach for DNN. The tuning set included 4,225 broilers descendants from the most recent generation of maternal grandsire in the training set. Therefore, all predictive approaches were trained using broilers related to the oldest 15 generations of maternal grandsire, and the tuning set was used exclusively to monitor the predictive performance in DNN. Keeping an exclusive data set to fine-tune hyperparameters favors DNN compared to Bayesian regression approaches as the latter do not required parameter optimization. To make comparisons fairer, the Bayesian Ridge Regression and Bayes Cπ were also refitted by including the tuning set of the DNN in each sub-sampling of the training set. </w:t>
      </w:r>
    </w:p>
    <w:p w14:paraId="79BDB4FE" w14:textId="77777777" w:rsidR="00E30D2A" w:rsidRPr="00912DAA" w:rsidRDefault="00E30D2A" w:rsidP="00E30D2A">
      <w:pPr>
        <w:spacing w:after="0" w:line="480" w:lineRule="auto"/>
        <w:ind w:firstLine="720"/>
        <w:jc w:val="both"/>
        <w:rPr>
          <w:rFonts w:ascii="Times New Roman" w:hAnsi="Times New Roman" w:cs="Times New Roman"/>
          <w:sz w:val="24"/>
          <w:szCs w:val="24"/>
        </w:rPr>
      </w:pPr>
      <w:r w:rsidRPr="00912DAA">
        <w:rPr>
          <w:rFonts w:ascii="Times New Roman" w:hAnsi="Times New Roman" w:cs="Times New Roman"/>
          <w:sz w:val="24"/>
          <w:szCs w:val="24"/>
        </w:rPr>
        <w:t xml:space="preserve">The criteria used to assess predictive performance were the prediction correlation, i.e. correlation between the pre-adjusted and the predicted body weights, and the MSEP, given by: </w:t>
      </w:r>
    </w:p>
    <w:p w14:paraId="7DD57380" w14:textId="77777777" w:rsidR="00E30D2A" w:rsidRPr="00912DAA" w:rsidRDefault="00E30D2A" w:rsidP="00E30D2A">
      <w:pPr>
        <w:spacing w:after="0" w:line="480" w:lineRule="auto"/>
        <w:jc w:val="center"/>
        <w:rPr>
          <w:rFonts w:ascii="Times New Roman" w:hAnsi="Times New Roman" w:cs="Times New Roman"/>
          <w:sz w:val="24"/>
          <w:szCs w:val="24"/>
        </w:rPr>
      </w:pPr>
      <w:r w:rsidRPr="00912DAA">
        <w:rPr>
          <w:rFonts w:ascii="Times New Roman" w:hAnsi="Times New Roman" w:cs="Times New Roman"/>
          <w:position w:val="-30"/>
          <w:sz w:val="24"/>
          <w:szCs w:val="24"/>
        </w:rPr>
        <w:object w:dxaOrig="2220" w:dyaOrig="1040" w14:anchorId="288C372F">
          <v:shape id="_x0000_i1081" type="#_x0000_t75" style="width:108pt;height:54pt" o:ole="">
            <v:imagedata r:id="rId112" o:title=""/>
          </v:shape>
          <o:OLEObject Type="Embed" ProgID="Equation.3" ShapeID="_x0000_i1081" DrawAspect="Content" ObjectID="_1653332864" r:id="rId113"/>
        </w:object>
      </w:r>
      <w:r w:rsidRPr="00912DAA">
        <w:rPr>
          <w:rFonts w:ascii="Times New Roman" w:hAnsi="Times New Roman" w:cs="Times New Roman"/>
          <w:sz w:val="24"/>
          <w:szCs w:val="24"/>
        </w:rPr>
        <w:t>,</w:t>
      </w:r>
    </w:p>
    <w:p w14:paraId="00BCDFD4" w14:textId="77777777" w:rsidR="00E30D2A" w:rsidRPr="00912DAA" w:rsidRDefault="00E30D2A" w:rsidP="00E30D2A">
      <w:pPr>
        <w:spacing w:after="0" w:line="480" w:lineRule="auto"/>
        <w:jc w:val="both"/>
        <w:rPr>
          <w:rFonts w:ascii="Times New Roman" w:hAnsi="Times New Roman" w:cs="Times New Roman"/>
          <w:sz w:val="24"/>
          <w:szCs w:val="24"/>
        </w:rPr>
      </w:pPr>
      <w:r w:rsidRPr="00912DAA">
        <w:rPr>
          <w:rFonts w:ascii="Times New Roman" w:hAnsi="Times New Roman" w:cs="Times New Roman"/>
          <w:noProof/>
          <w:sz w:val="24"/>
          <w:szCs w:val="24"/>
        </w:rPr>
        <w:t xml:space="preserve">where </w:t>
      </w:r>
      <w:r w:rsidRPr="00912DAA">
        <w:rPr>
          <w:rFonts w:ascii="Times New Roman" w:hAnsi="Times New Roman" w:cs="Times New Roman"/>
          <w:sz w:val="24"/>
          <w:szCs w:val="24"/>
        </w:rPr>
        <w:t xml:space="preserve"> </w:t>
      </w:r>
      <w:bookmarkStart w:id="54" w:name="OLE_LINK15"/>
      <w:r w:rsidRPr="00912DAA">
        <w:rPr>
          <w:rFonts w:ascii="Times New Roman" w:hAnsi="Times New Roman" w:cs="Times New Roman"/>
          <w:position w:val="-10"/>
          <w:sz w:val="24"/>
          <w:szCs w:val="24"/>
        </w:rPr>
        <w:object w:dxaOrig="279" w:dyaOrig="360" w14:anchorId="262DD0DB">
          <v:shape id="_x0000_i1082" type="#_x0000_t75" style="width:12pt;height:18pt" o:ole="">
            <v:imagedata r:id="rId114" o:title=""/>
          </v:shape>
          <o:OLEObject Type="Embed" ProgID="Equation.3" ShapeID="_x0000_i1082" DrawAspect="Content" ObjectID="_1653332865" r:id="rId115"/>
        </w:object>
      </w:r>
      <w:bookmarkEnd w:id="54"/>
      <w:r w:rsidRPr="00912DAA">
        <w:rPr>
          <w:rFonts w:ascii="Times New Roman" w:hAnsi="Times New Roman" w:cs="Times New Roman"/>
          <w:sz w:val="24"/>
          <w:szCs w:val="24"/>
        </w:rPr>
        <w:t xml:space="preserve"> is the pre-adjusted body weight from the </w:t>
      </w:r>
      <w:proofErr w:type="spellStart"/>
      <w:r w:rsidRPr="00912DAA">
        <w:rPr>
          <w:rFonts w:ascii="Times New Roman" w:hAnsi="Times New Roman" w:cs="Times New Roman"/>
          <w:i/>
          <w:sz w:val="24"/>
          <w:szCs w:val="24"/>
        </w:rPr>
        <w:t>i</w:t>
      </w:r>
      <w:r w:rsidRPr="00912DAA">
        <w:rPr>
          <w:rFonts w:ascii="Times New Roman" w:hAnsi="Times New Roman" w:cs="Times New Roman"/>
          <w:i/>
          <w:sz w:val="24"/>
          <w:szCs w:val="24"/>
          <w:vertAlign w:val="superscript"/>
        </w:rPr>
        <w:t>th</w:t>
      </w:r>
      <w:proofErr w:type="spellEnd"/>
      <w:r w:rsidRPr="00912DAA">
        <w:rPr>
          <w:rFonts w:ascii="Times New Roman" w:hAnsi="Times New Roman" w:cs="Times New Roman"/>
          <w:sz w:val="24"/>
          <w:szCs w:val="24"/>
        </w:rPr>
        <w:t xml:space="preserve"> broiler in the testing set, </w:t>
      </w:r>
      <w:r w:rsidRPr="00912DAA">
        <w:rPr>
          <w:rFonts w:ascii="Times New Roman" w:hAnsi="Times New Roman" w:cs="Times New Roman"/>
          <w:position w:val="-10"/>
          <w:sz w:val="24"/>
          <w:szCs w:val="24"/>
        </w:rPr>
        <w:object w:dxaOrig="260" w:dyaOrig="340" w14:anchorId="46B21FAD">
          <v:shape id="_x0000_i1083" type="#_x0000_t75" style="width:12pt;height:18pt" o:ole="">
            <v:imagedata r:id="rId116" o:title=""/>
          </v:shape>
          <o:OLEObject Type="Embed" ProgID="Equation.3" ShapeID="_x0000_i1083" DrawAspect="Content" ObjectID="_1653332866" r:id="rId117"/>
        </w:object>
      </w:r>
      <w:r w:rsidRPr="00912DAA">
        <w:rPr>
          <w:rFonts w:ascii="Times New Roman" w:hAnsi="Times New Roman" w:cs="Times New Roman"/>
          <w:sz w:val="24"/>
          <w:szCs w:val="24"/>
        </w:rPr>
        <w:t xml:space="preserve"> is the predicted genomic breeding value for body weight, and </w:t>
      </w:r>
      <w:r w:rsidRPr="00912DAA">
        <w:rPr>
          <w:rFonts w:ascii="Times New Roman" w:hAnsi="Times New Roman" w:cs="Times New Roman"/>
          <w:position w:val="-12"/>
          <w:sz w:val="24"/>
          <w:szCs w:val="24"/>
        </w:rPr>
        <w:object w:dxaOrig="420" w:dyaOrig="360" w14:anchorId="3A75F994">
          <v:shape id="_x0000_i1084" type="#_x0000_t75" style="width:24pt;height:18pt" o:ole="">
            <v:imagedata r:id="rId118" o:title=""/>
          </v:shape>
          <o:OLEObject Type="Embed" ProgID="Equation.3" ShapeID="_x0000_i1084" DrawAspect="Content" ObjectID="_1653332867" r:id="rId119"/>
        </w:object>
      </w:r>
      <w:r w:rsidRPr="00912DAA">
        <w:rPr>
          <w:rFonts w:ascii="Times New Roman" w:hAnsi="Times New Roman" w:cs="Times New Roman"/>
          <w:sz w:val="24"/>
          <w:szCs w:val="24"/>
        </w:rPr>
        <w:t xml:space="preserve"> is the number of records in the testing set.</w:t>
      </w:r>
      <w:bookmarkEnd w:id="36"/>
      <w:bookmarkEnd w:id="37"/>
      <w:bookmarkEnd w:id="38"/>
      <w:r w:rsidRPr="00912DAA">
        <w:rPr>
          <w:rFonts w:ascii="Times New Roman" w:hAnsi="Times New Roman" w:cs="Times New Roman"/>
          <w:sz w:val="24"/>
          <w:szCs w:val="24"/>
        </w:rPr>
        <w:t xml:space="preserve"> Furthermore, improvements in prediction correlation and MSEP of DNN compared with Bayesian models were assessed using the relative gain (RG), which was measured as follows:</w:t>
      </w:r>
    </w:p>
    <w:p w14:paraId="68E371E6" w14:textId="77777777" w:rsidR="00E30D2A" w:rsidRPr="00912DAA" w:rsidRDefault="00E30D2A" w:rsidP="00E30D2A">
      <w:pPr>
        <w:spacing w:after="0" w:line="480" w:lineRule="auto"/>
        <w:jc w:val="center"/>
        <w:rPr>
          <w:rFonts w:ascii="Times New Roman" w:hAnsi="Times New Roman" w:cs="Times New Roman"/>
          <w:sz w:val="24"/>
          <w:szCs w:val="24"/>
        </w:rPr>
      </w:pPr>
      <w:r w:rsidRPr="00912DAA">
        <w:rPr>
          <w:rFonts w:ascii="Times New Roman" w:hAnsi="Times New Roman" w:cs="Times New Roman"/>
          <w:position w:val="-30"/>
          <w:sz w:val="24"/>
          <w:szCs w:val="24"/>
        </w:rPr>
        <w:object w:dxaOrig="1920" w:dyaOrig="700" w14:anchorId="5AF4726A">
          <v:shape id="_x0000_i1085" type="#_x0000_t75" style="width:96pt;height:36pt" o:ole="">
            <v:imagedata r:id="rId120" o:title=""/>
          </v:shape>
          <o:OLEObject Type="Embed" ProgID="Equation.3" ShapeID="_x0000_i1085" DrawAspect="Content" ObjectID="_1653332868" r:id="rId121"/>
        </w:object>
      </w:r>
      <w:r w:rsidRPr="00912DAA">
        <w:rPr>
          <w:rFonts w:ascii="Times New Roman" w:hAnsi="Times New Roman" w:cs="Times New Roman"/>
          <w:sz w:val="24"/>
          <w:szCs w:val="24"/>
        </w:rPr>
        <w:t>,</w:t>
      </w:r>
    </w:p>
    <w:p w14:paraId="789572FF" w14:textId="77777777" w:rsidR="00E30D2A" w:rsidRPr="00912DAA" w:rsidRDefault="00E30D2A" w:rsidP="00E30D2A">
      <w:pPr>
        <w:spacing w:after="0" w:line="480" w:lineRule="auto"/>
        <w:jc w:val="both"/>
        <w:rPr>
          <w:rFonts w:ascii="Times New Roman" w:hAnsi="Times New Roman" w:cs="Times New Roman"/>
          <w:sz w:val="24"/>
          <w:szCs w:val="24"/>
        </w:rPr>
      </w:pPr>
      <w:r w:rsidRPr="00912DAA">
        <w:rPr>
          <w:rFonts w:ascii="Times New Roman" w:hAnsi="Times New Roman" w:cs="Times New Roman"/>
          <w:sz w:val="24"/>
          <w:szCs w:val="24"/>
        </w:rPr>
        <w:t xml:space="preserve">where </w:t>
      </w:r>
      <w:r w:rsidRPr="00912DAA">
        <w:rPr>
          <w:rFonts w:ascii="Times New Roman" w:hAnsi="Times New Roman" w:cs="Times New Roman"/>
          <w:position w:val="-10"/>
          <w:sz w:val="24"/>
          <w:szCs w:val="24"/>
        </w:rPr>
        <w:object w:dxaOrig="200" w:dyaOrig="340" w14:anchorId="6ED62991">
          <v:shape id="_x0000_i1086" type="#_x0000_t75" style="width:12pt;height:18pt" o:ole="">
            <v:imagedata r:id="rId122" o:title=""/>
          </v:shape>
          <o:OLEObject Type="Embed" ProgID="Equation.3" ShapeID="_x0000_i1086" DrawAspect="Content" ObjectID="_1653332869" r:id="rId123"/>
        </w:object>
      </w:r>
      <w:r w:rsidRPr="00912DAA">
        <w:rPr>
          <w:rFonts w:ascii="Times New Roman" w:hAnsi="Times New Roman" w:cs="Times New Roman"/>
          <w:sz w:val="24"/>
          <w:szCs w:val="24"/>
        </w:rPr>
        <w:t xml:space="preserve"> and </w:t>
      </w:r>
      <w:r w:rsidRPr="00912DAA">
        <w:rPr>
          <w:rFonts w:ascii="Times New Roman" w:hAnsi="Times New Roman" w:cs="Times New Roman"/>
          <w:position w:val="-10"/>
          <w:sz w:val="24"/>
          <w:szCs w:val="24"/>
        </w:rPr>
        <w:object w:dxaOrig="220" w:dyaOrig="340" w14:anchorId="29059072">
          <v:shape id="_x0000_i1087" type="#_x0000_t75" style="width:12pt;height:18pt" o:ole="">
            <v:imagedata r:id="rId124" o:title=""/>
          </v:shape>
          <o:OLEObject Type="Embed" ProgID="Equation.3" ShapeID="_x0000_i1087" DrawAspect="Content" ObjectID="_1653332870" r:id="rId125"/>
        </w:object>
      </w:r>
      <w:r w:rsidRPr="00912DAA">
        <w:rPr>
          <w:rFonts w:ascii="Times New Roman" w:hAnsi="Times New Roman" w:cs="Times New Roman"/>
          <w:sz w:val="24"/>
          <w:szCs w:val="24"/>
        </w:rPr>
        <w:t xml:space="preserve"> are the predictive criterion (i.e. prediction correlation or MSEP) for DNN and Bayesian approaches, respectively. </w:t>
      </w:r>
    </w:p>
    <w:p w14:paraId="1869A244" w14:textId="77777777" w:rsidR="00E30D2A" w:rsidRPr="00912DAA" w:rsidRDefault="00E30D2A" w:rsidP="00E30D2A">
      <w:pPr>
        <w:spacing w:after="0" w:line="480" w:lineRule="auto"/>
        <w:jc w:val="both"/>
        <w:rPr>
          <w:rFonts w:ascii="Times New Roman" w:hAnsi="Times New Roman" w:cs="Times New Roman"/>
          <w:sz w:val="24"/>
          <w:szCs w:val="24"/>
        </w:rPr>
      </w:pPr>
      <w:r w:rsidRPr="00912DAA">
        <w:rPr>
          <w:rFonts w:ascii="Times New Roman" w:hAnsi="Times New Roman" w:cs="Times New Roman"/>
          <w:sz w:val="24"/>
          <w:szCs w:val="24"/>
        </w:rPr>
        <w:tab/>
        <w:t xml:space="preserve">The predictive bias was also investigated for each genome-enabled prediction approach as the deviation of the regression coefficient between pre-adjusted and predicted body weight from the unit. In addition, the Spearman rank correlation between predicted body weights, and the agreement on the top 10-ranked broilers were used to assess the similarity between the different genome-enabled prediction approaches. </w:t>
      </w:r>
    </w:p>
    <w:p w14:paraId="2782C779" w14:textId="77777777" w:rsidR="00E30D2A" w:rsidRPr="00912DAA" w:rsidRDefault="00E30D2A" w:rsidP="00E30D2A">
      <w:pPr>
        <w:spacing w:after="0" w:line="480" w:lineRule="auto"/>
        <w:jc w:val="both"/>
        <w:rPr>
          <w:rFonts w:ascii="Times New Roman" w:hAnsi="Times New Roman" w:cs="Times New Roman"/>
          <w:sz w:val="24"/>
          <w:szCs w:val="24"/>
        </w:rPr>
      </w:pPr>
    </w:p>
    <w:p w14:paraId="6DACEA53" w14:textId="77777777" w:rsidR="00E30D2A" w:rsidRDefault="00E30D2A"/>
    <w:sectPr w:rsidR="00E30D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D2A"/>
    <w:rsid w:val="00E30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FCC13"/>
  <w15:chartTrackingRefBased/>
  <w15:docId w15:val="{9158C2C0-12BB-49C1-8644-4A4E123D1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D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oleObject" Target="embeddings/oleObject59.bin"/><Relationship Id="rId21" Type="http://schemas.openxmlformats.org/officeDocument/2006/relationships/oleObject" Target="embeddings/oleObject9.bin"/><Relationship Id="rId42" Type="http://schemas.openxmlformats.org/officeDocument/2006/relationships/image" Target="media/image20.wmf"/><Relationship Id="rId47" Type="http://schemas.openxmlformats.org/officeDocument/2006/relationships/oleObject" Target="embeddings/oleObject22.bin"/><Relationship Id="rId63" Type="http://schemas.openxmlformats.org/officeDocument/2006/relationships/image" Target="media/image30.wmf"/><Relationship Id="rId68" Type="http://schemas.openxmlformats.org/officeDocument/2006/relationships/oleObject" Target="embeddings/oleObject34.bin"/><Relationship Id="rId84" Type="http://schemas.openxmlformats.org/officeDocument/2006/relationships/oleObject" Target="embeddings/oleObject42.bin"/><Relationship Id="rId89" Type="http://schemas.openxmlformats.org/officeDocument/2006/relationships/oleObject" Target="embeddings/oleObject45.bin"/><Relationship Id="rId112" Type="http://schemas.openxmlformats.org/officeDocument/2006/relationships/image" Target="media/image53.wmf"/><Relationship Id="rId16" Type="http://schemas.openxmlformats.org/officeDocument/2006/relationships/image" Target="media/image7.wmf"/><Relationship Id="rId107" Type="http://schemas.openxmlformats.org/officeDocument/2006/relationships/oleObject" Target="embeddings/oleObject54.bin"/><Relationship Id="rId11" Type="http://schemas.openxmlformats.org/officeDocument/2006/relationships/oleObject" Target="embeddings/oleObject4.bin"/><Relationship Id="rId32" Type="http://schemas.openxmlformats.org/officeDocument/2006/relationships/image" Target="media/image15.wmf"/><Relationship Id="rId37" Type="http://schemas.openxmlformats.org/officeDocument/2006/relationships/oleObject" Target="embeddings/oleObject17.bin"/><Relationship Id="rId53" Type="http://schemas.openxmlformats.org/officeDocument/2006/relationships/oleObject" Target="embeddings/oleObject25.bin"/><Relationship Id="rId58" Type="http://schemas.openxmlformats.org/officeDocument/2006/relationships/image" Target="media/image28.wmf"/><Relationship Id="rId74" Type="http://schemas.openxmlformats.org/officeDocument/2006/relationships/oleObject" Target="embeddings/oleObject37.bin"/><Relationship Id="rId79" Type="http://schemas.openxmlformats.org/officeDocument/2006/relationships/image" Target="media/image37.wmf"/><Relationship Id="rId102" Type="http://schemas.openxmlformats.org/officeDocument/2006/relationships/image" Target="media/image48.wmf"/><Relationship Id="rId123" Type="http://schemas.openxmlformats.org/officeDocument/2006/relationships/oleObject" Target="embeddings/oleObject62.bin"/><Relationship Id="rId5" Type="http://schemas.openxmlformats.org/officeDocument/2006/relationships/oleObject" Target="embeddings/oleObject1.bin"/><Relationship Id="rId90" Type="http://schemas.openxmlformats.org/officeDocument/2006/relationships/image" Target="media/image42.wmf"/><Relationship Id="rId95" Type="http://schemas.openxmlformats.org/officeDocument/2006/relationships/oleObject" Target="embeddings/oleObject48.bin"/><Relationship Id="rId19" Type="http://schemas.openxmlformats.org/officeDocument/2006/relationships/oleObject" Target="embeddings/oleObject8.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3.wmf"/><Relationship Id="rId56" Type="http://schemas.openxmlformats.org/officeDocument/2006/relationships/image" Target="media/image27.wmf"/><Relationship Id="rId64" Type="http://schemas.openxmlformats.org/officeDocument/2006/relationships/oleObject" Target="embeddings/oleObject31.bin"/><Relationship Id="rId69" Type="http://schemas.openxmlformats.org/officeDocument/2006/relationships/image" Target="media/image32.wmf"/><Relationship Id="rId77" Type="http://schemas.openxmlformats.org/officeDocument/2006/relationships/image" Target="media/image36.wmf"/><Relationship Id="rId100" Type="http://schemas.openxmlformats.org/officeDocument/2006/relationships/image" Target="media/image47.wmf"/><Relationship Id="rId105" Type="http://schemas.openxmlformats.org/officeDocument/2006/relationships/oleObject" Target="embeddings/oleObject53.bin"/><Relationship Id="rId113" Type="http://schemas.openxmlformats.org/officeDocument/2006/relationships/oleObject" Target="embeddings/oleObject57.bin"/><Relationship Id="rId118" Type="http://schemas.openxmlformats.org/officeDocument/2006/relationships/image" Target="media/image56.wmf"/><Relationship Id="rId126" Type="http://schemas.openxmlformats.org/officeDocument/2006/relationships/fontTable" Target="fontTable.xml"/><Relationship Id="rId8" Type="http://schemas.openxmlformats.org/officeDocument/2006/relationships/image" Target="media/image3.wmf"/><Relationship Id="rId51" Type="http://schemas.openxmlformats.org/officeDocument/2006/relationships/oleObject" Target="embeddings/oleObject24.bin"/><Relationship Id="rId72" Type="http://schemas.openxmlformats.org/officeDocument/2006/relationships/oleObject" Target="embeddings/oleObject36.bin"/><Relationship Id="rId80" Type="http://schemas.openxmlformats.org/officeDocument/2006/relationships/oleObject" Target="embeddings/oleObject40.bin"/><Relationship Id="rId85" Type="http://schemas.openxmlformats.org/officeDocument/2006/relationships/image" Target="media/image40.wmf"/><Relationship Id="rId93" Type="http://schemas.openxmlformats.org/officeDocument/2006/relationships/oleObject" Target="embeddings/oleObject47.bin"/><Relationship Id="rId98" Type="http://schemas.openxmlformats.org/officeDocument/2006/relationships/image" Target="media/image46.wmf"/><Relationship Id="rId121" Type="http://schemas.openxmlformats.org/officeDocument/2006/relationships/oleObject" Target="embeddings/oleObject61.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8.bin"/><Relationship Id="rId67" Type="http://schemas.openxmlformats.org/officeDocument/2006/relationships/image" Target="media/image31.wmf"/><Relationship Id="rId103" Type="http://schemas.openxmlformats.org/officeDocument/2006/relationships/oleObject" Target="embeddings/oleObject52.bin"/><Relationship Id="rId108" Type="http://schemas.openxmlformats.org/officeDocument/2006/relationships/image" Target="media/image51.wmf"/><Relationship Id="rId116" Type="http://schemas.openxmlformats.org/officeDocument/2006/relationships/image" Target="media/image55.wmf"/><Relationship Id="rId124" Type="http://schemas.openxmlformats.org/officeDocument/2006/relationships/image" Target="media/image59.wmf"/><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image" Target="media/image26.wmf"/><Relationship Id="rId62" Type="http://schemas.openxmlformats.org/officeDocument/2006/relationships/oleObject" Target="embeddings/oleObject30.bin"/><Relationship Id="rId70" Type="http://schemas.openxmlformats.org/officeDocument/2006/relationships/oleObject" Target="embeddings/oleObject35.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oleObject" Target="embeddings/oleObject44.bin"/><Relationship Id="rId91" Type="http://schemas.openxmlformats.org/officeDocument/2006/relationships/oleObject" Target="embeddings/oleObject46.bin"/><Relationship Id="rId96" Type="http://schemas.openxmlformats.org/officeDocument/2006/relationships/image" Target="media/image45.wmf"/><Relationship Id="rId111" Type="http://schemas.openxmlformats.org/officeDocument/2006/relationships/oleObject" Target="embeddings/oleObject56.bin"/><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oleObject" Target="embeddings/oleObject27.bin"/><Relationship Id="rId106" Type="http://schemas.openxmlformats.org/officeDocument/2006/relationships/image" Target="media/image50.wmf"/><Relationship Id="rId114" Type="http://schemas.openxmlformats.org/officeDocument/2006/relationships/image" Target="media/image54.wmf"/><Relationship Id="rId119" Type="http://schemas.openxmlformats.org/officeDocument/2006/relationships/oleObject" Target="embeddings/oleObject60.bin"/><Relationship Id="rId127" Type="http://schemas.openxmlformats.org/officeDocument/2006/relationships/theme" Target="theme/theme1.xml"/><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32.bin"/><Relationship Id="rId73" Type="http://schemas.openxmlformats.org/officeDocument/2006/relationships/image" Target="media/image34.wmf"/><Relationship Id="rId78" Type="http://schemas.openxmlformats.org/officeDocument/2006/relationships/oleObject" Target="embeddings/oleObject39.bin"/><Relationship Id="rId81" Type="http://schemas.openxmlformats.org/officeDocument/2006/relationships/image" Target="media/image38.wmf"/><Relationship Id="rId86" Type="http://schemas.openxmlformats.org/officeDocument/2006/relationships/oleObject" Target="embeddings/oleObject43.bin"/><Relationship Id="rId94" Type="http://schemas.openxmlformats.org/officeDocument/2006/relationships/image" Target="media/image44.wmf"/><Relationship Id="rId99" Type="http://schemas.openxmlformats.org/officeDocument/2006/relationships/oleObject" Target="embeddings/oleObject50.bin"/><Relationship Id="rId101" Type="http://schemas.openxmlformats.org/officeDocument/2006/relationships/oleObject" Target="embeddings/oleObject51.bin"/><Relationship Id="rId122" Type="http://schemas.openxmlformats.org/officeDocument/2006/relationships/image" Target="media/image58.wmf"/><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oleObject" Target="embeddings/oleObject18.bin"/><Relationship Id="rId109" Type="http://schemas.openxmlformats.org/officeDocument/2006/relationships/oleObject" Target="embeddings/oleObject55.bin"/><Relationship Id="rId34" Type="http://schemas.openxmlformats.org/officeDocument/2006/relationships/image" Target="media/image16.wmf"/><Relationship Id="rId50" Type="http://schemas.openxmlformats.org/officeDocument/2006/relationships/image" Target="media/image24.wmf"/><Relationship Id="rId55" Type="http://schemas.openxmlformats.org/officeDocument/2006/relationships/oleObject" Target="embeddings/oleObject26.bin"/><Relationship Id="rId76" Type="http://schemas.openxmlformats.org/officeDocument/2006/relationships/oleObject" Target="embeddings/oleObject38.bin"/><Relationship Id="rId97" Type="http://schemas.openxmlformats.org/officeDocument/2006/relationships/oleObject" Target="embeddings/oleObject49.bin"/><Relationship Id="rId104" Type="http://schemas.openxmlformats.org/officeDocument/2006/relationships/image" Target="media/image49.wmf"/><Relationship Id="rId120" Type="http://schemas.openxmlformats.org/officeDocument/2006/relationships/image" Target="media/image57.wmf"/><Relationship Id="rId125" Type="http://schemas.openxmlformats.org/officeDocument/2006/relationships/oleObject" Target="embeddings/oleObject63.bin"/><Relationship Id="rId7" Type="http://schemas.openxmlformats.org/officeDocument/2006/relationships/oleObject" Target="embeddings/oleObject2.bin"/><Relationship Id="rId71" Type="http://schemas.openxmlformats.org/officeDocument/2006/relationships/image" Target="media/image33.wmf"/><Relationship Id="rId92" Type="http://schemas.openxmlformats.org/officeDocument/2006/relationships/image" Target="media/image43.wmf"/><Relationship Id="rId2" Type="http://schemas.openxmlformats.org/officeDocument/2006/relationships/settings" Target="settings.xml"/><Relationship Id="rId29" Type="http://schemas.openxmlformats.org/officeDocument/2006/relationships/oleObject" Target="embeddings/oleObject13.bin"/><Relationship Id="rId24" Type="http://schemas.openxmlformats.org/officeDocument/2006/relationships/image" Target="media/image11.wmf"/><Relationship Id="rId40" Type="http://schemas.openxmlformats.org/officeDocument/2006/relationships/image" Target="media/image19.wmf"/><Relationship Id="rId45" Type="http://schemas.openxmlformats.org/officeDocument/2006/relationships/oleObject" Target="embeddings/oleObject21.bin"/><Relationship Id="rId66" Type="http://schemas.openxmlformats.org/officeDocument/2006/relationships/oleObject" Target="embeddings/oleObject33.bin"/><Relationship Id="rId87" Type="http://schemas.openxmlformats.org/officeDocument/2006/relationships/image" Target="media/image41.wmf"/><Relationship Id="rId110" Type="http://schemas.openxmlformats.org/officeDocument/2006/relationships/image" Target="media/image52.wmf"/><Relationship Id="rId115" Type="http://schemas.openxmlformats.org/officeDocument/2006/relationships/oleObject" Target="embeddings/oleObject58.bin"/><Relationship Id="rId61" Type="http://schemas.openxmlformats.org/officeDocument/2006/relationships/oleObject" Target="embeddings/oleObject29.bin"/><Relationship Id="rId82" Type="http://schemas.openxmlformats.org/officeDocument/2006/relationships/oleObject" Target="embeddings/oleObject4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5291</Words>
  <Characters>30164</Characters>
  <Application>Microsoft Office Word</Application>
  <DocSecurity>0</DocSecurity>
  <Lines>251</Lines>
  <Paragraphs>70</Paragraphs>
  <ScaleCrop>false</ScaleCrop>
  <Company/>
  <LinksUpToDate>false</LinksUpToDate>
  <CharactersWithSpaces>35385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Grant</dc:creator>
  <cp:keywords/>
  <dc:description/>
  <cp:lastModifiedBy>Katie Grant</cp:lastModifiedBy>
  <cp:revision>1</cp:revision>
  <dcterms:created xsi:type="dcterms:W3CDTF">2020-06-11T03:17:00Z</dcterms:created>
  <dcterms:modified xsi:type="dcterms:W3CDTF">2020-06-11T03:17:00Z</dcterms:modified>
</cp:coreProperties>
</file>