
<file path=[Content_Types].xml><?xml version="1.0" encoding="utf-8"?>
<Types xmlns="http://schemas.openxmlformats.org/package/2006/content-types">
  <Default Extension="emf" ContentType="image/x-emf"/>
  <Default Extension="png" ContentType="image/png"/>
  <Default Extension="psd" ContentType="image/tif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18D2" w14:textId="77777777" w:rsidR="005E7925" w:rsidRPr="00FD03B0" w:rsidRDefault="005E7925" w:rsidP="005E7925">
      <w:pPr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t xml:space="preserve">Supplementary Information </w:t>
      </w:r>
    </w:p>
    <w:p w14:paraId="691800FC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58EAB570" w14:textId="77777777" w:rsidR="005E7925" w:rsidRPr="00FD03B0" w:rsidRDefault="005E7925" w:rsidP="005E7925">
      <w:pPr>
        <w:shd w:val="clear" w:color="auto" w:fill="FFFFFF"/>
        <w:jc w:val="center"/>
        <w:rPr>
          <w:rFonts w:ascii="Calibri" w:eastAsia="Times New Roman" w:hAnsi="Calibri" w:cs="Calibri"/>
          <w:color w:val="201F1E"/>
          <w:sz w:val="22"/>
          <w:szCs w:val="22"/>
          <w:lang w:val="en-GB" w:eastAsia="en-GB"/>
        </w:rPr>
      </w:pPr>
      <w:r w:rsidRPr="00FD03B0">
        <w:rPr>
          <w:rFonts w:ascii="Arial" w:hAnsi="Arial" w:cs="Arial"/>
          <w:b/>
          <w:bCs/>
        </w:rPr>
        <w:t>LKB1 is the gatekeeper of carotid body chemo-sensing and the hypoxic ventilatory response: loss of function precipitates respiratory distress and Cheyne</w:t>
      </w:r>
      <w:r w:rsidRPr="00FD03B0">
        <w:rPr>
          <w:rFonts w:ascii="Arial" w:hAnsi="Arial" w:cs="Arial"/>
          <w:b/>
          <w:bCs/>
        </w:rPr>
        <w:noBreakHyphen/>
        <w:t>Stokes breathing during hypoxia</w:t>
      </w:r>
    </w:p>
    <w:p w14:paraId="3F3F6720" w14:textId="77777777" w:rsidR="005E7925" w:rsidRPr="00FD03B0" w:rsidRDefault="005E7925" w:rsidP="005E7925">
      <w:pPr>
        <w:spacing w:line="480" w:lineRule="auto"/>
        <w:jc w:val="center"/>
        <w:rPr>
          <w:rFonts w:ascii="Arial" w:hAnsi="Arial" w:cs="Arial"/>
          <w:b/>
          <w:bCs/>
          <w:caps/>
        </w:rPr>
      </w:pPr>
    </w:p>
    <w:p w14:paraId="7E63FD81" w14:textId="77777777" w:rsidR="005E7925" w:rsidRPr="00FD03B0" w:rsidRDefault="005E7925" w:rsidP="005E7925">
      <w:pPr>
        <w:spacing w:line="480" w:lineRule="auto"/>
        <w:jc w:val="both"/>
        <w:rPr>
          <w:rFonts w:ascii="Arial" w:eastAsiaTheme="minorEastAsia" w:hAnsi="Arial" w:cs="Arial"/>
          <w:bCs/>
        </w:rPr>
      </w:pPr>
      <w:r w:rsidRPr="00FD03B0">
        <w:rPr>
          <w:rFonts w:ascii="Arial" w:hAnsi="Arial" w:cs="Arial"/>
          <w:b/>
          <w:bCs/>
          <w:caps/>
        </w:rPr>
        <w:t>RUNNING HEAD</w:t>
      </w:r>
      <w:r w:rsidRPr="00FD03B0">
        <w:rPr>
          <w:rFonts w:ascii="Arial" w:hAnsi="Arial" w:cs="Arial"/>
        </w:rPr>
        <w:t xml:space="preserve">: </w:t>
      </w:r>
      <w:r w:rsidRPr="00FD03B0">
        <w:rPr>
          <w:rFonts w:ascii="Arial" w:hAnsi="Arial" w:cs="Arial"/>
          <w:bCs/>
        </w:rPr>
        <w:t>LKB1 carotid bodies</w:t>
      </w:r>
      <w:r w:rsidRPr="00FD03B0">
        <w:rPr>
          <w:rFonts w:ascii="Arial" w:hAnsi="Arial" w:cs="Arial"/>
          <w:bCs/>
          <w:lang w:val="en-GB"/>
        </w:rPr>
        <w:t xml:space="preserve"> and the HVR</w:t>
      </w:r>
    </w:p>
    <w:p w14:paraId="5D01379F" w14:textId="77777777" w:rsidR="005E7925" w:rsidRPr="00FD03B0" w:rsidRDefault="005E7925" w:rsidP="005E792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vertAlign w:val="superscript"/>
        </w:rPr>
      </w:pPr>
      <w:r w:rsidRPr="00FD03B0">
        <w:rPr>
          <w:rFonts w:ascii="Arial" w:hAnsi="Arial" w:cs="Arial"/>
        </w:rPr>
        <w:t>Sandy MacMillan</w:t>
      </w:r>
      <w:r w:rsidRPr="00FD03B0">
        <w:rPr>
          <w:rFonts w:ascii="Arial" w:hAnsi="Arial" w:cs="Arial"/>
          <w:vertAlign w:val="superscript"/>
        </w:rPr>
        <w:t>1+</w:t>
      </w:r>
      <w:r w:rsidRPr="00FD03B0">
        <w:rPr>
          <w:rFonts w:ascii="Arial" w:hAnsi="Arial" w:cs="Arial"/>
        </w:rPr>
        <w:t>, Andrew P. Holmes</w:t>
      </w:r>
      <w:r w:rsidRPr="00FD03B0">
        <w:rPr>
          <w:rFonts w:ascii="Arial" w:hAnsi="Arial" w:cs="Arial"/>
          <w:vertAlign w:val="superscript"/>
        </w:rPr>
        <w:t xml:space="preserve"> 2+</w:t>
      </w:r>
      <w:r w:rsidRPr="00FD03B0">
        <w:rPr>
          <w:rFonts w:ascii="Arial" w:hAnsi="Arial" w:cs="Arial"/>
        </w:rPr>
        <w:t>, Mark L. Dallas</w:t>
      </w:r>
      <w:r w:rsidRPr="00FD03B0">
        <w:rPr>
          <w:rFonts w:ascii="Arial" w:hAnsi="Arial" w:cs="Arial"/>
          <w:vertAlign w:val="superscript"/>
        </w:rPr>
        <w:t>3</w:t>
      </w:r>
      <w:r w:rsidRPr="00FD03B0">
        <w:rPr>
          <w:rFonts w:ascii="Arial" w:hAnsi="Arial" w:cs="Arial"/>
        </w:rPr>
        <w:t>, Amira D. Mahmoud</w:t>
      </w:r>
      <w:r w:rsidRPr="00FD03B0">
        <w:rPr>
          <w:rFonts w:ascii="Arial" w:hAnsi="Arial" w:cs="Arial"/>
          <w:vertAlign w:val="superscript"/>
        </w:rPr>
        <w:t>1</w:t>
      </w:r>
      <w:r w:rsidRPr="00FD03B0">
        <w:rPr>
          <w:rFonts w:ascii="Arial" w:hAnsi="Arial" w:cs="Arial"/>
        </w:rPr>
        <w:t>, Michael J. Shipston</w:t>
      </w:r>
      <w:r w:rsidRPr="00FD03B0">
        <w:rPr>
          <w:rFonts w:ascii="Arial" w:hAnsi="Arial" w:cs="Arial"/>
          <w:vertAlign w:val="superscript"/>
        </w:rPr>
        <w:t>1</w:t>
      </w:r>
      <w:r w:rsidRPr="00FD03B0">
        <w:rPr>
          <w:rFonts w:ascii="Arial" w:hAnsi="Arial" w:cs="Arial"/>
        </w:rPr>
        <w:t xml:space="preserve">, </w:t>
      </w:r>
      <w:r w:rsidRPr="00FD03B0">
        <w:rPr>
          <w:rFonts w:ascii="Arial" w:hAnsi="Arial" w:cs="Arial"/>
          <w:i/>
          <w:iCs/>
        </w:rPr>
        <w:t>the late</w:t>
      </w:r>
      <w:r w:rsidRPr="00FD03B0">
        <w:rPr>
          <w:rFonts w:ascii="Arial" w:hAnsi="Arial" w:cs="Arial"/>
        </w:rPr>
        <w:t xml:space="preserve"> Chris Peers, D. Grahame Hardie</w:t>
      </w:r>
      <w:r w:rsidRPr="00FD03B0">
        <w:rPr>
          <w:rFonts w:ascii="Arial" w:hAnsi="Arial" w:cs="Arial"/>
          <w:vertAlign w:val="superscript"/>
        </w:rPr>
        <w:t>4</w:t>
      </w:r>
      <w:r w:rsidRPr="00FD03B0">
        <w:rPr>
          <w:rFonts w:ascii="Arial" w:hAnsi="Arial" w:cs="Arial"/>
        </w:rPr>
        <w:t>, Prem Kumar</w:t>
      </w:r>
      <w:r w:rsidRPr="00FD03B0">
        <w:rPr>
          <w:rFonts w:ascii="Arial" w:hAnsi="Arial" w:cs="Arial"/>
          <w:vertAlign w:val="superscript"/>
        </w:rPr>
        <w:t>2</w:t>
      </w:r>
      <w:r w:rsidRPr="00FD03B0">
        <w:rPr>
          <w:rFonts w:ascii="Arial" w:hAnsi="Arial" w:cs="Arial"/>
        </w:rPr>
        <w:t>, A. Mark Evans</w:t>
      </w:r>
      <w:r w:rsidRPr="00FD03B0">
        <w:rPr>
          <w:rFonts w:ascii="Arial" w:hAnsi="Arial" w:cs="Arial"/>
          <w:vertAlign w:val="superscript"/>
        </w:rPr>
        <w:t>1*</w:t>
      </w:r>
    </w:p>
    <w:p w14:paraId="12BFAF0C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5EAB227E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66573262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3A34C80C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t>Supplementary Movie 1 - Hypoxic ventilatory response of control (TH-Cre) mouse.</w:t>
      </w:r>
    </w:p>
    <w:p w14:paraId="15EB4429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</w:p>
    <w:p w14:paraId="7DA29D87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t xml:space="preserve">Supplementary Movie 2 - Hypoxic ventilatory response of homozygous </w:t>
      </w:r>
      <w:r w:rsidRPr="00FD03B0">
        <w:rPr>
          <w:rFonts w:ascii="Arial" w:hAnsi="Arial" w:cs="Arial"/>
          <w:b/>
          <w:i/>
          <w:iCs/>
        </w:rPr>
        <w:t>Lkb1</w:t>
      </w:r>
      <w:r w:rsidRPr="00FD03B0">
        <w:rPr>
          <w:rFonts w:ascii="Arial" w:hAnsi="Arial" w:cs="Arial"/>
          <w:b/>
        </w:rPr>
        <w:t xml:space="preserve"> knockout mouse.</w:t>
      </w:r>
    </w:p>
    <w:p w14:paraId="62822C91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</w:p>
    <w:p w14:paraId="36F49F80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t xml:space="preserve">Supplementary Movie 3 - Hypercapnic hypoxic ventilatory response of homozygous </w:t>
      </w:r>
      <w:r w:rsidRPr="00FD03B0">
        <w:rPr>
          <w:rFonts w:ascii="Arial" w:hAnsi="Arial" w:cs="Arial"/>
          <w:b/>
          <w:i/>
          <w:iCs/>
        </w:rPr>
        <w:t>Lkb1</w:t>
      </w:r>
      <w:r w:rsidRPr="00FD03B0">
        <w:rPr>
          <w:rFonts w:ascii="Arial" w:hAnsi="Arial" w:cs="Arial"/>
          <w:b/>
        </w:rPr>
        <w:t xml:space="preserve"> knockout mouse.</w:t>
      </w:r>
    </w:p>
    <w:p w14:paraId="6197CFC2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</w:p>
    <w:p w14:paraId="180A32A6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t xml:space="preserve">Supplementary Movie 4 - Hypoxic ventilatory response of homozygous </w:t>
      </w:r>
      <w:r w:rsidRPr="00FD03B0">
        <w:rPr>
          <w:rFonts w:ascii="Arial" w:hAnsi="Arial" w:cs="Arial"/>
          <w:b/>
          <w:i/>
          <w:iCs/>
        </w:rPr>
        <w:t>AMPK</w:t>
      </w:r>
      <w:r w:rsidRPr="00FD03B0">
        <w:rPr>
          <w:rFonts w:ascii="Symbol" w:hAnsi="Symbol" w:cs="Arial"/>
          <w:b/>
          <w:i/>
          <w:iCs/>
        </w:rPr>
        <w:t>a</w:t>
      </w:r>
      <w:r w:rsidRPr="00FD03B0">
        <w:rPr>
          <w:rFonts w:ascii="Arial" w:hAnsi="Arial" w:cs="Arial"/>
          <w:b/>
          <w:i/>
          <w:iCs/>
        </w:rPr>
        <w:t>1+</w:t>
      </w:r>
      <w:r w:rsidRPr="00FD03B0">
        <w:rPr>
          <w:rFonts w:ascii="Symbol" w:hAnsi="Symbol" w:cs="Arial"/>
          <w:b/>
          <w:i/>
          <w:iCs/>
        </w:rPr>
        <w:t>a</w:t>
      </w:r>
      <w:r w:rsidRPr="00FD03B0">
        <w:rPr>
          <w:rFonts w:ascii="Arial" w:hAnsi="Arial" w:cs="Arial"/>
          <w:b/>
          <w:i/>
          <w:iCs/>
        </w:rPr>
        <w:t>2</w:t>
      </w:r>
      <w:r w:rsidRPr="00FD03B0">
        <w:rPr>
          <w:rFonts w:ascii="Arial" w:hAnsi="Arial" w:cs="Arial"/>
          <w:b/>
        </w:rPr>
        <w:t xml:space="preserve"> knockout mouse.</w:t>
      </w:r>
    </w:p>
    <w:p w14:paraId="5A45D6BB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</w:p>
    <w:p w14:paraId="444BA843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2582F47F" w14:textId="77777777" w:rsidR="005E7925" w:rsidRPr="00FD03B0" w:rsidRDefault="005E7925" w:rsidP="005E7925">
      <w:pPr>
        <w:rPr>
          <w:rFonts w:ascii="Arial" w:hAnsi="Arial" w:cs="Arial"/>
          <w:b/>
        </w:rPr>
      </w:pPr>
    </w:p>
    <w:p w14:paraId="2BEA8407" w14:textId="77777777" w:rsidR="005E7925" w:rsidRPr="00FD03B0" w:rsidRDefault="005E7925" w:rsidP="005E7925">
      <w:pPr>
        <w:rPr>
          <w:rFonts w:ascii="Arial" w:hAnsi="Arial" w:cs="Arial"/>
          <w:b/>
        </w:rPr>
      </w:pPr>
      <w:r w:rsidRPr="00FD03B0">
        <w:rPr>
          <w:rFonts w:ascii="Arial" w:hAnsi="Arial" w:cs="Arial"/>
          <w:b/>
        </w:rPr>
        <w:br w:type="page"/>
      </w:r>
    </w:p>
    <w:p w14:paraId="5ED7DCDA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  <w:noProof/>
        </w:rPr>
        <w:lastRenderedPageBreak/>
        <w:drawing>
          <wp:inline distT="0" distB="0" distL="0" distR="0" wp14:anchorId="6957A976" wp14:editId="630D005D">
            <wp:extent cx="5971540" cy="2391410"/>
            <wp:effectExtent l="0" t="0" r="0" b="0"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08F02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1 – </w:t>
      </w:r>
      <w:r w:rsidRPr="00FD03B0">
        <w:rPr>
          <w:rFonts w:ascii="Arial" w:hAnsi="Arial" w:cs="Arial"/>
          <w:bCs/>
        </w:rPr>
        <w:t>Images show original gels</w:t>
      </w:r>
      <w:r w:rsidRPr="00FD03B0">
        <w:rPr>
          <w:rFonts w:ascii="Arial" w:hAnsi="Arial" w:cs="Arial"/>
        </w:rPr>
        <w:t xml:space="preserve"> for single cell end-point RT-PCR amplicons for tyrosine hydroxylase and LKB1 from acutely isolated adrenal medullary chromaffin cells from wild type mice (WT AMCs) and carotid body type I cells of wild type (WT CB1 cells</w:t>
      </w:r>
      <w:r w:rsidRPr="00FD03B0">
        <w:rPr>
          <w:rFonts w:ascii="Arial" w:hAnsi="Arial" w:cs="Arial"/>
          <w:b/>
          <w:bCs/>
        </w:rPr>
        <w:t>)</w:t>
      </w:r>
      <w:r w:rsidRPr="00FD03B0">
        <w:rPr>
          <w:rFonts w:ascii="Arial" w:hAnsi="Arial" w:cs="Arial"/>
        </w:rPr>
        <w:t xml:space="preserve"> and conditional 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knockout mice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KO CB1 cells</w:t>
      </w:r>
      <w:r w:rsidRPr="00FD03B0">
        <w:rPr>
          <w:rFonts w:ascii="Arial" w:hAnsi="Arial" w:cs="Arial"/>
          <w:b/>
          <w:bCs/>
        </w:rPr>
        <w:t>)</w:t>
      </w:r>
      <w:r w:rsidRPr="00FD03B0">
        <w:rPr>
          <w:rFonts w:ascii="Arial" w:hAnsi="Arial" w:cs="Arial"/>
        </w:rPr>
        <w:t>;</w:t>
      </w:r>
      <w:r w:rsidRPr="00FD03B0">
        <w:rPr>
          <w:rFonts w:ascii="Arial" w:hAnsi="Arial" w:cs="Arial"/>
          <w:iCs/>
        </w:rPr>
        <w:t xml:space="preserve"> </w:t>
      </w:r>
      <w:r w:rsidRPr="00FD03B0">
        <w:rPr>
          <w:rFonts w:ascii="Arial" w:eastAsiaTheme="minorEastAsia" w:hAnsi="Arial" w:cs="Arial"/>
        </w:rPr>
        <w:t>NC = negative control (cell aspirant but no reverse transcriptase added); NEC = negative extracellular control (aspirant of extracellular medium).</w:t>
      </w:r>
    </w:p>
    <w:p w14:paraId="39BB0436" w14:textId="77777777" w:rsidR="005E7925" w:rsidRPr="00FD03B0" w:rsidRDefault="005E7925" w:rsidP="005E7925">
      <w:pPr>
        <w:rPr>
          <w:rFonts w:ascii="Arial" w:eastAsiaTheme="minorEastAsia" w:hAnsi="Arial" w:cs="Arial"/>
        </w:rPr>
      </w:pPr>
      <w:r w:rsidRPr="00FD03B0">
        <w:rPr>
          <w:rFonts w:ascii="Arial" w:eastAsiaTheme="minorEastAsia" w:hAnsi="Arial" w:cs="Arial"/>
        </w:rPr>
        <w:br w:type="page"/>
      </w:r>
    </w:p>
    <w:p w14:paraId="569D6634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FD03B0">
        <w:rPr>
          <w:rFonts w:ascii="Arial" w:eastAsiaTheme="minorEastAsia" w:hAnsi="Arial" w:cs="Arial"/>
          <w:noProof/>
        </w:rPr>
        <w:lastRenderedPageBreak/>
        <w:drawing>
          <wp:inline distT="0" distB="0" distL="0" distR="0" wp14:anchorId="04D3CA3A" wp14:editId="4C01CFC3">
            <wp:extent cx="5971540" cy="5839460"/>
            <wp:effectExtent l="0" t="0" r="0" b="2540"/>
            <wp:docPr id="23" name="Picture 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583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C9E1" w14:textId="77777777" w:rsidR="005E7925" w:rsidRPr="00FD03B0" w:rsidRDefault="005E7925" w:rsidP="005E7925">
      <w:pPr>
        <w:rPr>
          <w:rFonts w:ascii="Arial" w:eastAsiaTheme="minorEastAsia" w:hAnsi="Arial" w:cs="Arial"/>
        </w:rPr>
      </w:pPr>
    </w:p>
    <w:p w14:paraId="555BB9A5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eastAsiaTheme="minorEastAsia" w:hAnsi="Arial" w:cs="Arial"/>
          <w:b/>
          <w:bCs/>
          <w:lang w:val="en-GB"/>
        </w:rPr>
        <w:t>Supplementary Figure 2 - The mean ventilatory response to hypoxia is comparable between TH-Cre and C57/Bl6 mice.</w:t>
      </w:r>
      <w:r w:rsidRPr="00FD03B0">
        <w:rPr>
          <w:rFonts w:ascii="Arial" w:eastAsiaTheme="minorEastAsia" w:hAnsi="Arial" w:cs="Arial"/>
          <w:lang w:val="en-GB"/>
        </w:rPr>
        <w:t xml:space="preserve"> </w:t>
      </w:r>
      <w:r w:rsidRPr="00FD03B0">
        <w:rPr>
          <w:rFonts w:ascii="Arial" w:hAnsi="Arial" w:cs="Arial"/>
        </w:rPr>
        <w:t xml:space="preserve">A-B, </w:t>
      </w:r>
      <w:r w:rsidRPr="00FD03B0">
        <w:rPr>
          <w:rFonts w:ascii="Arial" w:hAnsi="Arial" w:cs="Arial"/>
          <w:i/>
          <w:iCs/>
        </w:rPr>
        <w:t>Upper panels</w:t>
      </w:r>
      <w:r w:rsidRPr="00FD03B0">
        <w:rPr>
          <w:rFonts w:ascii="Arial" w:hAnsi="Arial" w:cs="Arial"/>
          <w:iCs/>
        </w:rPr>
        <w:t xml:space="preserve"> show example records versus time </w:t>
      </w:r>
      <w:r w:rsidRPr="00FD03B0">
        <w:rPr>
          <w:rFonts w:ascii="Arial" w:hAnsi="Arial" w:cs="Arial"/>
        </w:rPr>
        <w:t xml:space="preserve">and </w:t>
      </w:r>
      <w:r w:rsidRPr="00FD03B0">
        <w:rPr>
          <w:rFonts w:ascii="Arial" w:hAnsi="Arial" w:cs="Arial"/>
          <w:i/>
        </w:rPr>
        <w:t>lower panels</w:t>
      </w:r>
      <w:r w:rsidRPr="00FD03B0">
        <w:rPr>
          <w:rFonts w:ascii="Arial" w:hAnsi="Arial" w:cs="Arial"/>
        </w:rPr>
        <w:t xml:space="preserve"> bar charts of mean±SEM for increases in minute ventilation (ml min</w:t>
      </w:r>
      <w:r w:rsidRPr="00FD03B0">
        <w:rPr>
          <w:rFonts w:ascii="Arial" w:hAnsi="Arial" w:cs="Arial"/>
          <w:vertAlign w:val="superscript"/>
        </w:rPr>
        <w:t>-1</w:t>
      </w:r>
      <w:r w:rsidRPr="00FD03B0">
        <w:rPr>
          <w:rFonts w:ascii="Arial" w:hAnsi="Arial" w:cs="Arial"/>
        </w:rPr>
        <w:t>) at the peak of the Augmenting Phase (A, ~30s), after Roll Off (RO, ~100s) and during the plateau of the Sustained Phase (SP, ~300s) of the ventilatory response to 12% and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for TH</w:t>
      </w:r>
      <w:r w:rsidRPr="00FD03B0">
        <w:rPr>
          <w:rFonts w:ascii="Arial" w:hAnsi="Arial" w:cs="Arial"/>
        </w:rPr>
        <w:noBreakHyphen/>
        <w:t xml:space="preserve">Cre (black, n = 31) and wild type C57/BL6 mice (green, n = 6). </w:t>
      </w:r>
    </w:p>
    <w:p w14:paraId="3AEDC0FD" w14:textId="77777777" w:rsidR="005E7925" w:rsidRPr="00FD03B0" w:rsidRDefault="005E7925" w:rsidP="005E7925">
      <w:pPr>
        <w:jc w:val="both"/>
        <w:rPr>
          <w:rFonts w:ascii="Arial" w:eastAsiaTheme="minorEastAsia" w:hAnsi="Arial" w:cs="Arial"/>
          <w:b/>
          <w:bCs/>
          <w:lang w:val="en-GB"/>
        </w:rPr>
      </w:pPr>
    </w:p>
    <w:p w14:paraId="4E117FC7" w14:textId="77777777" w:rsidR="005E7925" w:rsidRPr="00FD03B0" w:rsidRDefault="005E7925" w:rsidP="005E7925">
      <w:r w:rsidRPr="00FD03B0">
        <w:br w:type="page"/>
      </w:r>
    </w:p>
    <w:p w14:paraId="105FD548" w14:textId="77777777" w:rsidR="005E7925" w:rsidRPr="00FD03B0" w:rsidRDefault="005E7925" w:rsidP="005E7925">
      <w:r w:rsidRPr="00FD03B0">
        <w:rPr>
          <w:noProof/>
        </w:rPr>
        <w:lastRenderedPageBreak/>
        <w:drawing>
          <wp:inline distT="0" distB="0" distL="0" distR="0" wp14:anchorId="7C8C4A9F" wp14:editId="2D17AD59">
            <wp:extent cx="5971540" cy="15309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D26B" w14:textId="77777777" w:rsidR="005E7925" w:rsidRPr="00FD03B0" w:rsidRDefault="005E7925" w:rsidP="005E7925">
      <w:pPr>
        <w:jc w:val="both"/>
        <w:rPr>
          <w:rFonts w:ascii="Arial" w:hAnsi="Arial" w:cs="Arial"/>
          <w:b/>
        </w:rPr>
      </w:pPr>
      <w:r w:rsidRPr="00FD03B0">
        <w:rPr>
          <w:rFonts w:ascii="Arial" w:hAnsi="Arial" w:cs="Arial"/>
          <w:b/>
          <w:bCs/>
        </w:rPr>
        <w:t xml:space="preserve">Supplementary Figure 3 - </w:t>
      </w:r>
      <w:r w:rsidRPr="00FD03B0">
        <w:rPr>
          <w:rFonts w:ascii="Arial" w:hAnsi="Arial" w:cs="Arial"/>
          <w:b/>
        </w:rPr>
        <w:t xml:space="preserve">Conditional deletion of </w:t>
      </w:r>
      <w:r w:rsidRPr="00FD03B0">
        <w:rPr>
          <w:rFonts w:ascii="Arial" w:hAnsi="Arial" w:cs="Arial"/>
          <w:b/>
          <w:i/>
        </w:rPr>
        <w:t>Lkb1</w:t>
      </w:r>
      <w:r w:rsidRPr="00FD03B0">
        <w:rPr>
          <w:rFonts w:ascii="Arial" w:hAnsi="Arial" w:cs="Arial"/>
          <w:b/>
        </w:rPr>
        <w:t xml:space="preserve"> in carotid body type I cells blocks hypoxia</w:t>
      </w:r>
      <w:r w:rsidRPr="00FD03B0">
        <w:rPr>
          <w:rFonts w:ascii="Arial" w:hAnsi="Arial" w:cs="Arial"/>
          <w:b/>
        </w:rPr>
        <w:noBreakHyphen/>
        <w:t xml:space="preserve">evoked calcium transients. </w:t>
      </w:r>
      <w:r w:rsidRPr="00FD03B0">
        <w:rPr>
          <w:rFonts w:ascii="Arial" w:hAnsi="Arial" w:cs="Arial"/>
        </w:rPr>
        <w:t xml:space="preserve">A-C, Bar charts show dot plots of F340/F380 ratios for calcium transients evoked by (A) 50 mM potassium, (B) hypoxia, and (C) the hypoxic response expressed as a ratio of the response to 50mM potassium. </w:t>
      </w:r>
    </w:p>
    <w:p w14:paraId="73E6339A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14:paraId="615687E4" w14:textId="77777777" w:rsidR="005E7925" w:rsidRPr="00FD03B0" w:rsidRDefault="005E7925" w:rsidP="005E7925">
      <w:pPr>
        <w:rPr>
          <w:rFonts w:ascii="Arial" w:eastAsiaTheme="minorEastAsia" w:hAnsi="Arial" w:cs="Arial"/>
        </w:rPr>
      </w:pPr>
      <w:r w:rsidRPr="00FD03B0">
        <w:rPr>
          <w:rFonts w:ascii="Arial" w:eastAsiaTheme="minorEastAsia" w:hAnsi="Arial" w:cs="Arial"/>
        </w:rPr>
        <w:br w:type="page"/>
      </w:r>
    </w:p>
    <w:p w14:paraId="4FA813DD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  <w:noProof/>
        </w:rPr>
        <w:lastRenderedPageBreak/>
        <w:drawing>
          <wp:inline distT="0" distB="0" distL="0" distR="0" wp14:anchorId="00620547" wp14:editId="4B713561">
            <wp:extent cx="5971540" cy="42195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EDD8C" w14:textId="77777777" w:rsidR="005E7925" w:rsidRPr="00FD03B0" w:rsidRDefault="005E7925" w:rsidP="005E7925">
      <w:pPr>
        <w:rPr>
          <w:rFonts w:ascii="Arial" w:hAnsi="Arial" w:cs="Arial"/>
        </w:rPr>
      </w:pPr>
    </w:p>
    <w:p w14:paraId="1B564304" w14:textId="77777777" w:rsidR="005E7925" w:rsidRPr="00FD03B0" w:rsidRDefault="005E7925" w:rsidP="005E7925">
      <w:pPr>
        <w:jc w:val="both"/>
        <w:rPr>
          <w:rFonts w:ascii="Arial" w:hAnsi="Arial" w:cs="Arial"/>
          <w:iCs/>
        </w:rPr>
      </w:pPr>
      <w:r w:rsidRPr="00FD03B0">
        <w:rPr>
          <w:rFonts w:ascii="Arial" w:hAnsi="Arial" w:cs="Arial"/>
          <w:b/>
          <w:bCs/>
        </w:rPr>
        <w:t xml:space="preserve">Supplementary Figure 4 - </w:t>
      </w:r>
      <w:r w:rsidRPr="00FD03B0">
        <w:rPr>
          <w:rFonts w:ascii="Arial" w:hAnsi="Arial" w:cs="Arial"/>
          <w:b/>
        </w:rPr>
        <w:t xml:space="preserve">Conditional deletion of </w:t>
      </w:r>
      <w:r w:rsidRPr="00FD03B0">
        <w:rPr>
          <w:rFonts w:ascii="Arial" w:hAnsi="Arial" w:cs="Arial"/>
          <w:b/>
          <w:i/>
        </w:rPr>
        <w:t>Lkb1</w:t>
      </w:r>
      <w:r w:rsidRPr="00FD03B0">
        <w:rPr>
          <w:rFonts w:ascii="Arial" w:hAnsi="Arial" w:cs="Arial"/>
          <w:b/>
        </w:rPr>
        <w:t xml:space="preserve"> in carotid body type I cells attenuates hypoxia-evoked afferent discharge from the carotid body in-vitro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iCs/>
        </w:rPr>
        <w:t xml:space="preserve">A, </w:t>
      </w:r>
      <w:r w:rsidRPr="00FD03B0">
        <w:rPr>
          <w:rFonts w:ascii="Arial" w:hAnsi="Arial" w:cs="Arial"/>
        </w:rPr>
        <w:t xml:space="preserve">Individual values and mean±SEM of basal/normoxic chemoafferent activity measured in TH-Cre (n = 8), homozygous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floxed (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Flx; n = 8) and conditional homozygous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knockout (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KO; n = 7) groups. B, Individual values and mean±SEM of peak hypoxic frequency. C, Individual values and mean±SEM of PO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required to achieve a frequency of 5 Hz, in TH-Cre and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Flx. D, Individual values and mean±SEM of hypoxic response curve exponential rate constants, in TH-Cre and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Flx groups.   </w:t>
      </w:r>
    </w:p>
    <w:p w14:paraId="5755AD5E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0CE8E2D7" w14:textId="77777777" w:rsidR="005E7925" w:rsidRPr="00FD03B0" w:rsidRDefault="005E7925" w:rsidP="005E7925">
      <w:pPr>
        <w:jc w:val="both"/>
        <w:rPr>
          <w:rFonts w:ascii="Arial" w:hAnsi="Arial" w:cs="Arial"/>
          <w:b/>
          <w:bCs/>
        </w:rPr>
      </w:pPr>
      <w:r w:rsidRPr="00FD03B0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119BA1B" wp14:editId="63058D4D">
            <wp:extent cx="5971540" cy="42195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16F7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</w:rPr>
        <w:t xml:space="preserve">Supplementary Figure 5 - Conditional deletion of </w:t>
      </w:r>
      <w:r w:rsidRPr="00FD03B0">
        <w:rPr>
          <w:rFonts w:ascii="Arial" w:hAnsi="Arial" w:cs="Arial"/>
          <w:b/>
          <w:i/>
        </w:rPr>
        <w:t>Lkb1</w:t>
      </w:r>
      <w:r w:rsidRPr="00FD03B0">
        <w:rPr>
          <w:rFonts w:ascii="Arial" w:hAnsi="Arial" w:cs="Arial"/>
          <w:b/>
        </w:rPr>
        <w:t xml:space="preserve"> in carotid body type I cells attenuates hypercapnia-evoked afferent discharge from the carotid body in-vitro</w:t>
      </w:r>
    </w:p>
    <w:p w14:paraId="57A4D8CC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t xml:space="preserve">A, Individual values and mean±SEM of chemoafferent activity measured at a superfusate </w:t>
      </w:r>
      <w:r w:rsidRPr="00FD03B0">
        <w:rPr>
          <w:rFonts w:ascii="Arial" w:hAnsi="Arial" w:cs="Arial"/>
          <w:i/>
          <w:iCs/>
        </w:rPr>
        <w:t>P</w:t>
      </w:r>
      <w:r w:rsidRPr="00FD03B0">
        <w:rPr>
          <w:rFonts w:ascii="Arial" w:hAnsi="Arial" w:cs="Arial"/>
        </w:rPr>
        <w:t>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of 40 mmHg and 80 mmHg (hypercapnia) in TH-Cre (n = 7), homozygous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floxed (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Flx; n = 6) and conditional homozygous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knockout (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 KO; n = 4) groups. B, Individual values and mean±SEM of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sensitivity (defined as change in frequency per mmHg increase in </w:t>
      </w:r>
      <w:r w:rsidRPr="00FD03B0">
        <w:rPr>
          <w:rFonts w:ascii="Arial" w:hAnsi="Arial" w:cs="Arial"/>
          <w:i/>
          <w:iCs/>
        </w:rPr>
        <w:t>P</w:t>
      </w:r>
      <w:r w:rsidRPr="00FD03B0">
        <w:rPr>
          <w:rFonts w:ascii="Arial" w:hAnsi="Arial" w:cs="Arial"/>
        </w:rPr>
        <w:t>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), for the 3 groups.  </w:t>
      </w:r>
    </w:p>
    <w:p w14:paraId="6A1DE67E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18206E8E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  <w:noProof/>
        </w:rPr>
        <w:lastRenderedPageBreak/>
        <w:drawing>
          <wp:inline distT="0" distB="0" distL="0" distR="0" wp14:anchorId="670AA799" wp14:editId="1ECC969D">
            <wp:extent cx="3694502" cy="522834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02048" cy="523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FDF3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</w:rPr>
        <w:t xml:space="preserve">Supplementary Figure 6 - Conditional deletion of </w:t>
      </w:r>
      <w:r w:rsidRPr="00FD03B0">
        <w:rPr>
          <w:rFonts w:ascii="Arial" w:hAnsi="Arial" w:cs="Arial"/>
          <w:b/>
          <w:i/>
        </w:rPr>
        <w:t>AMPK-</w:t>
      </w:r>
      <w:r w:rsidRPr="00FD03B0">
        <w:rPr>
          <w:rFonts w:ascii="Arial" w:hAnsi="Arial" w:cs="Arial"/>
          <w:b/>
          <w:i/>
        </w:rPr>
        <w:sym w:font="Symbol" w:char="0061"/>
      </w:r>
      <w:r w:rsidRPr="00FD03B0">
        <w:rPr>
          <w:rFonts w:ascii="Arial" w:hAnsi="Arial" w:cs="Arial"/>
          <w:b/>
          <w:i/>
        </w:rPr>
        <w:t>1+</w:t>
      </w:r>
      <w:r w:rsidRPr="00FD03B0">
        <w:rPr>
          <w:rFonts w:ascii="Arial" w:hAnsi="Arial" w:cs="Arial"/>
          <w:b/>
        </w:rPr>
        <w:sym w:font="Symbol" w:char="0061"/>
      </w:r>
      <w:r w:rsidRPr="00FD03B0">
        <w:rPr>
          <w:rFonts w:ascii="Arial" w:hAnsi="Arial" w:cs="Arial"/>
          <w:b/>
        </w:rPr>
        <w:t xml:space="preserve">2 in carotid body type I cells has no effect on hypoxia-evoked or hypercapnia evoked afferent discharge from the carotid body in-vitro </w:t>
      </w:r>
      <w:r w:rsidRPr="00FD03B0">
        <w:rPr>
          <w:rFonts w:ascii="Arial" w:hAnsi="Arial" w:cs="Arial"/>
          <w:iCs/>
        </w:rPr>
        <w:t xml:space="preserve">A-D, </w:t>
      </w:r>
      <w:r w:rsidRPr="00FD03B0">
        <w:rPr>
          <w:rFonts w:ascii="Arial" w:hAnsi="Arial" w:cs="Arial"/>
        </w:rPr>
        <w:t>Individual values and mean±SEM of basal chemoafferent activity (A), peak hypoxic frequency (B), PO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at 5 Hz (C) and exponential rate constant (D) measured in TH-Cre (n = 8),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 xml:space="preserve">2 </w:t>
      </w:r>
      <w:r w:rsidRPr="00FD03B0">
        <w:rPr>
          <w:rFonts w:ascii="Arial" w:hAnsi="Arial" w:cs="Arial"/>
          <w:iCs/>
        </w:rPr>
        <w:t xml:space="preserve">floxed </w:t>
      </w:r>
      <w:r w:rsidRPr="00FD03B0">
        <w:rPr>
          <w:rFonts w:ascii="Arial" w:hAnsi="Arial" w:cs="Arial"/>
          <w:i/>
        </w:rPr>
        <w:t>(AMPK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 xml:space="preserve">2 </w:t>
      </w:r>
      <w:r w:rsidRPr="00FD03B0">
        <w:rPr>
          <w:rFonts w:ascii="Arial" w:hAnsi="Arial" w:cs="Arial"/>
        </w:rPr>
        <w:t xml:space="preserve">hom Flx, n=10) and conditional homozygous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 xml:space="preserve">2 </w:t>
      </w:r>
      <w:r w:rsidRPr="00FD03B0">
        <w:rPr>
          <w:rFonts w:ascii="Arial" w:hAnsi="Arial" w:cs="Arial"/>
          <w:iCs/>
        </w:rPr>
        <w:t xml:space="preserve">knockouts </w:t>
      </w:r>
      <w:r w:rsidRPr="00FD03B0">
        <w:rPr>
          <w:rFonts w:ascii="Arial" w:hAnsi="Arial" w:cs="Arial"/>
        </w:rPr>
        <w:t>(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2</w:t>
      </w:r>
      <w:r w:rsidRPr="00FD03B0">
        <w:rPr>
          <w:rFonts w:ascii="Arial" w:hAnsi="Arial" w:cs="Arial"/>
        </w:rPr>
        <w:t xml:space="preserve"> hom KO; n=8). E-F, Chemoafferent activity measured at a superfusate </w:t>
      </w:r>
      <w:r w:rsidRPr="00FD03B0">
        <w:rPr>
          <w:rFonts w:ascii="Arial" w:hAnsi="Arial" w:cs="Arial"/>
          <w:i/>
          <w:iCs/>
        </w:rPr>
        <w:t>P</w:t>
      </w:r>
      <w:r w:rsidRPr="00FD03B0">
        <w:rPr>
          <w:rFonts w:ascii="Arial" w:hAnsi="Arial" w:cs="Arial"/>
        </w:rPr>
        <w:t>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of 40 mmHg and 80 mmHg (hypercapnia) (E) and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sensitivity (F) for TH-Cre (n = 7),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 xml:space="preserve">2 </w:t>
      </w:r>
      <w:r w:rsidRPr="00FD03B0">
        <w:rPr>
          <w:rFonts w:ascii="Arial" w:hAnsi="Arial" w:cs="Arial"/>
        </w:rPr>
        <w:t xml:space="preserve">hom Flx (n=9) and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>1+</w:t>
      </w:r>
      <w:r w:rsidRPr="00FD03B0">
        <w:rPr>
          <w:rFonts w:ascii="Symbol" w:hAnsi="Symbol" w:cs="Arial"/>
          <w:i/>
        </w:rPr>
        <w:t>a</w:t>
      </w:r>
      <w:r w:rsidRPr="00FD03B0">
        <w:rPr>
          <w:rFonts w:ascii="Arial" w:hAnsi="Arial" w:cs="Arial"/>
          <w:i/>
        </w:rPr>
        <w:t xml:space="preserve">2 </w:t>
      </w:r>
      <w:r w:rsidRPr="00FD03B0">
        <w:rPr>
          <w:rFonts w:ascii="Arial" w:hAnsi="Arial" w:cs="Arial"/>
        </w:rPr>
        <w:t xml:space="preserve">hom KO (n = 9) groups.       </w:t>
      </w:r>
    </w:p>
    <w:p w14:paraId="78442E3D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t xml:space="preserve"> </w:t>
      </w:r>
    </w:p>
    <w:p w14:paraId="6AAEC7A1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E2D53DD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D03B0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9BACC72" wp14:editId="7E41E8DC">
            <wp:extent cx="5753100" cy="3073400"/>
            <wp:effectExtent l="0" t="0" r="0" b="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72019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2973E9E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F49FD94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7 - Body Weight versus age for controls, </w:t>
      </w:r>
      <w:r w:rsidRPr="00FD03B0">
        <w:rPr>
          <w:rFonts w:ascii="Arial" w:hAnsi="Arial" w:cs="Arial"/>
          <w:b/>
          <w:bCs/>
          <w:i/>
          <w:iCs/>
        </w:rPr>
        <w:t>Lkb1</w:t>
      </w:r>
      <w:r w:rsidRPr="00FD03B0">
        <w:rPr>
          <w:rFonts w:ascii="Arial" w:hAnsi="Arial" w:cs="Arial"/>
          <w:b/>
          <w:bCs/>
        </w:rPr>
        <w:t xml:space="preserve"> floxed and </w:t>
      </w:r>
      <w:r w:rsidRPr="00FD03B0">
        <w:rPr>
          <w:rFonts w:ascii="Arial" w:hAnsi="Arial" w:cs="Arial"/>
          <w:b/>
          <w:bCs/>
          <w:i/>
          <w:iCs/>
        </w:rPr>
        <w:t xml:space="preserve">Lkb1 </w:t>
      </w:r>
      <w:r w:rsidRPr="00FD03B0">
        <w:rPr>
          <w:rFonts w:ascii="Arial" w:hAnsi="Arial" w:cs="Arial"/>
          <w:b/>
          <w:bCs/>
        </w:rPr>
        <w:t xml:space="preserve">knockouts. </w:t>
      </w:r>
      <w:r w:rsidRPr="00FD03B0">
        <w:rPr>
          <w:rFonts w:ascii="Arial" w:hAnsi="Arial" w:cs="Arial"/>
        </w:rPr>
        <w:t xml:space="preserve">Values shown are mean ± SEM of body weight (g) versus age from 2 months to 12 months in 2 month intervals in control and transgenic mice used here. </w:t>
      </w:r>
    </w:p>
    <w:p w14:paraId="6491E9DC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4CC5879F" w14:textId="77777777" w:rsidR="005E7925" w:rsidRPr="00FD03B0" w:rsidRDefault="005E7925" w:rsidP="005E7925">
      <w:pPr>
        <w:rPr>
          <w:rFonts w:ascii="Arial" w:hAnsi="Arial" w:cs="Arial"/>
        </w:rPr>
      </w:pPr>
    </w:p>
    <w:p w14:paraId="50F0AB6A" w14:textId="77777777" w:rsidR="005E7925" w:rsidRPr="00FD03B0" w:rsidRDefault="005E7925" w:rsidP="005E7925">
      <w:pPr>
        <w:rPr>
          <w:rFonts w:ascii="Arial" w:hAnsi="Arial" w:cs="Arial"/>
        </w:rPr>
      </w:pPr>
    </w:p>
    <w:p w14:paraId="3BECD461" w14:textId="77777777" w:rsidR="005E7925" w:rsidRPr="00FD03B0" w:rsidRDefault="005E7925" w:rsidP="005E7925">
      <w:pPr>
        <w:jc w:val="both"/>
        <w:rPr>
          <w:rFonts w:ascii="Arial" w:hAnsi="Arial" w:cs="Arial"/>
          <w:b/>
          <w:bCs/>
          <w:color w:val="000000" w:themeColor="text1"/>
        </w:rPr>
      </w:pPr>
      <w:r w:rsidRPr="00FD03B0">
        <w:rPr>
          <w:rFonts w:ascii="Arial" w:hAnsi="Arial" w:cs="Arial"/>
          <w:noProof/>
        </w:rPr>
        <w:drawing>
          <wp:inline distT="0" distB="0" distL="0" distR="0" wp14:anchorId="418F29A5" wp14:editId="2C3D842C">
            <wp:extent cx="5425708" cy="6288259"/>
            <wp:effectExtent l="0" t="0" r="0" b="0"/>
            <wp:docPr id="6" name="Picture 6" descr="A picture containing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a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8449" cy="62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C6309" w14:textId="77777777" w:rsidR="005E7925" w:rsidRPr="00FD03B0" w:rsidRDefault="005E7925" w:rsidP="005E7925">
      <w:pPr>
        <w:jc w:val="both"/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b/>
          <w:bCs/>
          <w:color w:val="000000" w:themeColor="text1"/>
        </w:rPr>
        <w:t xml:space="preserve">Supplementary Figure 8 - Basal breathing frequency, tidal volume and minute ventilation of experimental mice. </w:t>
      </w:r>
      <w:r w:rsidRPr="00FD03B0">
        <w:rPr>
          <w:rFonts w:ascii="Arial" w:hAnsi="Arial" w:cs="Arial"/>
          <w:color w:val="000000" w:themeColor="text1"/>
        </w:rPr>
        <w:t>Bar charts show mean ± SEM for (A) breathing frequency (min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>) (B) tidal volume (ml g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>) and (C) minute ventilation (ml min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 xml:space="preserve"> g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>) under normoxia for C57/BL6 (green, n = 9), TH-Cre (black, n = 11),</w:t>
      </w:r>
      <w:r w:rsidRPr="00FD03B0">
        <w:rPr>
          <w:rFonts w:ascii="Arial" w:hAnsi="Arial" w:cs="Arial"/>
          <w:i/>
          <w:iCs/>
          <w:color w:val="000000" w:themeColor="text1"/>
        </w:rPr>
        <w:t xml:space="preserve"> Lkb1 </w:t>
      </w:r>
      <w:r w:rsidRPr="00FD03B0">
        <w:rPr>
          <w:rFonts w:ascii="Arial" w:hAnsi="Arial" w:cs="Arial"/>
          <w:color w:val="000000" w:themeColor="text1"/>
        </w:rPr>
        <w:t>homozygous floxed (</w:t>
      </w:r>
      <w:r w:rsidRPr="00FD03B0">
        <w:rPr>
          <w:rFonts w:ascii="Arial" w:hAnsi="Arial" w:cs="Arial"/>
          <w:i/>
          <w:iCs/>
          <w:color w:val="000000" w:themeColor="text1"/>
        </w:rPr>
        <w:t xml:space="preserve">Lkb1 </w:t>
      </w:r>
      <w:r w:rsidRPr="00FD03B0">
        <w:rPr>
          <w:rFonts w:ascii="Arial" w:hAnsi="Arial" w:cs="Arial"/>
          <w:color w:val="000000" w:themeColor="text1"/>
        </w:rPr>
        <w:t>hom FX, navy blue;</w:t>
      </w:r>
      <w:r w:rsidRPr="00FD03B0">
        <w:rPr>
          <w:rFonts w:ascii="Arial" w:hAnsi="Arial" w:cs="Arial"/>
        </w:rPr>
        <w:t xml:space="preserve"> n = 14</w:t>
      </w:r>
      <w:r w:rsidRPr="00FD03B0">
        <w:rPr>
          <w:rFonts w:ascii="Arial" w:hAnsi="Arial" w:cs="Arial"/>
          <w:color w:val="000000" w:themeColor="text1"/>
        </w:rPr>
        <w:t xml:space="preserve">), </w:t>
      </w:r>
      <w:r w:rsidRPr="00FD03B0">
        <w:rPr>
          <w:rFonts w:ascii="Arial" w:hAnsi="Arial" w:cs="Arial"/>
          <w:i/>
          <w:iCs/>
          <w:color w:val="000000" w:themeColor="text1"/>
        </w:rPr>
        <w:t xml:space="preserve">Lkb1 </w:t>
      </w:r>
      <w:r w:rsidRPr="00FD03B0">
        <w:rPr>
          <w:rFonts w:ascii="Arial" w:hAnsi="Arial" w:cs="Arial"/>
          <w:color w:val="000000" w:themeColor="text1"/>
        </w:rPr>
        <w:t>homozygous knockout (</w:t>
      </w:r>
      <w:r w:rsidRPr="00FD03B0">
        <w:rPr>
          <w:rFonts w:ascii="Arial" w:hAnsi="Arial" w:cs="Arial"/>
          <w:i/>
          <w:iCs/>
          <w:color w:val="000000" w:themeColor="text1"/>
        </w:rPr>
        <w:t xml:space="preserve">Lkb1 </w:t>
      </w:r>
      <w:r w:rsidRPr="00FD03B0">
        <w:rPr>
          <w:rFonts w:ascii="Arial" w:hAnsi="Arial" w:cs="Arial"/>
          <w:color w:val="000000" w:themeColor="text1"/>
        </w:rPr>
        <w:t xml:space="preserve">hom KO, red; n = 12), </w:t>
      </w:r>
      <w:r w:rsidRPr="00FD03B0">
        <w:rPr>
          <w:rFonts w:ascii="Arial" w:hAnsi="Arial" w:cs="Arial"/>
          <w:i/>
          <w:iCs/>
          <w:color w:val="000000" w:themeColor="text1"/>
        </w:rPr>
        <w:t>CaMKK2</w:t>
      </w:r>
      <w:r w:rsidRPr="00FD03B0">
        <w:rPr>
          <w:rFonts w:ascii="Arial" w:hAnsi="Arial" w:cs="Arial"/>
          <w:color w:val="000000" w:themeColor="text1"/>
        </w:rPr>
        <w:t xml:space="preserve"> wild type (</w:t>
      </w:r>
      <w:r w:rsidRPr="00FD03B0">
        <w:rPr>
          <w:rFonts w:ascii="Arial" w:hAnsi="Arial" w:cs="Arial"/>
          <w:i/>
          <w:iCs/>
          <w:color w:val="000000" w:themeColor="text1"/>
        </w:rPr>
        <w:t>CaMKK2</w:t>
      </w:r>
      <w:r w:rsidRPr="00FD03B0">
        <w:rPr>
          <w:rFonts w:ascii="Arial" w:hAnsi="Arial" w:cs="Arial"/>
          <w:color w:val="000000" w:themeColor="text1"/>
        </w:rPr>
        <w:t xml:space="preserve"> WT, purple), </w:t>
      </w:r>
      <w:r w:rsidRPr="00FD03B0">
        <w:rPr>
          <w:rFonts w:ascii="Arial" w:hAnsi="Arial" w:cs="Arial"/>
          <w:i/>
          <w:iCs/>
          <w:color w:val="000000" w:themeColor="text1"/>
        </w:rPr>
        <w:t>CaMKK2</w:t>
      </w:r>
      <w:r w:rsidRPr="00FD03B0">
        <w:rPr>
          <w:rFonts w:ascii="Arial" w:hAnsi="Arial" w:cs="Arial"/>
          <w:color w:val="000000" w:themeColor="text1"/>
        </w:rPr>
        <w:t xml:space="preserve"> knockout (</w:t>
      </w:r>
      <w:r w:rsidRPr="00FD03B0">
        <w:rPr>
          <w:rFonts w:ascii="Arial" w:hAnsi="Arial" w:cs="Arial"/>
          <w:i/>
          <w:iCs/>
          <w:color w:val="000000" w:themeColor="text1"/>
        </w:rPr>
        <w:t>CaMKK2</w:t>
      </w:r>
      <w:r w:rsidRPr="00FD03B0">
        <w:rPr>
          <w:rFonts w:ascii="Arial" w:hAnsi="Arial" w:cs="Arial"/>
          <w:color w:val="000000" w:themeColor="text1"/>
        </w:rPr>
        <w:t xml:space="preserve"> KO, light blue).</w:t>
      </w:r>
    </w:p>
    <w:p w14:paraId="159002ED" w14:textId="77777777" w:rsidR="005E7925" w:rsidRPr="00FD03B0" w:rsidRDefault="005E7925" w:rsidP="005E7925">
      <w:pPr>
        <w:rPr>
          <w:rFonts w:ascii="Arial" w:hAnsi="Arial" w:cs="Arial"/>
          <w:color w:val="000000" w:themeColor="text1"/>
        </w:rPr>
      </w:pPr>
      <w:r w:rsidRPr="00FD03B0">
        <w:rPr>
          <w:rFonts w:ascii="Arial" w:eastAsiaTheme="minorEastAsia" w:hAnsi="Arial" w:cs="Arial"/>
        </w:rPr>
        <w:br w:type="page"/>
      </w:r>
    </w:p>
    <w:p w14:paraId="50CCE97B" w14:textId="77777777" w:rsidR="005E7925" w:rsidRPr="00FD03B0" w:rsidRDefault="005E7925" w:rsidP="005E7925">
      <w:r w:rsidRPr="00FD03B0">
        <w:rPr>
          <w:noProof/>
        </w:rPr>
        <w:lastRenderedPageBreak/>
        <w:drawing>
          <wp:inline distT="0" distB="0" distL="0" distR="0" wp14:anchorId="4F044EAC" wp14:editId="734AE948">
            <wp:extent cx="5727700" cy="39922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F40A" w14:textId="77777777" w:rsidR="005E7925" w:rsidRPr="00FD03B0" w:rsidRDefault="005E7925" w:rsidP="005E7925"/>
    <w:p w14:paraId="2B10141A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>Supplementary Figure 9 - The hypoxic ventilatory response is inversely related to the level of LKB1 expression.</w:t>
      </w:r>
      <w:r w:rsidRPr="00FD03B0">
        <w:rPr>
          <w:rFonts w:ascii="Arial" w:hAnsi="Arial" w:cs="Arial"/>
        </w:rPr>
        <w:t xml:space="preserve"> Dot plots and mean±SEM for breathing frequency, tidal volume and minute ventilation (ml min</w:t>
      </w:r>
      <w:r w:rsidRPr="00FD03B0">
        <w:rPr>
          <w:rFonts w:ascii="Arial" w:hAnsi="Arial" w:cs="Arial"/>
          <w:vertAlign w:val="superscript"/>
        </w:rPr>
        <w:t>-1</w:t>
      </w:r>
      <w:r w:rsidRPr="00FD03B0">
        <w:rPr>
          <w:rFonts w:ascii="Arial" w:hAnsi="Arial" w:cs="Arial"/>
        </w:rPr>
        <w:t>) during (A)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and (B)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at the peak of the Augmenting Phase (A, ~30s), after Roll Off (RO, ~100s) and during the plateau of the Sustained Phase (SP, ~300s) of the ventilatory response for TH-Cre (12%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25;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, n = 37), 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  <w:iCs/>
        </w:rPr>
        <w:t>homozygous floxed mice</w:t>
      </w:r>
      <w:r w:rsidRPr="00FD03B0">
        <w:rPr>
          <w:rFonts w:ascii="Arial" w:hAnsi="Arial" w:cs="Arial"/>
        </w:rPr>
        <w:t xml:space="preserve"> (</w:t>
      </w:r>
      <w:r w:rsidRPr="00FD03B0">
        <w:rPr>
          <w:rFonts w:ascii="Arial" w:hAnsi="Arial" w:cs="Arial"/>
          <w:i/>
        </w:rPr>
        <w:t xml:space="preserve">Lkb1 </w:t>
      </w:r>
      <w:r w:rsidRPr="00FD03B0">
        <w:rPr>
          <w:rFonts w:ascii="Arial" w:hAnsi="Arial" w:cs="Arial"/>
        </w:rPr>
        <w:t>hom Flx;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14;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, n = 15) which are globally hypomorphic (~90% loss of Lkb1) and conditional 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</w:rPr>
        <w:t>knockout mice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KO;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; n = 22;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30).</w:t>
      </w:r>
    </w:p>
    <w:p w14:paraId="22DFF593" w14:textId="77777777" w:rsidR="005E7925" w:rsidRPr="00FD03B0" w:rsidRDefault="005E7925" w:rsidP="005E7925"/>
    <w:p w14:paraId="04DCD0DD" w14:textId="77777777" w:rsidR="005E7925" w:rsidRPr="00FD03B0" w:rsidRDefault="005E7925" w:rsidP="005E7925">
      <w:r w:rsidRPr="00FD03B0">
        <w:br w:type="page"/>
      </w:r>
    </w:p>
    <w:p w14:paraId="26455433" w14:textId="77777777" w:rsidR="005E7925" w:rsidRPr="00FD03B0" w:rsidRDefault="005E7925" w:rsidP="005E7925"/>
    <w:p w14:paraId="4CBBFEEB" w14:textId="77777777" w:rsidR="005E7925" w:rsidRPr="00FD03B0" w:rsidRDefault="005E7925" w:rsidP="005E7925">
      <w:r w:rsidRPr="00FD03B0">
        <w:rPr>
          <w:noProof/>
        </w:rPr>
        <w:drawing>
          <wp:inline distT="0" distB="0" distL="0" distR="0" wp14:anchorId="1BE47654" wp14:editId="269C4211">
            <wp:extent cx="5727700" cy="42500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67C4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>Supplementary Figure 10 - The hypoxic ventilatory response remains unaffected after global CaMKK2 deletion.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iCs/>
        </w:rPr>
        <w:t>Dot plots and</w:t>
      </w:r>
      <w:r w:rsidRPr="00FD03B0">
        <w:rPr>
          <w:rFonts w:ascii="Arial" w:hAnsi="Arial" w:cs="Arial"/>
        </w:rPr>
        <w:t xml:space="preserve"> mean±SEM for</w:t>
      </w:r>
      <w:r w:rsidRPr="00FD03B0">
        <w:rPr>
          <w:rFonts w:ascii="Arial" w:hAnsi="Arial" w:cs="Arial"/>
          <w:i/>
        </w:rPr>
        <w:t xml:space="preserve"> CaMKK2 WT</w:t>
      </w:r>
      <w:r w:rsidRPr="00FD03B0">
        <w:rPr>
          <w:rFonts w:ascii="Arial" w:hAnsi="Arial" w:cs="Arial"/>
        </w:rPr>
        <w:t xml:space="preserve"> (n = 10) and global </w:t>
      </w:r>
      <w:r w:rsidRPr="00FD03B0">
        <w:rPr>
          <w:rFonts w:ascii="Arial" w:hAnsi="Arial" w:cs="Arial"/>
          <w:i/>
        </w:rPr>
        <w:t>CaMKK2</w:t>
      </w:r>
      <w:r w:rsidRPr="00FD03B0">
        <w:rPr>
          <w:rFonts w:ascii="Arial" w:hAnsi="Arial" w:cs="Arial"/>
        </w:rPr>
        <w:t xml:space="preserve"> (CaMKK-</w:t>
      </w:r>
      <w:r w:rsidRPr="00FD03B0">
        <w:rPr>
          <w:rFonts w:ascii="Arial" w:hAnsi="Arial" w:cs="Arial"/>
        </w:rPr>
        <w:sym w:font="Symbol" w:char="F062"/>
      </w:r>
      <w:r w:rsidRPr="00FD03B0">
        <w:rPr>
          <w:rFonts w:ascii="Arial" w:hAnsi="Arial" w:cs="Arial"/>
        </w:rPr>
        <w:t>) KO mice (n = 10 exposures) show increases in minute ventilation (ml min</w:t>
      </w:r>
      <w:r w:rsidRPr="00FD03B0">
        <w:rPr>
          <w:rFonts w:ascii="Arial" w:hAnsi="Arial" w:cs="Arial"/>
          <w:vertAlign w:val="superscript"/>
        </w:rPr>
        <w:t>-1</w:t>
      </w:r>
      <w:r w:rsidRPr="00FD03B0">
        <w:rPr>
          <w:rFonts w:ascii="Arial" w:hAnsi="Arial" w:cs="Arial"/>
        </w:rPr>
        <w:t>) at the peak of the Augmenting Phase (A, ~30s), after Roll Off (RO, ~100s) and during the plateau of the Sustained Phase (SP, ~300s) of the ventilatory response to 12% and 8% O</w:t>
      </w:r>
      <w:r w:rsidRPr="00FD03B0">
        <w:rPr>
          <w:rFonts w:ascii="Arial" w:hAnsi="Arial" w:cs="Arial"/>
          <w:vertAlign w:val="subscript"/>
        </w:rPr>
        <w:t>2</w:t>
      </w:r>
    </w:p>
    <w:p w14:paraId="2CACC7B6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7B764E1B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noProof/>
        </w:rPr>
        <w:lastRenderedPageBreak/>
        <w:drawing>
          <wp:inline distT="0" distB="0" distL="0" distR="0" wp14:anchorId="539F5FF0" wp14:editId="24306B42">
            <wp:extent cx="5971540" cy="45872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5C78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>Supplementary Figure 11 - The hypoxic ventilatory response is attenuated by AMPK deletion.</w:t>
      </w:r>
      <w:r w:rsidRPr="00FD03B0">
        <w:rPr>
          <w:rFonts w:ascii="Arial" w:hAnsi="Arial" w:cs="Arial"/>
        </w:rPr>
        <w:t xml:space="preserve"> Dot plots and mean±SEM for breathing frequency, tidal volume and minute ventilation (ml min</w:t>
      </w:r>
      <w:r w:rsidRPr="00FD03B0">
        <w:rPr>
          <w:rFonts w:ascii="Arial" w:hAnsi="Arial" w:cs="Arial"/>
          <w:vertAlign w:val="superscript"/>
        </w:rPr>
        <w:t>-1</w:t>
      </w:r>
      <w:r w:rsidRPr="00FD03B0">
        <w:rPr>
          <w:rFonts w:ascii="Arial" w:hAnsi="Arial" w:cs="Arial"/>
        </w:rPr>
        <w:t>) during (A)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and (B)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at the peak of the Augmenting Phase (A, ~30s), after Roll Off (RO, ~100s) and during the plateau of the Sustained Phase (SP, ~300s) of the ventilatory response for TH-Cre (12%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;  n = 25;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; n = 37), 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  <w:iCs/>
        </w:rPr>
        <w:t>homozygous floxed mice</w:t>
      </w:r>
      <w:r w:rsidRPr="00FD03B0">
        <w:rPr>
          <w:rFonts w:ascii="Arial" w:hAnsi="Arial" w:cs="Arial"/>
        </w:rPr>
        <w:t xml:space="preserve"> (</w:t>
      </w:r>
      <w:r w:rsidRPr="00FD03B0">
        <w:rPr>
          <w:rFonts w:ascii="Arial" w:hAnsi="Arial" w:cs="Arial"/>
          <w:i/>
          <w:iCs/>
        </w:rPr>
        <w:t>AMPK-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  <w:i/>
        </w:rPr>
        <w:t xml:space="preserve"> </w:t>
      </w:r>
      <w:r w:rsidRPr="00FD03B0">
        <w:rPr>
          <w:rFonts w:ascii="Arial" w:hAnsi="Arial" w:cs="Arial"/>
        </w:rPr>
        <w:t>Double FX;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n = 30;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; n = 13) and conditional </w:t>
      </w:r>
      <w:r w:rsidRPr="00FD03B0">
        <w:rPr>
          <w:rFonts w:ascii="Arial" w:hAnsi="Arial" w:cs="Arial"/>
          <w:i/>
          <w:iCs/>
        </w:rPr>
        <w:t>AMPK</w:t>
      </w:r>
      <w:r w:rsidRPr="00FD03B0">
        <w:rPr>
          <w:rFonts w:ascii="Arial" w:hAnsi="Arial" w:cs="Arial"/>
          <w:i/>
          <w:iCs/>
        </w:rPr>
        <w:noBreakHyphen/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 xml:space="preserve">2 </w:t>
      </w:r>
      <w:r w:rsidRPr="00FD03B0">
        <w:rPr>
          <w:rFonts w:ascii="Arial" w:hAnsi="Arial" w:cs="Arial"/>
        </w:rPr>
        <w:t>knockout mice (</w:t>
      </w:r>
      <w:r w:rsidRPr="00FD03B0">
        <w:rPr>
          <w:rFonts w:ascii="Arial" w:hAnsi="Arial" w:cs="Arial"/>
          <w:i/>
          <w:iCs/>
        </w:rPr>
        <w:t>AMPK-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Double KO;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n = 30;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26).</w:t>
      </w:r>
    </w:p>
    <w:p w14:paraId="70AB2867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7139FC30" w14:textId="77777777" w:rsidR="005E7925" w:rsidRPr="00FD03B0" w:rsidRDefault="005E7925" w:rsidP="005E7925">
      <w:r w:rsidRPr="00FD03B0">
        <w:rPr>
          <w:noProof/>
        </w:rPr>
        <w:lastRenderedPageBreak/>
        <w:drawing>
          <wp:inline distT="0" distB="0" distL="0" distR="0" wp14:anchorId="708F7A1F" wp14:editId="4B4CEB7A">
            <wp:extent cx="3008121" cy="6173972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320" cy="61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B88B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12 - Conditional deletion of </w:t>
      </w:r>
      <w:r w:rsidRPr="00FD03B0">
        <w:rPr>
          <w:rFonts w:ascii="Arial" w:hAnsi="Arial" w:cs="Arial"/>
          <w:b/>
          <w:bCs/>
          <w:i/>
          <w:iCs/>
        </w:rPr>
        <w:t>Lkb1</w:t>
      </w:r>
      <w:r w:rsidRPr="00FD03B0">
        <w:rPr>
          <w:rFonts w:ascii="Arial" w:hAnsi="Arial" w:cs="Arial"/>
          <w:b/>
          <w:bCs/>
        </w:rPr>
        <w:t xml:space="preserve"> in tyrosine hydroxylase expressing cells precipitates apnoea. 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bCs/>
        </w:rPr>
        <w:t>Dot plots and</w:t>
      </w:r>
      <w:r w:rsidRPr="00FD03B0">
        <w:rPr>
          <w:rFonts w:ascii="Arial" w:hAnsi="Arial" w:cs="Arial"/>
        </w:rPr>
        <w:t xml:space="preserve"> Mean±SEM for apnoeic index (per minute),</w:t>
      </w:r>
      <w:r w:rsidRPr="00FD03B0">
        <w:rPr>
          <w:rFonts w:ascii="Arial" w:hAnsi="Arial" w:cs="Arial"/>
          <w:b/>
          <w:bCs/>
          <w:i/>
          <w:iCs/>
        </w:rPr>
        <w:t xml:space="preserve"> </w:t>
      </w:r>
      <w:r w:rsidRPr="00FD03B0">
        <w:rPr>
          <w:rFonts w:ascii="Arial" w:hAnsi="Arial" w:cs="Arial"/>
        </w:rPr>
        <w:t>apnoea duration (s) and apnoea-duration index (frequency x duration)</w:t>
      </w:r>
      <w:r w:rsidRPr="00FD03B0">
        <w:rPr>
          <w:rFonts w:ascii="Arial" w:hAnsi="Arial" w:cs="Arial"/>
          <w:iCs/>
        </w:rPr>
        <w:t xml:space="preserve"> for TH</w:t>
      </w:r>
      <w:r w:rsidRPr="00FD03B0">
        <w:rPr>
          <w:rFonts w:ascii="Arial" w:hAnsi="Arial" w:cs="Arial"/>
          <w:iCs/>
        </w:rPr>
        <w:noBreakHyphen/>
        <w:t>Cre</w:t>
      </w:r>
      <w:r w:rsidRPr="00FD03B0">
        <w:rPr>
          <w:rFonts w:ascii="Arial" w:hAnsi="Arial" w:cs="Arial"/>
        </w:rPr>
        <w:t xml:space="preserve"> (black;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19;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, n = 24),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homozygous floxed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Fx;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16;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, n = 15) and conditional 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  <w:iCs/>
        </w:rPr>
        <w:t>homozygous knockouts (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  <w:iCs/>
        </w:rPr>
        <w:t xml:space="preserve"> hom </w:t>
      </w:r>
      <w:r w:rsidRPr="00FD03B0">
        <w:rPr>
          <w:rFonts w:ascii="Arial" w:hAnsi="Arial" w:cs="Arial"/>
        </w:rPr>
        <w:t>KO;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17;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29) mice during exposures to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and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+ 5%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.</w:t>
      </w:r>
    </w:p>
    <w:p w14:paraId="2990971F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2B0245F2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noProof/>
        </w:rPr>
        <w:lastRenderedPageBreak/>
        <w:drawing>
          <wp:inline distT="0" distB="0" distL="0" distR="0" wp14:anchorId="60F276AB" wp14:editId="50BF65AC">
            <wp:extent cx="5209082" cy="4062464"/>
            <wp:effectExtent l="0" t="0" r="0" b="1905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2321" cy="40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2BE9" w14:textId="77777777" w:rsidR="005E7925" w:rsidRPr="00FD03B0" w:rsidRDefault="005E7925" w:rsidP="005E7925">
      <w:pPr>
        <w:rPr>
          <w:rFonts w:ascii="Arial" w:hAnsi="Arial" w:cs="Arial"/>
        </w:rPr>
      </w:pPr>
    </w:p>
    <w:p w14:paraId="329B38B3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7DB0791" w14:textId="77777777" w:rsidR="005E7925" w:rsidRPr="00FD03B0" w:rsidRDefault="005E7925" w:rsidP="005E7925">
      <w:pPr>
        <w:jc w:val="both"/>
        <w:rPr>
          <w:rFonts w:ascii="Arial" w:hAnsi="Arial" w:cs="Arial"/>
        </w:rPr>
      </w:pPr>
    </w:p>
    <w:p w14:paraId="78BE05A9" w14:textId="77777777" w:rsidR="005E7925" w:rsidRPr="00FD03B0" w:rsidRDefault="005E7925" w:rsidP="005E7925">
      <w:pPr>
        <w:jc w:val="both"/>
        <w:rPr>
          <w:rFonts w:ascii="Arial" w:hAnsi="Arial" w:cs="Arial"/>
          <w:b/>
          <w:bCs/>
        </w:rPr>
      </w:pPr>
      <w:r w:rsidRPr="00FD03B0">
        <w:rPr>
          <w:rFonts w:ascii="Arial" w:hAnsi="Arial" w:cs="Arial"/>
          <w:b/>
          <w:bCs/>
        </w:rPr>
        <w:t>Supplementary Figure 13  – Respiratory dysfunction and apnoea are less severe for mice 90% hypomorphic for</w:t>
      </w:r>
      <w:r w:rsidRPr="00FD03B0">
        <w:rPr>
          <w:rFonts w:ascii="Arial" w:hAnsi="Arial" w:cs="Arial"/>
          <w:b/>
          <w:bCs/>
          <w:iCs/>
        </w:rPr>
        <w:t xml:space="preserve"> LKB1 </w:t>
      </w:r>
      <w:r w:rsidRPr="00FD03B0">
        <w:rPr>
          <w:rFonts w:ascii="Arial" w:hAnsi="Arial" w:cs="Arial"/>
          <w:b/>
          <w:bCs/>
        </w:rPr>
        <w:t xml:space="preserve">than for conditional </w:t>
      </w:r>
      <w:r w:rsidRPr="00FD03B0">
        <w:rPr>
          <w:rFonts w:ascii="Arial" w:hAnsi="Arial" w:cs="Arial"/>
          <w:b/>
          <w:bCs/>
          <w:i/>
        </w:rPr>
        <w:t>Lkb1</w:t>
      </w:r>
      <w:r w:rsidRPr="00FD03B0">
        <w:rPr>
          <w:rFonts w:ascii="Arial" w:hAnsi="Arial" w:cs="Arial"/>
          <w:b/>
          <w:bCs/>
        </w:rPr>
        <w:t xml:space="preserve"> knockouts </w:t>
      </w:r>
    </w:p>
    <w:p w14:paraId="2CEC293E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Cs/>
        </w:rPr>
        <w:t xml:space="preserve">AI-DI, </w:t>
      </w:r>
      <w:r w:rsidRPr="00FD03B0">
        <w:rPr>
          <w:rFonts w:ascii="Arial" w:hAnsi="Arial" w:cs="Arial"/>
        </w:rPr>
        <w:t>E</w:t>
      </w:r>
      <w:r w:rsidRPr="00FD03B0">
        <w:rPr>
          <w:rFonts w:ascii="Arial" w:hAnsi="Arial" w:cs="Arial"/>
          <w:bCs/>
        </w:rPr>
        <w:t xml:space="preserve">xemplar </w:t>
      </w:r>
      <w:r w:rsidRPr="00FD03B0">
        <w:rPr>
          <w:rFonts w:ascii="Arial" w:hAnsi="Arial" w:cs="Arial"/>
        </w:rPr>
        <w:t>Poincaré plots of the inter-breath interval (BB</w:t>
      </w:r>
      <w:r w:rsidRPr="00FD03B0">
        <w:rPr>
          <w:rFonts w:ascii="Arial" w:hAnsi="Arial" w:cs="Arial"/>
          <w:vertAlign w:val="subscript"/>
        </w:rPr>
        <w:t>n</w:t>
      </w:r>
      <w:r w:rsidRPr="00FD03B0">
        <w:rPr>
          <w:rFonts w:ascii="Arial" w:hAnsi="Arial" w:cs="Arial"/>
        </w:rPr>
        <w:t>) versus subsequent interval (BB</w:t>
      </w:r>
      <w:r w:rsidRPr="00FD03B0">
        <w:rPr>
          <w:rFonts w:ascii="Arial" w:hAnsi="Arial" w:cs="Arial"/>
          <w:vertAlign w:val="subscript"/>
        </w:rPr>
        <w:t>n+1</w:t>
      </w:r>
      <w:r w:rsidRPr="00FD03B0">
        <w:rPr>
          <w:rFonts w:ascii="Arial" w:hAnsi="Arial" w:cs="Arial"/>
        </w:rPr>
        <w:t>) during normoxia for controls (</w:t>
      </w:r>
      <w:r w:rsidRPr="00FD03B0">
        <w:rPr>
          <w:rFonts w:ascii="Arial" w:hAnsi="Arial" w:cs="Arial"/>
          <w:iCs/>
        </w:rPr>
        <w:t xml:space="preserve">TH-Cre, black; </w:t>
      </w:r>
      <w:r w:rsidRPr="00FD03B0">
        <w:rPr>
          <w:rFonts w:ascii="Arial" w:hAnsi="Arial" w:cs="Arial"/>
        </w:rPr>
        <w:t>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19;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24</w:t>
      </w:r>
      <w:r w:rsidRPr="00FD03B0">
        <w:rPr>
          <w:rFonts w:ascii="Arial" w:hAnsi="Arial" w:cs="Arial"/>
          <w:iCs/>
        </w:rPr>
        <w:t xml:space="preserve">), </w:t>
      </w:r>
      <w:r w:rsidRPr="00FD03B0">
        <w:rPr>
          <w:rFonts w:ascii="Arial" w:hAnsi="Arial" w:cs="Arial"/>
          <w:i/>
          <w:iCs/>
        </w:rPr>
        <w:t xml:space="preserve">Lkb1 homozygous </w:t>
      </w:r>
      <w:r w:rsidRPr="00FD03B0">
        <w:rPr>
          <w:rFonts w:ascii="Arial" w:hAnsi="Arial" w:cs="Arial"/>
          <w:iCs/>
        </w:rPr>
        <w:t>floxed (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  <w:iCs/>
        </w:rPr>
        <w:t xml:space="preserve">hom Flx, blue; </w:t>
      </w:r>
      <w:r w:rsidRPr="00FD03B0">
        <w:rPr>
          <w:rFonts w:ascii="Arial" w:hAnsi="Arial" w:cs="Arial"/>
        </w:rPr>
        <w:t>n = 16;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15</w:t>
      </w:r>
      <w:r w:rsidRPr="00FD03B0">
        <w:rPr>
          <w:rFonts w:ascii="Arial" w:hAnsi="Arial" w:cs="Arial"/>
          <w:iCs/>
        </w:rPr>
        <w:t xml:space="preserve">) and conditional 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  <w:iCs/>
        </w:rPr>
        <w:t xml:space="preserve"> homozygous knockouts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  <w:iCs/>
        </w:rPr>
        <w:t xml:space="preserve"> hom KO, red; </w:t>
      </w:r>
      <w:r w:rsidRPr="00FD03B0">
        <w:rPr>
          <w:rFonts w:ascii="Arial" w:hAnsi="Arial" w:cs="Arial"/>
        </w:rPr>
        <w:t>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17;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29</w:t>
      </w:r>
      <w:r w:rsidRPr="00FD03B0">
        <w:rPr>
          <w:rFonts w:ascii="Arial" w:hAnsi="Arial" w:cs="Arial"/>
          <w:iCs/>
        </w:rPr>
        <w:t>) during (AI) normoxia, (BI) mild hypoxia (</w:t>
      </w:r>
      <w:r w:rsidRPr="00FD03B0">
        <w:rPr>
          <w:rFonts w:ascii="Arial" w:hAnsi="Arial" w:cs="Arial"/>
        </w:rPr>
        <w:t>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  <w:iCs/>
        </w:rPr>
        <w:t>), (CI) severe hypoxia (</w:t>
      </w:r>
      <w:r w:rsidRPr="00FD03B0">
        <w:rPr>
          <w:rFonts w:ascii="Arial" w:hAnsi="Arial" w:cs="Arial"/>
        </w:rPr>
        <w:t>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  <w:iCs/>
        </w:rPr>
        <w:t>) and (DI) severe hypoxic hypercapnia (</w:t>
      </w:r>
      <w:r w:rsidRPr="00FD03B0">
        <w:rPr>
          <w:rFonts w:ascii="Arial" w:hAnsi="Arial" w:cs="Arial"/>
        </w:rPr>
        <w:t>8% O</w:t>
      </w:r>
      <w:r w:rsidRPr="00FD03B0">
        <w:rPr>
          <w:rFonts w:ascii="Arial" w:hAnsi="Arial" w:cs="Arial"/>
          <w:vertAlign w:val="subscript"/>
        </w:rPr>
        <w:t xml:space="preserve">2 </w:t>
      </w:r>
      <w:r w:rsidRPr="00FD03B0">
        <w:rPr>
          <w:rFonts w:ascii="Arial" w:hAnsi="Arial" w:cs="Arial"/>
        </w:rPr>
        <w:t>+ 5%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  <w:iCs/>
        </w:rPr>
        <w:t xml:space="preserve">). </w:t>
      </w:r>
      <w:r w:rsidRPr="00FD03B0">
        <w:rPr>
          <w:rFonts w:ascii="Arial" w:hAnsi="Arial" w:cs="Arial"/>
        </w:rPr>
        <w:t>AII</w:t>
      </w:r>
      <w:r w:rsidRPr="00FD03B0">
        <w:rPr>
          <w:rFonts w:ascii="Arial" w:hAnsi="Arial" w:cs="Arial"/>
        </w:rPr>
        <w:noBreakHyphen/>
        <w:t>DII, Corresponding mean±SEM for the standard deviation (SD) of BB</w:t>
      </w:r>
      <w:r w:rsidRPr="00FD03B0">
        <w:rPr>
          <w:rFonts w:ascii="Arial" w:hAnsi="Arial" w:cs="Arial"/>
          <w:vertAlign w:val="subscript"/>
        </w:rPr>
        <w:t>n</w:t>
      </w:r>
      <w:r w:rsidRPr="00FD03B0">
        <w:rPr>
          <w:rFonts w:ascii="Arial" w:hAnsi="Arial" w:cs="Arial"/>
        </w:rPr>
        <w:t xml:space="preserve"> and BB</w:t>
      </w:r>
      <w:r w:rsidRPr="00FD03B0">
        <w:rPr>
          <w:rFonts w:ascii="Arial" w:hAnsi="Arial" w:cs="Arial"/>
          <w:vertAlign w:val="subscript"/>
        </w:rPr>
        <w:t>n+1</w:t>
      </w:r>
      <w:r w:rsidRPr="00FD03B0">
        <w:rPr>
          <w:rFonts w:ascii="Arial" w:hAnsi="Arial" w:cs="Arial"/>
        </w:rPr>
        <w:t xml:space="preserve"> for each genotype and gas composition are shown for normoxia. BI, Poincaré plots of BB</w:t>
      </w:r>
      <w:r w:rsidRPr="00FD03B0">
        <w:rPr>
          <w:rFonts w:ascii="Arial" w:hAnsi="Arial" w:cs="Arial"/>
          <w:vertAlign w:val="subscript"/>
        </w:rPr>
        <w:t>n</w:t>
      </w:r>
      <w:r w:rsidRPr="00FD03B0">
        <w:rPr>
          <w:rFonts w:ascii="Arial" w:hAnsi="Arial" w:cs="Arial"/>
        </w:rPr>
        <w:t xml:space="preserve"> versus BB</w:t>
      </w:r>
      <w:r w:rsidRPr="00FD03B0">
        <w:rPr>
          <w:rFonts w:ascii="Arial" w:hAnsi="Arial" w:cs="Arial"/>
          <w:vertAlign w:val="subscript"/>
        </w:rPr>
        <w:t>n+1</w:t>
      </w:r>
      <w:r w:rsidRPr="00FD03B0">
        <w:rPr>
          <w:rFonts w:ascii="Arial" w:hAnsi="Arial" w:cs="Arial"/>
        </w:rPr>
        <w:t xml:space="preserve"> for mild hypoxia (12%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). </w:t>
      </w:r>
      <w:r w:rsidRPr="00FD03B0">
        <w:rPr>
          <w:rFonts w:ascii="Arial" w:hAnsi="Arial" w:cs="Arial"/>
          <w:bCs/>
        </w:rPr>
        <w:t>E,</w:t>
      </w:r>
      <w:r w:rsidRPr="00FD03B0">
        <w:rPr>
          <w:rFonts w:ascii="Arial" w:hAnsi="Arial" w:cs="Arial"/>
        </w:rPr>
        <w:t xml:space="preserve"> Comparison for all genotypes tested of the mean±SEM for </w:t>
      </w:r>
      <w:r w:rsidRPr="00FD03B0">
        <w:rPr>
          <w:rFonts w:ascii="Arial" w:hAnsi="Arial" w:cs="Arial"/>
          <w:bCs/>
        </w:rPr>
        <w:t>(</w:t>
      </w:r>
      <w:r w:rsidRPr="00FD03B0">
        <w:rPr>
          <w:rFonts w:ascii="Arial" w:hAnsi="Arial" w:cs="Arial"/>
          <w:bCs/>
          <w:i/>
        </w:rPr>
        <w:t>I</w:t>
      </w:r>
      <w:r w:rsidRPr="00FD03B0">
        <w:rPr>
          <w:rFonts w:ascii="Arial" w:hAnsi="Arial" w:cs="Arial"/>
          <w:bCs/>
        </w:rPr>
        <w:t>)</w:t>
      </w:r>
      <w:r w:rsidRPr="00FD03B0">
        <w:rPr>
          <w:rFonts w:ascii="Arial" w:hAnsi="Arial" w:cs="Arial"/>
        </w:rPr>
        <w:t xml:space="preserve"> apnoeic index (per minute), </w:t>
      </w:r>
      <w:r w:rsidRPr="00FD03B0">
        <w:rPr>
          <w:rFonts w:ascii="Arial" w:hAnsi="Arial" w:cs="Arial"/>
          <w:bCs/>
        </w:rPr>
        <w:t>(</w:t>
      </w:r>
      <w:r w:rsidRPr="00FD03B0">
        <w:rPr>
          <w:rFonts w:ascii="Arial" w:hAnsi="Arial" w:cs="Arial"/>
          <w:bCs/>
          <w:i/>
        </w:rPr>
        <w:t>II</w:t>
      </w:r>
      <w:r w:rsidRPr="00FD03B0">
        <w:rPr>
          <w:rFonts w:ascii="Arial" w:hAnsi="Arial" w:cs="Arial"/>
          <w:bCs/>
        </w:rPr>
        <w:t>)</w:t>
      </w:r>
      <w:r w:rsidRPr="00FD03B0">
        <w:rPr>
          <w:rFonts w:ascii="Arial" w:hAnsi="Arial" w:cs="Arial"/>
          <w:b/>
          <w:bCs/>
          <w:i/>
          <w:iCs/>
        </w:rPr>
        <w:t xml:space="preserve"> </w:t>
      </w:r>
      <w:r w:rsidRPr="00FD03B0">
        <w:rPr>
          <w:rFonts w:ascii="Arial" w:hAnsi="Arial" w:cs="Arial"/>
        </w:rPr>
        <w:t xml:space="preserve">apnoea duration (s) and </w:t>
      </w:r>
      <w:r w:rsidRPr="00FD03B0">
        <w:rPr>
          <w:rFonts w:ascii="Arial" w:hAnsi="Arial" w:cs="Arial"/>
          <w:bCs/>
        </w:rPr>
        <w:t>(</w:t>
      </w:r>
      <w:r w:rsidRPr="00FD03B0">
        <w:rPr>
          <w:rFonts w:ascii="Arial" w:hAnsi="Arial" w:cs="Arial"/>
          <w:bCs/>
          <w:i/>
        </w:rPr>
        <w:t>III</w:t>
      </w:r>
      <w:r w:rsidRPr="00FD03B0">
        <w:rPr>
          <w:rFonts w:ascii="Arial" w:hAnsi="Arial" w:cs="Arial"/>
          <w:bCs/>
        </w:rPr>
        <w:t>)</w:t>
      </w:r>
      <w:r w:rsidRPr="00FD03B0">
        <w:rPr>
          <w:rFonts w:ascii="Arial" w:hAnsi="Arial" w:cs="Arial"/>
          <w:b/>
          <w:bCs/>
          <w:i/>
          <w:iCs/>
        </w:rPr>
        <w:t xml:space="preserve"> </w:t>
      </w:r>
      <w:r w:rsidRPr="00FD03B0">
        <w:rPr>
          <w:rFonts w:ascii="Arial" w:hAnsi="Arial" w:cs="Arial"/>
        </w:rPr>
        <w:t xml:space="preserve">apnoea-duration index (frequency x duration) </w:t>
      </w:r>
      <w:r w:rsidRPr="00FD03B0">
        <w:rPr>
          <w:rFonts w:ascii="Arial" w:hAnsi="Arial" w:cs="Arial"/>
          <w:lang w:val="en-GB"/>
        </w:rPr>
        <w:t>mild (12% O</w:t>
      </w:r>
      <w:r w:rsidRPr="00FD03B0">
        <w:rPr>
          <w:rFonts w:ascii="Arial" w:hAnsi="Arial" w:cs="Arial"/>
          <w:vertAlign w:val="subscript"/>
          <w:lang w:val="en-GB"/>
        </w:rPr>
        <w:t>2</w:t>
      </w:r>
      <w:r w:rsidRPr="00FD03B0">
        <w:rPr>
          <w:rFonts w:ascii="Arial" w:hAnsi="Arial" w:cs="Arial"/>
          <w:lang w:val="en-GB"/>
        </w:rPr>
        <w:t>) and severe (8% O</w:t>
      </w:r>
      <w:r w:rsidRPr="00FD03B0">
        <w:rPr>
          <w:rFonts w:ascii="Arial" w:hAnsi="Arial" w:cs="Arial"/>
          <w:vertAlign w:val="subscript"/>
          <w:lang w:val="en-GB"/>
        </w:rPr>
        <w:t>2</w:t>
      </w:r>
      <w:r w:rsidRPr="00FD03B0">
        <w:rPr>
          <w:rFonts w:ascii="Arial" w:hAnsi="Arial" w:cs="Arial"/>
          <w:lang w:val="en-GB"/>
        </w:rPr>
        <w:t>) hypoxia</w:t>
      </w:r>
      <w:r w:rsidRPr="00FD03B0">
        <w:rPr>
          <w:rFonts w:ascii="Arial" w:hAnsi="Arial" w:cs="Arial"/>
        </w:rPr>
        <w:t>.</w:t>
      </w:r>
    </w:p>
    <w:p w14:paraId="7AF70B4F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7279C317" w14:textId="77777777" w:rsidR="005E7925" w:rsidRPr="00FD03B0" w:rsidRDefault="005E7925" w:rsidP="005E7925">
      <w:r w:rsidRPr="00FD03B0">
        <w:rPr>
          <w:noProof/>
        </w:rPr>
        <w:lastRenderedPageBreak/>
        <w:drawing>
          <wp:inline distT="0" distB="0" distL="0" distR="0" wp14:anchorId="59AC525F" wp14:editId="42E0ED04">
            <wp:extent cx="5727700" cy="13347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510D" w14:textId="77777777" w:rsidR="005E7925" w:rsidRPr="00FD03B0" w:rsidRDefault="005E7925" w:rsidP="005E7925"/>
    <w:p w14:paraId="25B837C4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>Supplementary Figure 14  - Respiratory dysfunction and apnoea are less severe for mice that are ~90% hypomorphic for</w:t>
      </w:r>
      <w:r w:rsidRPr="00FD03B0">
        <w:rPr>
          <w:rFonts w:ascii="Arial" w:hAnsi="Arial" w:cs="Arial"/>
          <w:b/>
          <w:bCs/>
          <w:iCs/>
        </w:rPr>
        <w:t xml:space="preserve"> LKB1 </w:t>
      </w:r>
      <w:r w:rsidRPr="00FD03B0">
        <w:rPr>
          <w:rFonts w:ascii="Arial" w:hAnsi="Arial" w:cs="Arial"/>
          <w:b/>
          <w:bCs/>
        </w:rPr>
        <w:t xml:space="preserve">than for conditional </w:t>
      </w:r>
      <w:r w:rsidRPr="00FD03B0">
        <w:rPr>
          <w:rFonts w:ascii="Arial" w:hAnsi="Arial" w:cs="Arial"/>
          <w:b/>
          <w:bCs/>
          <w:i/>
        </w:rPr>
        <w:t>Lkb1</w:t>
      </w:r>
      <w:r w:rsidRPr="00FD03B0">
        <w:rPr>
          <w:rFonts w:ascii="Arial" w:hAnsi="Arial" w:cs="Arial"/>
          <w:b/>
          <w:bCs/>
        </w:rPr>
        <w:t xml:space="preserve"> knockouts.  </w:t>
      </w:r>
      <w:r w:rsidRPr="00FD03B0">
        <w:rPr>
          <w:rFonts w:ascii="Arial" w:hAnsi="Arial" w:cs="Arial"/>
        </w:rPr>
        <w:t>Dot plots and mean±SEM for the standard deviation (SD) of BB</w:t>
      </w:r>
      <w:r w:rsidRPr="00FD03B0">
        <w:rPr>
          <w:rFonts w:ascii="Arial" w:hAnsi="Arial" w:cs="Arial"/>
          <w:vertAlign w:val="subscript"/>
        </w:rPr>
        <w:t>n</w:t>
      </w:r>
      <w:r w:rsidRPr="00FD03B0">
        <w:rPr>
          <w:rFonts w:ascii="Arial" w:hAnsi="Arial" w:cs="Arial"/>
        </w:rPr>
        <w:t xml:space="preserve"> and BB</w:t>
      </w:r>
      <w:r w:rsidRPr="00FD03B0">
        <w:rPr>
          <w:rFonts w:ascii="Arial" w:hAnsi="Arial" w:cs="Arial"/>
          <w:vertAlign w:val="subscript"/>
        </w:rPr>
        <w:t>n+1</w:t>
      </w:r>
      <w:r w:rsidRPr="00FD03B0">
        <w:rPr>
          <w:rFonts w:ascii="Arial" w:hAnsi="Arial" w:cs="Arial"/>
        </w:rPr>
        <w:t xml:space="preserve"> TH-Cre (n = 31),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homozygous floxed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Fx; n = 16;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, n = 15) and 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  <w:iCs/>
        </w:rPr>
        <w:t xml:space="preserve"> homozygous</w:t>
      </w:r>
      <w:r w:rsidRPr="00FD03B0">
        <w:rPr>
          <w:rFonts w:ascii="Arial" w:hAnsi="Arial" w:cs="Arial"/>
          <w:i/>
          <w:iCs/>
        </w:rPr>
        <w:t xml:space="preserve"> </w:t>
      </w:r>
      <w:r w:rsidRPr="00FD03B0">
        <w:rPr>
          <w:rFonts w:ascii="Arial" w:hAnsi="Arial" w:cs="Arial"/>
        </w:rPr>
        <w:t>knockout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KO;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17;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, n = 29) mice during normoxia and exposures to 12%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and 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.  </w:t>
      </w:r>
    </w:p>
    <w:p w14:paraId="27401E17" w14:textId="77777777" w:rsidR="005E7925" w:rsidRPr="00FD03B0" w:rsidRDefault="005E7925" w:rsidP="005E7925">
      <w:pPr>
        <w:jc w:val="both"/>
        <w:rPr>
          <w:rFonts w:ascii="Arial" w:hAnsi="Arial" w:cs="Arial"/>
        </w:rPr>
      </w:pPr>
    </w:p>
    <w:p w14:paraId="61CF218F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</w:rPr>
        <w:br w:type="page"/>
      </w:r>
    </w:p>
    <w:p w14:paraId="6247568B" w14:textId="77777777" w:rsidR="005E7925" w:rsidRPr="00FD03B0" w:rsidRDefault="005E7925" w:rsidP="005E7925">
      <w:pPr>
        <w:rPr>
          <w:rFonts w:ascii="Arial" w:hAnsi="Arial" w:cs="Arial"/>
          <w:b/>
          <w:bCs/>
        </w:rPr>
      </w:pPr>
    </w:p>
    <w:p w14:paraId="65D00C67" w14:textId="77777777" w:rsidR="005E7925" w:rsidRPr="00FD03B0" w:rsidRDefault="005E7925" w:rsidP="005E7925">
      <w:pPr>
        <w:rPr>
          <w:rFonts w:ascii="Arial" w:hAnsi="Arial" w:cs="Arial"/>
          <w:b/>
          <w:bCs/>
        </w:rPr>
      </w:pPr>
      <w:r w:rsidRPr="00FD03B0">
        <w:rPr>
          <w:b/>
          <w:bCs/>
          <w:noProof/>
        </w:rPr>
        <w:drawing>
          <wp:inline distT="0" distB="0" distL="0" distR="0" wp14:anchorId="49F17883" wp14:editId="4FA90D0F">
            <wp:extent cx="5971540" cy="4692650"/>
            <wp:effectExtent l="0" t="0" r="0" b="6350"/>
            <wp:docPr id="20" name="Picture 20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imelin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B98F" w14:textId="77777777" w:rsidR="005E7925" w:rsidRPr="00FD03B0" w:rsidRDefault="005E7925" w:rsidP="005E7925">
      <w:pPr>
        <w:rPr>
          <w:rFonts w:ascii="Arial" w:hAnsi="Arial" w:cs="Arial"/>
          <w:b/>
          <w:bCs/>
        </w:rPr>
      </w:pPr>
    </w:p>
    <w:p w14:paraId="2773A39A" w14:textId="77777777" w:rsidR="005E7925" w:rsidRPr="00FD03B0" w:rsidRDefault="005E7925" w:rsidP="005E7925">
      <w:pPr>
        <w:rPr>
          <w:rFonts w:ascii="Arial" w:hAnsi="Arial" w:cs="Arial"/>
          <w:b/>
          <w:bCs/>
        </w:rPr>
      </w:pPr>
    </w:p>
    <w:p w14:paraId="1A582024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15 - Conditional deletion of </w:t>
      </w:r>
      <w:r w:rsidRPr="00FD03B0">
        <w:rPr>
          <w:rFonts w:ascii="Arial" w:hAnsi="Arial" w:cs="Arial"/>
          <w:b/>
          <w:i/>
          <w:iCs/>
        </w:rPr>
        <w:t xml:space="preserve">AMPKα1+α2 </w:t>
      </w:r>
      <w:r w:rsidRPr="00FD03B0">
        <w:rPr>
          <w:rFonts w:ascii="Arial" w:hAnsi="Arial" w:cs="Arial"/>
          <w:b/>
          <w:bCs/>
        </w:rPr>
        <w:t xml:space="preserve">in tyrosine hydroxylase expressing cells does not precipitate Cheyne-Stokes-like ventilation even during prolonged exposure to severe hypoxia. </w:t>
      </w:r>
    </w:p>
    <w:p w14:paraId="41D5CCB6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03B0">
        <w:rPr>
          <w:rFonts w:ascii="Arial" w:hAnsi="Arial" w:cs="Arial"/>
        </w:rPr>
        <w:t xml:space="preserve">Typical ventilatory record for conditional </w:t>
      </w:r>
      <w:r w:rsidRPr="00FD03B0">
        <w:rPr>
          <w:rFonts w:ascii="Arial" w:hAnsi="Arial" w:cs="Arial"/>
          <w:i/>
          <w:iCs/>
        </w:rPr>
        <w:t xml:space="preserve">AMPKα1+α2 </w:t>
      </w:r>
      <w:r w:rsidRPr="00FD03B0">
        <w:rPr>
          <w:rFonts w:ascii="Arial" w:hAnsi="Arial" w:cs="Arial"/>
        </w:rPr>
        <w:t>double knockout mice (</w:t>
      </w:r>
      <w:r w:rsidRPr="00FD03B0">
        <w:rPr>
          <w:rFonts w:ascii="Arial" w:hAnsi="Arial" w:cs="Arial"/>
          <w:bCs/>
          <w:i/>
        </w:rPr>
        <w:t xml:space="preserve">AMPKα1+α2 </w:t>
      </w:r>
      <w:r w:rsidRPr="00FD03B0">
        <w:rPr>
          <w:rFonts w:ascii="Arial" w:hAnsi="Arial" w:cs="Arial"/>
          <w:bCs/>
        </w:rPr>
        <w:t>hom</w:t>
      </w:r>
      <w:r w:rsidRPr="00FD03B0">
        <w:rPr>
          <w:rFonts w:ascii="Arial" w:hAnsi="Arial" w:cs="Arial"/>
          <w:bCs/>
          <w:i/>
        </w:rPr>
        <w:t xml:space="preserve"> </w:t>
      </w:r>
      <w:r w:rsidRPr="00FD03B0">
        <w:rPr>
          <w:rFonts w:ascii="Arial" w:hAnsi="Arial" w:cs="Arial"/>
        </w:rPr>
        <w:t>KO) during a 10 minute exposure to severe hypoxia (8%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).</w:t>
      </w:r>
    </w:p>
    <w:p w14:paraId="421B2E78" w14:textId="77777777" w:rsidR="005E7925" w:rsidRPr="00FD03B0" w:rsidRDefault="005E7925" w:rsidP="005E7925">
      <w:pPr>
        <w:jc w:val="both"/>
        <w:rPr>
          <w:rFonts w:ascii="Arial" w:hAnsi="Arial" w:cs="Arial"/>
          <w:iCs/>
        </w:rPr>
      </w:pPr>
    </w:p>
    <w:p w14:paraId="27D28EF5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53C30CEB" w14:textId="77777777" w:rsidR="005E7925" w:rsidRPr="00FD03B0" w:rsidRDefault="005E7925" w:rsidP="005E7925">
      <w:pPr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</w:rPr>
        <w:br w:type="page"/>
      </w:r>
    </w:p>
    <w:p w14:paraId="7CD36AE2" w14:textId="77777777" w:rsidR="005E7925" w:rsidRPr="00FD03B0" w:rsidRDefault="005E7925" w:rsidP="005E7925">
      <w:pPr>
        <w:rPr>
          <w:rFonts w:ascii="Arial" w:hAnsi="Arial" w:cs="Arial"/>
        </w:rPr>
      </w:pPr>
    </w:p>
    <w:p w14:paraId="55B8664C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noProof/>
        </w:rPr>
        <w:drawing>
          <wp:inline distT="0" distB="0" distL="0" distR="0" wp14:anchorId="2366DFA1" wp14:editId="3C9DDB89">
            <wp:extent cx="5971540" cy="4352290"/>
            <wp:effectExtent l="0" t="0" r="0" b="381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957BD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b/>
          <w:bCs/>
        </w:rPr>
        <w:t>Supplementary Figure 16 -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b/>
          <w:bCs/>
          <w:i/>
          <w:iCs/>
        </w:rPr>
        <w:t xml:space="preserve">Lkb1 </w:t>
      </w:r>
      <w:r w:rsidRPr="00FD03B0">
        <w:rPr>
          <w:rFonts w:ascii="Arial" w:hAnsi="Arial" w:cs="Arial"/>
          <w:b/>
          <w:bCs/>
        </w:rPr>
        <w:t>deletion attenuates the hypoxic ventilatory response in a manner that is pO</w:t>
      </w:r>
      <w:r w:rsidRPr="00FD03B0">
        <w:rPr>
          <w:rFonts w:ascii="Arial" w:hAnsi="Arial" w:cs="Arial"/>
          <w:b/>
          <w:bCs/>
          <w:vertAlign w:val="subscript"/>
        </w:rPr>
        <w:t>2</w:t>
      </w:r>
      <w:r w:rsidRPr="00FD03B0">
        <w:rPr>
          <w:rFonts w:ascii="Arial" w:hAnsi="Arial" w:cs="Arial"/>
          <w:b/>
          <w:bCs/>
        </w:rPr>
        <w:t>-dependent but does not block the hypoxic</w:t>
      </w:r>
      <w:r w:rsidRPr="00FD03B0">
        <w:rPr>
          <w:rFonts w:ascii="Arial" w:hAnsi="Arial" w:cs="Arial"/>
          <w:b/>
          <w:bCs/>
        </w:rPr>
        <w:noBreakHyphen/>
        <w:t xml:space="preserve">hypercapnic ventilatory responses or hypercapnic ventilatory responses. </w:t>
      </w:r>
      <w:r w:rsidRPr="00FD03B0">
        <w:rPr>
          <w:rFonts w:ascii="Arial" w:hAnsi="Arial" w:cs="Arial"/>
          <w:color w:val="000000" w:themeColor="text1"/>
        </w:rPr>
        <w:t>Exemplar records show the responses over a 5min period of exposures to (A) severe hypoxia (8% O</w:t>
      </w:r>
      <w:r w:rsidRPr="00FD03B0">
        <w:rPr>
          <w:rFonts w:ascii="Arial" w:hAnsi="Arial" w:cs="Arial"/>
          <w:color w:val="000000" w:themeColor="text1"/>
          <w:vertAlign w:val="subscript"/>
        </w:rPr>
        <w:t>2</w:t>
      </w:r>
      <w:r w:rsidRPr="00FD03B0">
        <w:rPr>
          <w:rFonts w:ascii="Arial" w:hAnsi="Arial" w:cs="Arial"/>
          <w:color w:val="000000" w:themeColor="text1"/>
        </w:rPr>
        <w:t xml:space="preserve">), (B) hypoxic hypercapnia </w:t>
      </w:r>
      <w:r w:rsidRPr="00FD03B0">
        <w:rPr>
          <w:rFonts w:ascii="Arial" w:hAnsi="Arial" w:cs="Arial"/>
          <w:color w:val="000000" w:themeColor="text1"/>
          <w:lang w:val="en-GB"/>
        </w:rPr>
        <w:t>(</w:t>
      </w:r>
      <w:r w:rsidRPr="00FD03B0">
        <w:rPr>
          <w:rFonts w:ascii="Arial" w:hAnsi="Arial" w:cs="Arial"/>
          <w:color w:val="000000" w:themeColor="text1"/>
        </w:rPr>
        <w:t>8% O</w:t>
      </w:r>
      <w:r w:rsidRPr="00FD03B0">
        <w:rPr>
          <w:rFonts w:ascii="Arial" w:hAnsi="Arial" w:cs="Arial"/>
          <w:color w:val="000000" w:themeColor="text1"/>
          <w:vertAlign w:val="subscript"/>
        </w:rPr>
        <w:t xml:space="preserve">2 </w:t>
      </w:r>
      <w:r w:rsidRPr="00FD03B0">
        <w:rPr>
          <w:rFonts w:ascii="Arial" w:hAnsi="Arial" w:cs="Arial"/>
          <w:color w:val="000000" w:themeColor="text1"/>
        </w:rPr>
        <w:t>+ 5% CO</w:t>
      </w:r>
      <w:r w:rsidRPr="00FD03B0">
        <w:rPr>
          <w:rFonts w:ascii="Arial" w:hAnsi="Arial" w:cs="Arial"/>
          <w:color w:val="000000" w:themeColor="text1"/>
          <w:vertAlign w:val="subscript"/>
        </w:rPr>
        <w:t>2</w:t>
      </w:r>
      <w:r w:rsidRPr="00FD03B0">
        <w:rPr>
          <w:rFonts w:ascii="Arial" w:hAnsi="Arial" w:cs="Arial"/>
          <w:color w:val="000000" w:themeColor="text1"/>
          <w:lang w:val="en-GB"/>
        </w:rPr>
        <w:t xml:space="preserve">) </w:t>
      </w:r>
      <w:r w:rsidRPr="00FD03B0">
        <w:rPr>
          <w:rFonts w:ascii="Arial" w:hAnsi="Arial" w:cs="Arial"/>
          <w:color w:val="000000" w:themeColor="text1"/>
        </w:rPr>
        <w:t>and (C) hypercapnia (5% CO</w:t>
      </w:r>
      <w:r w:rsidRPr="00FD03B0">
        <w:rPr>
          <w:rFonts w:ascii="Arial" w:hAnsi="Arial" w:cs="Arial"/>
          <w:color w:val="000000" w:themeColor="text1"/>
          <w:vertAlign w:val="subscript"/>
        </w:rPr>
        <w:t>2</w:t>
      </w:r>
      <w:r w:rsidRPr="00FD03B0">
        <w:rPr>
          <w:rFonts w:ascii="Arial" w:hAnsi="Arial" w:cs="Arial"/>
          <w:color w:val="000000" w:themeColor="text1"/>
        </w:rPr>
        <w:t>) on (I) breathing frequency (min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>), (II) tidal volume (ml g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>) and (III) minute ventilation (ml min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 xml:space="preserve"> g</w:t>
      </w:r>
      <w:r w:rsidRPr="00FD03B0">
        <w:rPr>
          <w:rFonts w:ascii="Arial" w:hAnsi="Arial" w:cs="Arial"/>
          <w:color w:val="000000" w:themeColor="text1"/>
          <w:vertAlign w:val="superscript"/>
        </w:rPr>
        <w:t>-1</w:t>
      </w:r>
      <w:r w:rsidRPr="00FD03B0">
        <w:rPr>
          <w:rFonts w:ascii="Arial" w:hAnsi="Arial" w:cs="Arial"/>
          <w:color w:val="000000" w:themeColor="text1"/>
        </w:rPr>
        <w:t xml:space="preserve">) in TH-Cre (black) and </w:t>
      </w:r>
      <w:r w:rsidRPr="00FD03B0">
        <w:rPr>
          <w:rFonts w:ascii="Arial" w:hAnsi="Arial" w:cs="Arial"/>
          <w:i/>
          <w:iCs/>
          <w:color w:val="000000" w:themeColor="text1"/>
        </w:rPr>
        <w:t>Lkb1</w:t>
      </w:r>
      <w:r w:rsidRPr="00FD03B0">
        <w:rPr>
          <w:rFonts w:ascii="Arial" w:hAnsi="Arial" w:cs="Arial"/>
          <w:color w:val="000000" w:themeColor="text1"/>
        </w:rPr>
        <w:t xml:space="preserve"> homozygous knockout mice (</w:t>
      </w:r>
      <w:r w:rsidRPr="00FD03B0">
        <w:rPr>
          <w:rFonts w:ascii="Arial" w:hAnsi="Arial" w:cs="Arial"/>
          <w:i/>
          <w:iCs/>
          <w:color w:val="000000" w:themeColor="text1"/>
        </w:rPr>
        <w:t>Lkb1</w:t>
      </w:r>
      <w:r w:rsidRPr="00FD03B0">
        <w:rPr>
          <w:rFonts w:ascii="Arial" w:hAnsi="Arial" w:cs="Arial"/>
          <w:color w:val="000000" w:themeColor="text1"/>
        </w:rPr>
        <w:t xml:space="preserve"> hom KO, red) with 2s sampling periods. Dashed black line indicating basal level, white line breaks indicate artefact of gas exchange.</w:t>
      </w:r>
    </w:p>
    <w:p w14:paraId="18E7B73E" w14:textId="77777777" w:rsidR="005E7925" w:rsidRPr="00FD03B0" w:rsidRDefault="005E7925" w:rsidP="005E7925">
      <w:pPr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color w:val="000000" w:themeColor="text1"/>
        </w:rPr>
        <w:br w:type="page"/>
      </w:r>
    </w:p>
    <w:p w14:paraId="0C6D873D" w14:textId="77777777" w:rsidR="005E7925" w:rsidRPr="00FD03B0" w:rsidRDefault="005E7925" w:rsidP="005E7925">
      <w:r w:rsidRPr="00FD03B0">
        <w:rPr>
          <w:noProof/>
        </w:rPr>
        <w:lastRenderedPageBreak/>
        <w:drawing>
          <wp:inline distT="0" distB="0" distL="0" distR="0" wp14:anchorId="0EFBEB84" wp14:editId="7186EB23">
            <wp:extent cx="5971540" cy="35153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EE19" w14:textId="77777777" w:rsidR="005E7925" w:rsidRPr="00FD03B0" w:rsidRDefault="005E7925" w:rsidP="005E7925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lang w:val="en-GB"/>
        </w:rPr>
      </w:pPr>
      <w:r w:rsidRPr="00FD03B0">
        <w:rPr>
          <w:rFonts w:ascii="Arial" w:hAnsi="Arial" w:cs="Arial"/>
          <w:b/>
          <w:bCs/>
        </w:rPr>
        <w:t xml:space="preserve">Supplementary Figure 17 - Conditional deletion of </w:t>
      </w:r>
      <w:r w:rsidRPr="00FD03B0">
        <w:rPr>
          <w:rFonts w:ascii="Arial" w:hAnsi="Arial" w:cs="Arial"/>
          <w:b/>
          <w:bCs/>
          <w:i/>
        </w:rPr>
        <w:t>Lkb1</w:t>
      </w:r>
      <w:r w:rsidRPr="00FD03B0">
        <w:rPr>
          <w:rFonts w:ascii="Arial" w:hAnsi="Arial" w:cs="Arial"/>
          <w:b/>
          <w:bCs/>
        </w:rPr>
        <w:t xml:space="preserve"> in tyrosine hydroxylase expressing cells markedly slows the hypercapnic ventilatory response.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iCs/>
        </w:rPr>
        <w:t>Dot plots and</w:t>
      </w:r>
      <w:r w:rsidRPr="00FD03B0">
        <w:rPr>
          <w:rFonts w:ascii="Arial" w:hAnsi="Arial" w:cs="Arial"/>
        </w:rPr>
        <w:t xml:space="preserve"> mean±SEM for increases in breathing frequency, tidal volume and minute ventilation at ~30s, 100s and 300s during exposures to (A) severe hypoxia (8%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), (A) hypoxic</w:t>
      </w:r>
      <w:r w:rsidRPr="00FD03B0">
        <w:rPr>
          <w:rFonts w:ascii="Arial" w:hAnsi="Arial" w:cs="Arial"/>
        </w:rPr>
        <w:noBreakHyphen/>
        <w:t>hypercapnia (8%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 + 5%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)  and (C) hypercapnia (5%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) for TH-Cre (</w:t>
      </w:r>
      <w:r w:rsidRPr="00FD03B0">
        <w:rPr>
          <w:rFonts w:ascii="Arial" w:eastAsiaTheme="minorEastAsia" w:hAnsi="Arial" w:cs="Arial"/>
          <w:lang w:val="en-GB"/>
        </w:rPr>
        <w:t>8% 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 xml:space="preserve"> + 5% CO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>, n = 17; 5% CO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>, n = 20</w:t>
      </w:r>
      <w:r w:rsidRPr="00FD03B0">
        <w:rPr>
          <w:rFonts w:ascii="Arial" w:hAnsi="Arial" w:cs="Arial"/>
        </w:rPr>
        <w:t xml:space="preserve">) and 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  <w:iCs/>
        </w:rPr>
        <w:t xml:space="preserve"> homozygous</w:t>
      </w:r>
      <w:r w:rsidRPr="00FD03B0">
        <w:rPr>
          <w:rFonts w:ascii="Arial" w:hAnsi="Arial" w:cs="Arial"/>
          <w:i/>
          <w:iCs/>
        </w:rPr>
        <w:t xml:space="preserve"> </w:t>
      </w:r>
      <w:r w:rsidRPr="00FD03B0">
        <w:rPr>
          <w:rFonts w:ascii="Arial" w:hAnsi="Arial" w:cs="Arial"/>
        </w:rPr>
        <w:t>knockout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KO; </w:t>
      </w:r>
      <w:r w:rsidRPr="00FD03B0">
        <w:rPr>
          <w:rFonts w:ascii="Arial" w:eastAsiaTheme="minorEastAsia" w:hAnsi="Arial" w:cs="Arial"/>
          <w:lang w:val="en-GB"/>
        </w:rPr>
        <w:t>8% 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 xml:space="preserve"> + 5% CO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>, n = 15; 5% CO</w:t>
      </w:r>
      <w:r w:rsidRPr="00FD03B0">
        <w:rPr>
          <w:rFonts w:ascii="Arial" w:eastAsiaTheme="minorEastAsia" w:hAnsi="Arial" w:cs="Arial"/>
          <w:vertAlign w:val="subscript"/>
          <w:lang w:val="en-GB"/>
        </w:rPr>
        <w:t>2</w:t>
      </w:r>
      <w:r w:rsidRPr="00FD03B0">
        <w:rPr>
          <w:rFonts w:ascii="Arial" w:eastAsiaTheme="minorEastAsia" w:hAnsi="Arial" w:cs="Arial"/>
          <w:lang w:val="en-GB"/>
        </w:rPr>
        <w:t>, n = 20</w:t>
      </w:r>
      <w:r w:rsidRPr="00FD03B0">
        <w:rPr>
          <w:rFonts w:ascii="Arial" w:hAnsi="Arial" w:cs="Arial"/>
        </w:rPr>
        <w:t xml:space="preserve">).  </w:t>
      </w:r>
    </w:p>
    <w:p w14:paraId="0960251A" w14:textId="77777777" w:rsidR="005E7925" w:rsidRPr="00FD03B0" w:rsidRDefault="005E7925" w:rsidP="005E7925">
      <w:pPr>
        <w:jc w:val="both"/>
        <w:rPr>
          <w:rFonts w:ascii="Arial" w:hAnsi="Arial" w:cs="Arial"/>
        </w:rPr>
      </w:pPr>
    </w:p>
    <w:p w14:paraId="487C1F20" w14:textId="77777777" w:rsidR="005E7925" w:rsidRPr="00FD03B0" w:rsidRDefault="005E7925" w:rsidP="005E7925">
      <w:pPr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FF782CB" wp14:editId="356180EF">
            <wp:extent cx="5971540" cy="467804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2EFCE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18 - Conditional deletion of </w:t>
      </w:r>
      <w:r w:rsidRPr="00FD03B0">
        <w:rPr>
          <w:rFonts w:ascii="Arial" w:hAnsi="Arial" w:cs="Arial"/>
          <w:b/>
          <w:bCs/>
          <w:i/>
        </w:rPr>
        <w:t>AMPK</w:t>
      </w:r>
      <w:r w:rsidRPr="00FD03B0">
        <w:rPr>
          <w:rFonts w:ascii="Arial" w:hAnsi="Arial" w:cs="Arial"/>
          <w:b/>
          <w:bCs/>
        </w:rPr>
        <w:t xml:space="preserve"> in tyrosine hydroxylase expressing cells and the hypercapnic ventilatory response.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iCs/>
        </w:rPr>
        <w:t>Dot plots and</w:t>
      </w:r>
      <w:r w:rsidRPr="00FD03B0">
        <w:rPr>
          <w:rFonts w:ascii="Arial" w:hAnsi="Arial" w:cs="Arial"/>
        </w:rPr>
        <w:t xml:space="preserve"> mean±SEM for increases in breathing frequency, tidal volume and minute ventilation at ~30s, 100s and 300s during exposures to hypercapnia (5%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) for TH-Cre (n = 17),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Arial" w:hAnsi="Arial" w:cs="Arial"/>
          <w:i/>
          <w:iCs/>
        </w:rPr>
        <w:t>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homozygous floxed (</w:t>
      </w:r>
      <w:r w:rsidRPr="00FD03B0">
        <w:rPr>
          <w:rFonts w:ascii="Arial" w:hAnsi="Arial" w:cs="Arial"/>
          <w:i/>
          <w:iCs/>
        </w:rPr>
        <w:t>AMPK-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Double Fx, n = 20) and AMPK</w:t>
      </w:r>
      <w:r w:rsidRPr="00FD03B0">
        <w:rPr>
          <w:rFonts w:ascii="Arial" w:hAnsi="Arial" w:cs="Arial"/>
          <w:i/>
          <w:iCs/>
        </w:rPr>
        <w:noBreakHyphen/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  <w:iCs/>
        </w:rPr>
        <w:t xml:space="preserve"> homozygous</w:t>
      </w:r>
      <w:r w:rsidRPr="00FD03B0">
        <w:rPr>
          <w:rFonts w:ascii="Arial" w:hAnsi="Arial" w:cs="Arial"/>
          <w:i/>
          <w:iCs/>
        </w:rPr>
        <w:t xml:space="preserve"> </w:t>
      </w:r>
      <w:r w:rsidRPr="00FD03B0">
        <w:rPr>
          <w:rFonts w:ascii="Arial" w:hAnsi="Arial" w:cs="Arial"/>
        </w:rPr>
        <w:t>knockout (AMPK</w:t>
      </w:r>
      <w:r w:rsidRPr="00FD03B0">
        <w:rPr>
          <w:rFonts w:ascii="Arial" w:hAnsi="Arial" w:cs="Arial"/>
          <w:i/>
          <w:iCs/>
        </w:rPr>
        <w:t>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Double KO, n = 23) mice.  </w:t>
      </w:r>
    </w:p>
    <w:p w14:paraId="3D76A23B" w14:textId="77777777" w:rsidR="005E7925" w:rsidRPr="00FD03B0" w:rsidRDefault="005E7925" w:rsidP="005E7925">
      <w:pPr>
        <w:rPr>
          <w:rFonts w:ascii="Arial" w:hAnsi="Arial" w:cs="Arial"/>
        </w:rPr>
      </w:pPr>
    </w:p>
    <w:p w14:paraId="0B3A7699" w14:textId="77777777" w:rsidR="005E7925" w:rsidRPr="00FD03B0" w:rsidRDefault="005E7925" w:rsidP="005E7925">
      <w:pPr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789C2CD5" wp14:editId="1A70E9AF">
            <wp:extent cx="4470400" cy="6096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71CB" w14:textId="77777777" w:rsidR="005E7925" w:rsidRPr="00FD03B0" w:rsidRDefault="005E7925" w:rsidP="005E7925">
      <w:pPr>
        <w:jc w:val="both"/>
        <w:rPr>
          <w:rFonts w:ascii="Arial" w:hAnsi="Arial" w:cs="Arial"/>
        </w:rPr>
      </w:pPr>
      <w:r w:rsidRPr="00FD03B0">
        <w:rPr>
          <w:rFonts w:ascii="Arial" w:hAnsi="Arial" w:cs="Arial"/>
          <w:b/>
          <w:bCs/>
        </w:rPr>
        <w:t xml:space="preserve">Supplementary Figure 19 - Conditional deletion of </w:t>
      </w:r>
      <w:r w:rsidRPr="00FD03B0">
        <w:rPr>
          <w:rFonts w:ascii="Arial" w:hAnsi="Arial" w:cs="Arial"/>
          <w:b/>
          <w:bCs/>
          <w:i/>
        </w:rPr>
        <w:t>AMPK</w:t>
      </w:r>
      <w:r w:rsidRPr="00FD03B0">
        <w:rPr>
          <w:rFonts w:ascii="Arial" w:hAnsi="Arial" w:cs="Arial"/>
          <w:b/>
          <w:bCs/>
        </w:rPr>
        <w:t xml:space="preserve"> in tyrosine hydroxylase expressing cells and the hypoxic</w:t>
      </w:r>
      <w:r w:rsidRPr="00FD03B0">
        <w:rPr>
          <w:rFonts w:ascii="Arial" w:hAnsi="Arial" w:cs="Arial"/>
          <w:b/>
          <w:bCs/>
        </w:rPr>
        <w:noBreakHyphen/>
        <w:t>hypercapnic ventilatory response.</w:t>
      </w:r>
      <w:r w:rsidRPr="00FD03B0">
        <w:rPr>
          <w:rFonts w:ascii="Arial" w:hAnsi="Arial" w:cs="Arial"/>
        </w:rPr>
        <w:t xml:space="preserve"> </w:t>
      </w:r>
      <w:r w:rsidRPr="00FD03B0">
        <w:rPr>
          <w:rFonts w:ascii="Arial" w:hAnsi="Arial" w:cs="Arial"/>
          <w:iCs/>
        </w:rPr>
        <w:t>Dot plots and</w:t>
      </w:r>
      <w:r w:rsidRPr="00FD03B0">
        <w:rPr>
          <w:rFonts w:ascii="Arial" w:hAnsi="Arial" w:cs="Arial"/>
        </w:rPr>
        <w:t xml:space="preserve"> mean±SEM for increases in breathing frequency, tidal volume and minute ventilation at ~30s, 100s and 300s during exposures to hypercapnia (8% 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>+ 5% CO</w:t>
      </w:r>
      <w:r w:rsidRPr="00FD03B0">
        <w:rPr>
          <w:rFonts w:ascii="Arial" w:hAnsi="Arial" w:cs="Arial"/>
          <w:vertAlign w:val="subscript"/>
        </w:rPr>
        <w:t>2</w:t>
      </w:r>
      <w:r w:rsidRPr="00FD03B0">
        <w:rPr>
          <w:rFonts w:ascii="Arial" w:hAnsi="Arial" w:cs="Arial"/>
        </w:rPr>
        <w:t xml:space="preserve">) for TH-Cre (n = 17), </w:t>
      </w:r>
      <w:r w:rsidRPr="00FD03B0">
        <w:rPr>
          <w:rFonts w:ascii="Arial" w:hAnsi="Arial" w:cs="Arial"/>
          <w:i/>
        </w:rPr>
        <w:t>AMPK</w:t>
      </w:r>
      <w:r w:rsidRPr="00FD03B0">
        <w:rPr>
          <w:rFonts w:ascii="Arial" w:hAnsi="Arial" w:cs="Arial"/>
          <w:i/>
          <w:iCs/>
        </w:rPr>
        <w:t>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homozygous floxed (</w:t>
      </w:r>
      <w:r w:rsidRPr="00FD03B0">
        <w:rPr>
          <w:rFonts w:ascii="Arial" w:hAnsi="Arial" w:cs="Arial"/>
          <w:i/>
          <w:iCs/>
        </w:rPr>
        <w:t>AMPK-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Double Fx, n = 20) and AMPK</w:t>
      </w:r>
      <w:r w:rsidRPr="00FD03B0">
        <w:rPr>
          <w:rFonts w:ascii="Arial" w:hAnsi="Arial" w:cs="Arial"/>
          <w:i/>
          <w:iCs/>
        </w:rPr>
        <w:noBreakHyphen/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hom</w:t>
      </w:r>
      <w:r w:rsidRPr="00FD03B0">
        <w:rPr>
          <w:rFonts w:ascii="Arial" w:hAnsi="Arial" w:cs="Arial"/>
          <w:iCs/>
        </w:rPr>
        <w:t xml:space="preserve"> homozygous</w:t>
      </w:r>
      <w:r w:rsidRPr="00FD03B0">
        <w:rPr>
          <w:rFonts w:ascii="Arial" w:hAnsi="Arial" w:cs="Arial"/>
          <w:i/>
          <w:iCs/>
        </w:rPr>
        <w:t xml:space="preserve"> </w:t>
      </w:r>
      <w:r w:rsidRPr="00FD03B0">
        <w:rPr>
          <w:rFonts w:ascii="Arial" w:hAnsi="Arial" w:cs="Arial"/>
        </w:rPr>
        <w:t>knockout (AMPK</w:t>
      </w:r>
      <w:r w:rsidRPr="00FD03B0">
        <w:rPr>
          <w:rFonts w:ascii="Arial" w:hAnsi="Arial" w:cs="Arial"/>
          <w:i/>
          <w:iCs/>
        </w:rPr>
        <w:t>-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1+</w:t>
      </w:r>
      <w:r w:rsidRPr="00FD03B0">
        <w:rPr>
          <w:rFonts w:ascii="Arial" w:hAnsi="Arial" w:cs="Arial"/>
          <w:i/>
          <w:iCs/>
        </w:rPr>
        <w:sym w:font="Symbol" w:char="F061"/>
      </w:r>
      <w:r w:rsidRPr="00FD03B0">
        <w:rPr>
          <w:rFonts w:ascii="Arial" w:hAnsi="Arial" w:cs="Arial"/>
          <w:i/>
          <w:iCs/>
        </w:rPr>
        <w:t>2</w:t>
      </w:r>
      <w:r w:rsidRPr="00FD03B0">
        <w:rPr>
          <w:rFonts w:ascii="Arial" w:hAnsi="Arial" w:cs="Arial"/>
        </w:rPr>
        <w:t xml:space="preserve"> Double KO, n = 22) mice.  </w:t>
      </w:r>
    </w:p>
    <w:p w14:paraId="42EE6B03" w14:textId="77777777" w:rsidR="005E7925" w:rsidRPr="00FD03B0" w:rsidRDefault="005E7925" w:rsidP="005E7925">
      <w:pPr>
        <w:rPr>
          <w:rFonts w:ascii="Arial" w:hAnsi="Arial" w:cs="Arial"/>
        </w:rPr>
      </w:pPr>
    </w:p>
    <w:p w14:paraId="4F8C2C01" w14:textId="77777777" w:rsidR="005E7925" w:rsidRPr="00FD03B0" w:rsidRDefault="005E7925" w:rsidP="005E7925">
      <w:r w:rsidRPr="00FD03B0">
        <w:rPr>
          <w:rFonts w:ascii="Arial" w:hAnsi="Arial" w:cs="Arial"/>
          <w:color w:val="000000" w:themeColor="text1"/>
        </w:rPr>
        <w:br w:type="page"/>
      </w:r>
    </w:p>
    <w:p w14:paraId="4F80FB01" w14:textId="77777777" w:rsidR="005E7925" w:rsidRPr="00FD03B0" w:rsidRDefault="005E7925" w:rsidP="005E7925">
      <w:pPr>
        <w:jc w:val="both"/>
        <w:rPr>
          <w:rFonts w:ascii="Arial" w:hAnsi="Arial" w:cs="Arial"/>
        </w:rPr>
      </w:pPr>
    </w:p>
    <w:p w14:paraId="222A2AA2" w14:textId="77777777" w:rsidR="005E7925" w:rsidRPr="00FD03B0" w:rsidRDefault="005E7925" w:rsidP="005E7925">
      <w:pPr>
        <w:rPr>
          <w:rFonts w:ascii="Arial" w:hAnsi="Arial" w:cs="Arial"/>
          <w:b/>
          <w:bCs/>
        </w:rPr>
      </w:pPr>
      <w:r w:rsidRPr="00FD03B0">
        <w:rPr>
          <w:rFonts w:ascii="Arial" w:hAnsi="Arial" w:cs="Arial"/>
          <w:b/>
          <w:bCs/>
          <w:noProof/>
        </w:rPr>
        <w:drawing>
          <wp:inline distT="0" distB="0" distL="0" distR="0" wp14:anchorId="78C18D40" wp14:editId="3454D6AC">
            <wp:extent cx="4463627" cy="2730673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83098" cy="27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5774" w14:textId="77777777" w:rsidR="005E7925" w:rsidRPr="00FD03B0" w:rsidRDefault="005E7925" w:rsidP="005E7925">
      <w:pPr>
        <w:jc w:val="center"/>
        <w:rPr>
          <w:rFonts w:ascii="Arial" w:hAnsi="Arial" w:cs="Arial"/>
          <w:b/>
          <w:bCs/>
        </w:rPr>
      </w:pPr>
    </w:p>
    <w:p w14:paraId="42D1C55F" w14:textId="77777777" w:rsidR="005E7925" w:rsidRPr="00FD03B0" w:rsidRDefault="005E7925" w:rsidP="005E7925">
      <w:pPr>
        <w:jc w:val="both"/>
        <w:rPr>
          <w:rFonts w:ascii="Arial" w:hAnsi="Arial" w:cs="Arial"/>
          <w:b/>
          <w:bCs/>
        </w:rPr>
      </w:pPr>
      <w:r w:rsidRPr="00FD03B0">
        <w:rPr>
          <w:rFonts w:ascii="Arial" w:hAnsi="Arial" w:cs="Arial"/>
          <w:b/>
          <w:bCs/>
        </w:rPr>
        <w:t xml:space="preserve">Supplementary Figure 20 - Rank order of block of carotid body afferent fibre discharge and hypoxic ventilatory responses for LKB1 hypomorphs, </w:t>
      </w:r>
      <w:r w:rsidRPr="00FD03B0">
        <w:rPr>
          <w:rFonts w:ascii="Arial" w:hAnsi="Arial" w:cs="Arial"/>
          <w:b/>
          <w:bCs/>
          <w:i/>
        </w:rPr>
        <w:t>Lkb1</w:t>
      </w:r>
      <w:r w:rsidRPr="00FD03B0">
        <w:rPr>
          <w:rFonts w:ascii="Arial" w:hAnsi="Arial" w:cs="Arial"/>
          <w:b/>
          <w:bCs/>
        </w:rPr>
        <w:t xml:space="preserve"> and </w:t>
      </w:r>
      <w:r w:rsidRPr="00FD03B0">
        <w:rPr>
          <w:rFonts w:ascii="Arial" w:hAnsi="Arial" w:cs="Arial"/>
          <w:b/>
          <w:bCs/>
          <w:i/>
        </w:rPr>
        <w:t>AMPK</w:t>
      </w:r>
      <w:r w:rsidRPr="00FD03B0">
        <w:rPr>
          <w:rFonts w:ascii="Arial" w:hAnsi="Arial" w:cs="Arial"/>
          <w:b/>
          <w:i/>
        </w:rPr>
        <w:sym w:font="Symbol" w:char="0061"/>
      </w:r>
      <w:r w:rsidRPr="00FD03B0">
        <w:rPr>
          <w:rFonts w:ascii="Arial" w:hAnsi="Arial" w:cs="Arial"/>
          <w:b/>
          <w:i/>
        </w:rPr>
        <w:t>1+</w:t>
      </w:r>
      <w:r w:rsidRPr="00FD03B0">
        <w:rPr>
          <w:rFonts w:ascii="Arial" w:hAnsi="Arial" w:cs="Arial"/>
          <w:b/>
        </w:rPr>
        <w:sym w:font="Symbol" w:char="0061"/>
      </w:r>
      <w:r w:rsidRPr="00FD03B0">
        <w:rPr>
          <w:rFonts w:ascii="Arial" w:hAnsi="Arial" w:cs="Arial"/>
          <w:b/>
        </w:rPr>
        <w:t>2</w:t>
      </w:r>
      <w:r w:rsidRPr="00FD03B0">
        <w:rPr>
          <w:rFonts w:ascii="Arial" w:hAnsi="Arial" w:cs="Arial"/>
          <w:i/>
        </w:rPr>
        <w:t xml:space="preserve"> </w:t>
      </w:r>
      <w:r w:rsidRPr="00FD03B0">
        <w:rPr>
          <w:rFonts w:ascii="Arial" w:hAnsi="Arial" w:cs="Arial"/>
          <w:b/>
          <w:bCs/>
        </w:rPr>
        <w:t>knockouts.</w:t>
      </w:r>
      <w:r w:rsidRPr="00FD03B0">
        <w:rPr>
          <w:rFonts w:ascii="Arial" w:hAnsi="Arial" w:cs="Arial"/>
          <w:bCs/>
        </w:rPr>
        <w:t xml:space="preserve">  </w:t>
      </w:r>
    </w:p>
    <w:p w14:paraId="048DAB40" w14:textId="77777777" w:rsidR="005E7925" w:rsidRPr="00FD03B0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</w:rPr>
        <w:t>A, Comparison of mean±SEM for the % change in minute ventilation at the peak of the Augmenting Phase (AP, ~30s), at ~100s following Roll Off (RO) and during the plateau of the Sustained Phase (SP, ~300s) during exposures to 8% O</w:t>
      </w:r>
      <w:r w:rsidRPr="00FD03B0">
        <w:rPr>
          <w:rFonts w:ascii="Arial" w:hAnsi="Arial" w:cs="Arial"/>
          <w:vertAlign w:val="subscript"/>
        </w:rPr>
        <w:t xml:space="preserve">2 </w:t>
      </w:r>
      <w:r w:rsidRPr="00FD03B0">
        <w:rPr>
          <w:rFonts w:ascii="Arial" w:hAnsi="Arial" w:cs="Arial"/>
        </w:rPr>
        <w:t xml:space="preserve">of </w:t>
      </w:r>
      <w:r w:rsidRPr="00FD03B0">
        <w:rPr>
          <w:rFonts w:ascii="Arial" w:hAnsi="Arial" w:cs="Arial"/>
          <w:i/>
          <w:iCs/>
        </w:rPr>
        <w:t xml:space="preserve">Lkb1 </w:t>
      </w:r>
      <w:r w:rsidRPr="00FD03B0">
        <w:rPr>
          <w:rFonts w:ascii="Arial" w:hAnsi="Arial" w:cs="Arial"/>
          <w:iCs/>
        </w:rPr>
        <w:t xml:space="preserve">homozygous floxed mice </w:t>
      </w:r>
      <w:r w:rsidRPr="00FD03B0">
        <w:rPr>
          <w:rFonts w:ascii="Arial" w:hAnsi="Arial" w:cs="Arial"/>
        </w:rPr>
        <w:t>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Fx, blue), conditional 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  <w:iCs/>
        </w:rPr>
        <w:t xml:space="preserve"> </w:t>
      </w:r>
      <w:r w:rsidRPr="00FD03B0">
        <w:rPr>
          <w:rFonts w:ascii="Arial" w:hAnsi="Arial" w:cs="Arial"/>
        </w:rPr>
        <w:t>knockouts (</w:t>
      </w:r>
      <w:r w:rsidRPr="00FD03B0">
        <w:rPr>
          <w:rFonts w:ascii="Arial" w:hAnsi="Arial" w:cs="Arial"/>
          <w:i/>
          <w:iCs/>
        </w:rPr>
        <w:t>Lkb1</w:t>
      </w:r>
      <w:r w:rsidRPr="00FD03B0">
        <w:rPr>
          <w:rFonts w:ascii="Arial" w:hAnsi="Arial" w:cs="Arial"/>
        </w:rPr>
        <w:t xml:space="preserve"> hom KO, red), and </w:t>
      </w:r>
      <w:r w:rsidRPr="00FD03B0">
        <w:rPr>
          <w:rFonts w:ascii="Arial" w:hAnsi="Arial" w:cs="Arial"/>
          <w:i/>
          <w:iCs/>
        </w:rPr>
        <w:t>AMPKα1</w:t>
      </w:r>
      <w:r w:rsidRPr="00FD03B0">
        <w:rPr>
          <w:rFonts w:ascii="Arial" w:hAnsi="Arial" w:cs="Arial"/>
          <w:iCs/>
        </w:rPr>
        <w:t>+</w:t>
      </w:r>
      <w:r w:rsidRPr="00FD03B0">
        <w:rPr>
          <w:rFonts w:ascii="Arial" w:hAnsi="Arial" w:cs="Arial"/>
          <w:i/>
          <w:iCs/>
        </w:rPr>
        <w:t xml:space="preserve">α2 </w:t>
      </w:r>
      <w:r w:rsidRPr="00FD03B0">
        <w:rPr>
          <w:rFonts w:ascii="Arial" w:hAnsi="Arial" w:cs="Arial"/>
        </w:rPr>
        <w:t>knockouts (</w:t>
      </w:r>
      <w:r w:rsidRPr="00FD03B0">
        <w:rPr>
          <w:rFonts w:ascii="Arial" w:hAnsi="Arial" w:cs="Arial"/>
          <w:i/>
          <w:iCs/>
        </w:rPr>
        <w:t>AMPKα1</w:t>
      </w:r>
      <w:r w:rsidRPr="00FD03B0">
        <w:rPr>
          <w:rFonts w:ascii="Arial" w:hAnsi="Arial" w:cs="Arial"/>
          <w:iCs/>
        </w:rPr>
        <w:t>+</w:t>
      </w:r>
      <w:r w:rsidRPr="00FD03B0">
        <w:rPr>
          <w:rFonts w:ascii="Arial" w:hAnsi="Arial" w:cs="Arial"/>
          <w:i/>
          <w:iCs/>
        </w:rPr>
        <w:t>α2</w:t>
      </w:r>
      <w:r w:rsidRPr="00FD03B0">
        <w:rPr>
          <w:rFonts w:ascii="Arial" w:hAnsi="Arial" w:cs="Arial"/>
        </w:rPr>
        <w:t xml:space="preserve"> hom KO, mauve). </w:t>
      </w:r>
      <w:r w:rsidRPr="00FD03B0">
        <w:rPr>
          <w:rFonts w:ascii="Arial" w:hAnsi="Arial" w:cs="Arial"/>
          <w:bCs/>
        </w:rPr>
        <w:t xml:space="preserve">B, </w:t>
      </w:r>
      <w:r w:rsidRPr="00FD03B0">
        <w:rPr>
          <w:rFonts w:ascii="Arial" w:hAnsi="Arial" w:cs="Arial"/>
        </w:rPr>
        <w:t xml:space="preserve">Comparison of mean±SEM for peak carotid body afferent fibre discharge for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homozygous floxed mice (blue, n = 7), </w:t>
      </w:r>
      <w:r w:rsidRPr="00FD03B0">
        <w:rPr>
          <w:rFonts w:ascii="Arial" w:hAnsi="Arial" w:cs="Arial"/>
          <w:i/>
        </w:rPr>
        <w:t>Lkb1</w:t>
      </w:r>
      <w:r w:rsidRPr="00FD03B0">
        <w:rPr>
          <w:rFonts w:ascii="Arial" w:hAnsi="Arial" w:cs="Arial"/>
        </w:rPr>
        <w:t xml:space="preserve"> homozygous knockouts</w:t>
      </w:r>
      <w:r w:rsidRPr="00FD03B0">
        <w:rPr>
          <w:rFonts w:ascii="Arial" w:hAnsi="Arial" w:cs="Arial"/>
          <w:i/>
        </w:rPr>
        <w:t xml:space="preserve"> </w:t>
      </w:r>
      <w:r w:rsidRPr="00FD03B0">
        <w:rPr>
          <w:rFonts w:ascii="Arial" w:hAnsi="Arial" w:cs="Arial"/>
        </w:rPr>
        <w:t xml:space="preserve">(red, n = 7), and conditional </w:t>
      </w:r>
      <w:r w:rsidRPr="00FD03B0">
        <w:rPr>
          <w:rFonts w:ascii="Arial" w:hAnsi="Arial" w:cs="Arial"/>
          <w:bCs/>
          <w:i/>
        </w:rPr>
        <w:t>AMPKα1</w:t>
      </w:r>
      <w:r w:rsidRPr="00FD03B0">
        <w:rPr>
          <w:rFonts w:ascii="Arial" w:hAnsi="Arial" w:cs="Arial"/>
          <w:bCs/>
        </w:rPr>
        <w:t>+α2 knockouts (mauve, n=5)</w:t>
      </w:r>
      <w:r w:rsidRPr="00FD03B0">
        <w:rPr>
          <w:rFonts w:ascii="Arial" w:hAnsi="Arial" w:cs="Arial"/>
        </w:rPr>
        <w:t>. *=p&lt;0.05, **=p&lt;0.01, ***p=&lt;0.001, ****=p&lt;0.0001.</w:t>
      </w:r>
    </w:p>
    <w:p w14:paraId="49EF72A4" w14:textId="77777777" w:rsidR="005E7925" w:rsidRPr="00FD03B0" w:rsidRDefault="005E7925" w:rsidP="005E7925">
      <w:pPr>
        <w:rPr>
          <w:rFonts w:ascii="Arial" w:hAnsi="Arial" w:cs="Arial"/>
        </w:rPr>
      </w:pPr>
      <w:r w:rsidRPr="00FD03B0">
        <w:rPr>
          <w:rFonts w:ascii="Arial" w:hAnsi="Arial" w:cs="Arial"/>
          <w:color w:val="000000" w:themeColor="text1"/>
        </w:rPr>
        <w:br w:type="page"/>
      </w:r>
    </w:p>
    <w:p w14:paraId="020DE6DB" w14:textId="77777777" w:rsidR="005E7925" w:rsidRPr="008231E9" w:rsidRDefault="005E7925" w:rsidP="005E79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D03B0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5BC593B" wp14:editId="15B7F09F">
            <wp:extent cx="5971540" cy="4192270"/>
            <wp:effectExtent l="0" t="0" r="0" b="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1AE6" w14:textId="77777777" w:rsidR="005E7925" w:rsidRDefault="005E7925" w:rsidP="005E7925"/>
    <w:p w14:paraId="373AE45E" w14:textId="77777777" w:rsidR="005E7925" w:rsidRPr="008231E9" w:rsidRDefault="005E7925" w:rsidP="005E7925">
      <w:pPr>
        <w:rPr>
          <w:rFonts w:ascii="Arial" w:hAnsi="Arial" w:cs="Arial"/>
          <w:color w:val="000000" w:themeColor="text1"/>
        </w:rPr>
      </w:pPr>
    </w:p>
    <w:p w14:paraId="61BA8794" w14:textId="77777777" w:rsidR="00AB408F" w:rsidRDefault="00AB408F"/>
    <w:sectPr w:rsidR="00AB408F" w:rsidSect="005E7925">
      <w:footerReference w:type="even" r:id="rId27"/>
      <w:footerReference w:type="default" r:id="rId28"/>
      <w:pgSz w:w="11901" w:h="16840"/>
      <w:pgMar w:top="1418" w:right="1418" w:bottom="1418" w:left="1418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7A7D" w14:textId="77777777" w:rsidR="00541167" w:rsidRDefault="00541167">
      <w:r>
        <w:separator/>
      </w:r>
    </w:p>
  </w:endnote>
  <w:endnote w:type="continuationSeparator" w:id="0">
    <w:p w14:paraId="12ED973B" w14:textId="77777777" w:rsidR="00541167" w:rsidRDefault="0054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C27A" w14:textId="77777777" w:rsidR="00D73124" w:rsidRDefault="005E7925" w:rsidP="00D52A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AF9D6F" w14:textId="77777777" w:rsidR="00D73124" w:rsidRDefault="005411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7634" w14:textId="77777777" w:rsidR="00D73124" w:rsidRDefault="005E7925" w:rsidP="00D52A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6B77A3D8" w14:textId="77777777" w:rsidR="00D73124" w:rsidRDefault="00541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B9B5" w14:textId="77777777" w:rsidR="00541167" w:rsidRDefault="00541167">
      <w:r>
        <w:separator/>
      </w:r>
    </w:p>
  </w:footnote>
  <w:footnote w:type="continuationSeparator" w:id="0">
    <w:p w14:paraId="758DD6B4" w14:textId="77777777" w:rsidR="00541167" w:rsidRDefault="0054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25"/>
    <w:rsid w:val="00013234"/>
    <w:rsid w:val="00013FEF"/>
    <w:rsid w:val="00021294"/>
    <w:rsid w:val="00024906"/>
    <w:rsid w:val="000249A4"/>
    <w:rsid w:val="00034520"/>
    <w:rsid w:val="00036F82"/>
    <w:rsid w:val="00042DCB"/>
    <w:rsid w:val="00044BBC"/>
    <w:rsid w:val="00053D8D"/>
    <w:rsid w:val="0005416D"/>
    <w:rsid w:val="00060E44"/>
    <w:rsid w:val="00064D56"/>
    <w:rsid w:val="00064EE3"/>
    <w:rsid w:val="00065ABF"/>
    <w:rsid w:val="000705A1"/>
    <w:rsid w:val="00077E58"/>
    <w:rsid w:val="00083076"/>
    <w:rsid w:val="00083421"/>
    <w:rsid w:val="00092DD5"/>
    <w:rsid w:val="00093CD5"/>
    <w:rsid w:val="00093E93"/>
    <w:rsid w:val="000A45C6"/>
    <w:rsid w:val="000B0150"/>
    <w:rsid w:val="000B112E"/>
    <w:rsid w:val="000B1364"/>
    <w:rsid w:val="000B3968"/>
    <w:rsid w:val="000C79B9"/>
    <w:rsid w:val="000D51FB"/>
    <w:rsid w:val="000E229B"/>
    <w:rsid w:val="000E3A82"/>
    <w:rsid w:val="000F081C"/>
    <w:rsid w:val="000F2CD9"/>
    <w:rsid w:val="0010257E"/>
    <w:rsid w:val="00110910"/>
    <w:rsid w:val="0011429A"/>
    <w:rsid w:val="00115BC7"/>
    <w:rsid w:val="0011699A"/>
    <w:rsid w:val="00117885"/>
    <w:rsid w:val="00120E85"/>
    <w:rsid w:val="00134F2A"/>
    <w:rsid w:val="00154750"/>
    <w:rsid w:val="00154931"/>
    <w:rsid w:val="0015575A"/>
    <w:rsid w:val="00156FD9"/>
    <w:rsid w:val="001716D3"/>
    <w:rsid w:val="00183A4C"/>
    <w:rsid w:val="00191F74"/>
    <w:rsid w:val="00192455"/>
    <w:rsid w:val="00193D5C"/>
    <w:rsid w:val="0019654B"/>
    <w:rsid w:val="001B0349"/>
    <w:rsid w:val="001B7EBD"/>
    <w:rsid w:val="001C3578"/>
    <w:rsid w:val="001C50E0"/>
    <w:rsid w:val="001D1441"/>
    <w:rsid w:val="001E3F76"/>
    <w:rsid w:val="001F0591"/>
    <w:rsid w:val="001F79D3"/>
    <w:rsid w:val="00200054"/>
    <w:rsid w:val="00203F28"/>
    <w:rsid w:val="00204FDE"/>
    <w:rsid w:val="00210FD5"/>
    <w:rsid w:val="00217179"/>
    <w:rsid w:val="00217C3F"/>
    <w:rsid w:val="0022123D"/>
    <w:rsid w:val="0022286C"/>
    <w:rsid w:val="00230EED"/>
    <w:rsid w:val="002408FB"/>
    <w:rsid w:val="00252651"/>
    <w:rsid w:val="00255440"/>
    <w:rsid w:val="00260F87"/>
    <w:rsid w:val="00263705"/>
    <w:rsid w:val="00264F23"/>
    <w:rsid w:val="00265CF6"/>
    <w:rsid w:val="0027789C"/>
    <w:rsid w:val="00291968"/>
    <w:rsid w:val="002948C3"/>
    <w:rsid w:val="00295416"/>
    <w:rsid w:val="002A0866"/>
    <w:rsid w:val="002A111F"/>
    <w:rsid w:val="002A4C76"/>
    <w:rsid w:val="002A755F"/>
    <w:rsid w:val="002B0408"/>
    <w:rsid w:val="002B3858"/>
    <w:rsid w:val="002B3F4B"/>
    <w:rsid w:val="002B7782"/>
    <w:rsid w:val="002C3F3D"/>
    <w:rsid w:val="002C644F"/>
    <w:rsid w:val="002E183C"/>
    <w:rsid w:val="002E4426"/>
    <w:rsid w:val="00302AAD"/>
    <w:rsid w:val="00302D7C"/>
    <w:rsid w:val="00305EF1"/>
    <w:rsid w:val="00316C16"/>
    <w:rsid w:val="00316C99"/>
    <w:rsid w:val="00320004"/>
    <w:rsid w:val="003229FA"/>
    <w:rsid w:val="003238B8"/>
    <w:rsid w:val="00332EB1"/>
    <w:rsid w:val="00335ED1"/>
    <w:rsid w:val="0035460F"/>
    <w:rsid w:val="0036212D"/>
    <w:rsid w:val="00365E54"/>
    <w:rsid w:val="00375E05"/>
    <w:rsid w:val="003817E2"/>
    <w:rsid w:val="00382E38"/>
    <w:rsid w:val="00386968"/>
    <w:rsid w:val="00395294"/>
    <w:rsid w:val="00395878"/>
    <w:rsid w:val="003B0095"/>
    <w:rsid w:val="003B1B5B"/>
    <w:rsid w:val="003B3E1F"/>
    <w:rsid w:val="003B54D3"/>
    <w:rsid w:val="003C1410"/>
    <w:rsid w:val="003C3C02"/>
    <w:rsid w:val="003D2854"/>
    <w:rsid w:val="003D35B2"/>
    <w:rsid w:val="003D6E03"/>
    <w:rsid w:val="003E021E"/>
    <w:rsid w:val="003E3C6D"/>
    <w:rsid w:val="003F0BE1"/>
    <w:rsid w:val="003F6D34"/>
    <w:rsid w:val="003F74A5"/>
    <w:rsid w:val="0040289C"/>
    <w:rsid w:val="00412900"/>
    <w:rsid w:val="00415E13"/>
    <w:rsid w:val="00415E1F"/>
    <w:rsid w:val="00416123"/>
    <w:rsid w:val="0042033E"/>
    <w:rsid w:val="00421603"/>
    <w:rsid w:val="00426B55"/>
    <w:rsid w:val="00435B12"/>
    <w:rsid w:val="00441B4F"/>
    <w:rsid w:val="00443F73"/>
    <w:rsid w:val="00450840"/>
    <w:rsid w:val="00462071"/>
    <w:rsid w:val="00463BE5"/>
    <w:rsid w:val="004650F3"/>
    <w:rsid w:val="00467E38"/>
    <w:rsid w:val="0047071D"/>
    <w:rsid w:val="00485472"/>
    <w:rsid w:val="004861DB"/>
    <w:rsid w:val="00491E11"/>
    <w:rsid w:val="00493AEF"/>
    <w:rsid w:val="00494285"/>
    <w:rsid w:val="004A19E7"/>
    <w:rsid w:val="004B049C"/>
    <w:rsid w:val="004B0A8F"/>
    <w:rsid w:val="004B2AF0"/>
    <w:rsid w:val="004D5014"/>
    <w:rsid w:val="004D74C9"/>
    <w:rsid w:val="004E1B35"/>
    <w:rsid w:val="004E57CE"/>
    <w:rsid w:val="004F5720"/>
    <w:rsid w:val="0050119F"/>
    <w:rsid w:val="00505941"/>
    <w:rsid w:val="00510E46"/>
    <w:rsid w:val="00511955"/>
    <w:rsid w:val="00512F39"/>
    <w:rsid w:val="00516F2A"/>
    <w:rsid w:val="00524199"/>
    <w:rsid w:val="005310C6"/>
    <w:rsid w:val="0054031E"/>
    <w:rsid w:val="00541167"/>
    <w:rsid w:val="00542B82"/>
    <w:rsid w:val="00543515"/>
    <w:rsid w:val="005527B8"/>
    <w:rsid w:val="00553852"/>
    <w:rsid w:val="005545FF"/>
    <w:rsid w:val="005560F4"/>
    <w:rsid w:val="0055693D"/>
    <w:rsid w:val="00556FAD"/>
    <w:rsid w:val="0056782B"/>
    <w:rsid w:val="00567CCA"/>
    <w:rsid w:val="00570A6A"/>
    <w:rsid w:val="00577158"/>
    <w:rsid w:val="00586BF7"/>
    <w:rsid w:val="00594249"/>
    <w:rsid w:val="005A1510"/>
    <w:rsid w:val="005A68BF"/>
    <w:rsid w:val="005B0AA1"/>
    <w:rsid w:val="005B121A"/>
    <w:rsid w:val="005B421E"/>
    <w:rsid w:val="005B62D3"/>
    <w:rsid w:val="005B65FF"/>
    <w:rsid w:val="005C17A9"/>
    <w:rsid w:val="005C3362"/>
    <w:rsid w:val="005D1FFA"/>
    <w:rsid w:val="005E1BB5"/>
    <w:rsid w:val="005E5E0B"/>
    <w:rsid w:val="005E7925"/>
    <w:rsid w:val="005F22EA"/>
    <w:rsid w:val="005F6E8D"/>
    <w:rsid w:val="0060102E"/>
    <w:rsid w:val="00603223"/>
    <w:rsid w:val="00607CE0"/>
    <w:rsid w:val="0061570D"/>
    <w:rsid w:val="00622145"/>
    <w:rsid w:val="006252B1"/>
    <w:rsid w:val="00633B16"/>
    <w:rsid w:val="00645CCC"/>
    <w:rsid w:val="006462E7"/>
    <w:rsid w:val="00647A16"/>
    <w:rsid w:val="0065769C"/>
    <w:rsid w:val="0066039B"/>
    <w:rsid w:val="0066371A"/>
    <w:rsid w:val="006779EB"/>
    <w:rsid w:val="00694180"/>
    <w:rsid w:val="006A1293"/>
    <w:rsid w:val="006A2BCD"/>
    <w:rsid w:val="006B1D99"/>
    <w:rsid w:val="006B223C"/>
    <w:rsid w:val="006B4DA1"/>
    <w:rsid w:val="006C3D15"/>
    <w:rsid w:val="006C4521"/>
    <w:rsid w:val="006C712E"/>
    <w:rsid w:val="006D0837"/>
    <w:rsid w:val="006D1462"/>
    <w:rsid w:val="006D54F3"/>
    <w:rsid w:val="006D7659"/>
    <w:rsid w:val="006E0E58"/>
    <w:rsid w:val="006E758B"/>
    <w:rsid w:val="006F2C59"/>
    <w:rsid w:val="006F4E6E"/>
    <w:rsid w:val="006F747D"/>
    <w:rsid w:val="0070284D"/>
    <w:rsid w:val="00705F09"/>
    <w:rsid w:val="007108FA"/>
    <w:rsid w:val="00710AE9"/>
    <w:rsid w:val="00711257"/>
    <w:rsid w:val="00716942"/>
    <w:rsid w:val="007178B7"/>
    <w:rsid w:val="007230DA"/>
    <w:rsid w:val="00731587"/>
    <w:rsid w:val="0073168D"/>
    <w:rsid w:val="007333F2"/>
    <w:rsid w:val="007340EF"/>
    <w:rsid w:val="00737235"/>
    <w:rsid w:val="00746968"/>
    <w:rsid w:val="00754211"/>
    <w:rsid w:val="00757EB6"/>
    <w:rsid w:val="00761E7A"/>
    <w:rsid w:val="00767576"/>
    <w:rsid w:val="007725C5"/>
    <w:rsid w:val="00775076"/>
    <w:rsid w:val="00776A90"/>
    <w:rsid w:val="00777A8D"/>
    <w:rsid w:val="00781560"/>
    <w:rsid w:val="007867B8"/>
    <w:rsid w:val="00786A29"/>
    <w:rsid w:val="00791A8B"/>
    <w:rsid w:val="00797138"/>
    <w:rsid w:val="007A170B"/>
    <w:rsid w:val="007A2866"/>
    <w:rsid w:val="007A3542"/>
    <w:rsid w:val="007A7411"/>
    <w:rsid w:val="007B0CB4"/>
    <w:rsid w:val="007B1B0E"/>
    <w:rsid w:val="007B4321"/>
    <w:rsid w:val="007B772E"/>
    <w:rsid w:val="007C50FA"/>
    <w:rsid w:val="007D3B35"/>
    <w:rsid w:val="007E290C"/>
    <w:rsid w:val="007E2C97"/>
    <w:rsid w:val="007F0545"/>
    <w:rsid w:val="007F49BF"/>
    <w:rsid w:val="00806FFC"/>
    <w:rsid w:val="00807EB3"/>
    <w:rsid w:val="00817ABB"/>
    <w:rsid w:val="00833920"/>
    <w:rsid w:val="008374BE"/>
    <w:rsid w:val="008531E5"/>
    <w:rsid w:val="00854A18"/>
    <w:rsid w:val="008557E7"/>
    <w:rsid w:val="00872C17"/>
    <w:rsid w:val="008766C9"/>
    <w:rsid w:val="00877A32"/>
    <w:rsid w:val="00880CFA"/>
    <w:rsid w:val="00890CDD"/>
    <w:rsid w:val="00893283"/>
    <w:rsid w:val="008978EE"/>
    <w:rsid w:val="008A52EC"/>
    <w:rsid w:val="008B14EA"/>
    <w:rsid w:val="008B326F"/>
    <w:rsid w:val="008C52C1"/>
    <w:rsid w:val="008C6B99"/>
    <w:rsid w:val="008E0DFF"/>
    <w:rsid w:val="008E53A7"/>
    <w:rsid w:val="008E7B02"/>
    <w:rsid w:val="008F0FAE"/>
    <w:rsid w:val="008F21F3"/>
    <w:rsid w:val="00907762"/>
    <w:rsid w:val="00911F54"/>
    <w:rsid w:val="009213FA"/>
    <w:rsid w:val="00922F8A"/>
    <w:rsid w:val="00923278"/>
    <w:rsid w:val="009334B6"/>
    <w:rsid w:val="00936803"/>
    <w:rsid w:val="00940A28"/>
    <w:rsid w:val="0096183C"/>
    <w:rsid w:val="00977540"/>
    <w:rsid w:val="0098175D"/>
    <w:rsid w:val="00991170"/>
    <w:rsid w:val="00991FE6"/>
    <w:rsid w:val="00995F0E"/>
    <w:rsid w:val="00996D0E"/>
    <w:rsid w:val="00997E4C"/>
    <w:rsid w:val="009A45A5"/>
    <w:rsid w:val="009A5CEC"/>
    <w:rsid w:val="009A67B2"/>
    <w:rsid w:val="009B4158"/>
    <w:rsid w:val="009B605C"/>
    <w:rsid w:val="009C47FC"/>
    <w:rsid w:val="009C7400"/>
    <w:rsid w:val="009E4EC7"/>
    <w:rsid w:val="009E5639"/>
    <w:rsid w:val="009F43CD"/>
    <w:rsid w:val="009F43E1"/>
    <w:rsid w:val="009F6835"/>
    <w:rsid w:val="009F7E7D"/>
    <w:rsid w:val="00A01729"/>
    <w:rsid w:val="00A01FA4"/>
    <w:rsid w:val="00A04076"/>
    <w:rsid w:val="00A05017"/>
    <w:rsid w:val="00A076DD"/>
    <w:rsid w:val="00A11BFC"/>
    <w:rsid w:val="00A13B09"/>
    <w:rsid w:val="00A25EE7"/>
    <w:rsid w:val="00A27D24"/>
    <w:rsid w:val="00A4427A"/>
    <w:rsid w:val="00A5781E"/>
    <w:rsid w:val="00A65F10"/>
    <w:rsid w:val="00A712A2"/>
    <w:rsid w:val="00A82199"/>
    <w:rsid w:val="00A82660"/>
    <w:rsid w:val="00A87FFC"/>
    <w:rsid w:val="00AA30E3"/>
    <w:rsid w:val="00AB408F"/>
    <w:rsid w:val="00AB451E"/>
    <w:rsid w:val="00AB482B"/>
    <w:rsid w:val="00AC0FF0"/>
    <w:rsid w:val="00AC10AB"/>
    <w:rsid w:val="00AC3F60"/>
    <w:rsid w:val="00AC7485"/>
    <w:rsid w:val="00AE01B3"/>
    <w:rsid w:val="00AE286D"/>
    <w:rsid w:val="00AE6454"/>
    <w:rsid w:val="00AF06FF"/>
    <w:rsid w:val="00AF244B"/>
    <w:rsid w:val="00B00A3A"/>
    <w:rsid w:val="00B0126B"/>
    <w:rsid w:val="00B03573"/>
    <w:rsid w:val="00B064DB"/>
    <w:rsid w:val="00B1065E"/>
    <w:rsid w:val="00B13937"/>
    <w:rsid w:val="00B209A2"/>
    <w:rsid w:val="00B23006"/>
    <w:rsid w:val="00B24067"/>
    <w:rsid w:val="00B2524D"/>
    <w:rsid w:val="00B30133"/>
    <w:rsid w:val="00B35E03"/>
    <w:rsid w:val="00B4196C"/>
    <w:rsid w:val="00B44FAF"/>
    <w:rsid w:val="00B53C7F"/>
    <w:rsid w:val="00B54D3A"/>
    <w:rsid w:val="00B55609"/>
    <w:rsid w:val="00B6083A"/>
    <w:rsid w:val="00B667F2"/>
    <w:rsid w:val="00B67072"/>
    <w:rsid w:val="00B6719C"/>
    <w:rsid w:val="00B67940"/>
    <w:rsid w:val="00B71E82"/>
    <w:rsid w:val="00B72B72"/>
    <w:rsid w:val="00B7387C"/>
    <w:rsid w:val="00B80DAC"/>
    <w:rsid w:val="00B80F13"/>
    <w:rsid w:val="00B85EE9"/>
    <w:rsid w:val="00B86BD1"/>
    <w:rsid w:val="00BA3A54"/>
    <w:rsid w:val="00BA50BD"/>
    <w:rsid w:val="00BA7AFD"/>
    <w:rsid w:val="00BB7C6A"/>
    <w:rsid w:val="00BD131D"/>
    <w:rsid w:val="00BD2D46"/>
    <w:rsid w:val="00BE382A"/>
    <w:rsid w:val="00BE5905"/>
    <w:rsid w:val="00BE76BD"/>
    <w:rsid w:val="00BF3B58"/>
    <w:rsid w:val="00BF470D"/>
    <w:rsid w:val="00C013D0"/>
    <w:rsid w:val="00C059C9"/>
    <w:rsid w:val="00C05AE0"/>
    <w:rsid w:val="00C06AB6"/>
    <w:rsid w:val="00C11B87"/>
    <w:rsid w:val="00C25A96"/>
    <w:rsid w:val="00C40785"/>
    <w:rsid w:val="00C42241"/>
    <w:rsid w:val="00C426C0"/>
    <w:rsid w:val="00C455C8"/>
    <w:rsid w:val="00C63C2C"/>
    <w:rsid w:val="00C63DFE"/>
    <w:rsid w:val="00C64C0F"/>
    <w:rsid w:val="00C66D9C"/>
    <w:rsid w:val="00C70BEF"/>
    <w:rsid w:val="00C73470"/>
    <w:rsid w:val="00C935CF"/>
    <w:rsid w:val="00CA3758"/>
    <w:rsid w:val="00CA506F"/>
    <w:rsid w:val="00CB0E57"/>
    <w:rsid w:val="00CC0310"/>
    <w:rsid w:val="00CC098A"/>
    <w:rsid w:val="00CC14F5"/>
    <w:rsid w:val="00CC3F7D"/>
    <w:rsid w:val="00CC4F3A"/>
    <w:rsid w:val="00CC510E"/>
    <w:rsid w:val="00CE1D23"/>
    <w:rsid w:val="00CE1D71"/>
    <w:rsid w:val="00CE1FDE"/>
    <w:rsid w:val="00CE7F43"/>
    <w:rsid w:val="00CF0655"/>
    <w:rsid w:val="00CF272B"/>
    <w:rsid w:val="00D05916"/>
    <w:rsid w:val="00D11CBD"/>
    <w:rsid w:val="00D12C9D"/>
    <w:rsid w:val="00D12DC3"/>
    <w:rsid w:val="00D16F1F"/>
    <w:rsid w:val="00D24A81"/>
    <w:rsid w:val="00D355B0"/>
    <w:rsid w:val="00D70247"/>
    <w:rsid w:val="00D76251"/>
    <w:rsid w:val="00D77FFE"/>
    <w:rsid w:val="00D83292"/>
    <w:rsid w:val="00D90A9A"/>
    <w:rsid w:val="00D96D2E"/>
    <w:rsid w:val="00DA4171"/>
    <w:rsid w:val="00DA4CE0"/>
    <w:rsid w:val="00DB0A20"/>
    <w:rsid w:val="00DB3D55"/>
    <w:rsid w:val="00DB4312"/>
    <w:rsid w:val="00DC67A6"/>
    <w:rsid w:val="00DE3BF3"/>
    <w:rsid w:val="00DF4265"/>
    <w:rsid w:val="00DF5DDD"/>
    <w:rsid w:val="00E01960"/>
    <w:rsid w:val="00E04421"/>
    <w:rsid w:val="00E04CFC"/>
    <w:rsid w:val="00E12A52"/>
    <w:rsid w:val="00E1410E"/>
    <w:rsid w:val="00E47534"/>
    <w:rsid w:val="00E717F9"/>
    <w:rsid w:val="00E75B63"/>
    <w:rsid w:val="00E80667"/>
    <w:rsid w:val="00E81A64"/>
    <w:rsid w:val="00E820E4"/>
    <w:rsid w:val="00E91B41"/>
    <w:rsid w:val="00E950B7"/>
    <w:rsid w:val="00EA030A"/>
    <w:rsid w:val="00EA0639"/>
    <w:rsid w:val="00EA1189"/>
    <w:rsid w:val="00EA5720"/>
    <w:rsid w:val="00EB339E"/>
    <w:rsid w:val="00EC022A"/>
    <w:rsid w:val="00EC19DE"/>
    <w:rsid w:val="00EC2167"/>
    <w:rsid w:val="00EC33BD"/>
    <w:rsid w:val="00ED0849"/>
    <w:rsid w:val="00ED3D5C"/>
    <w:rsid w:val="00EE4BD5"/>
    <w:rsid w:val="00EF06CC"/>
    <w:rsid w:val="00F01CAA"/>
    <w:rsid w:val="00F13502"/>
    <w:rsid w:val="00F14D3F"/>
    <w:rsid w:val="00F14F8F"/>
    <w:rsid w:val="00F17C32"/>
    <w:rsid w:val="00F254CD"/>
    <w:rsid w:val="00F32C7F"/>
    <w:rsid w:val="00F32DD9"/>
    <w:rsid w:val="00F4272F"/>
    <w:rsid w:val="00F43135"/>
    <w:rsid w:val="00F60F58"/>
    <w:rsid w:val="00F61D22"/>
    <w:rsid w:val="00F620C4"/>
    <w:rsid w:val="00F6601B"/>
    <w:rsid w:val="00F67AAF"/>
    <w:rsid w:val="00F836FF"/>
    <w:rsid w:val="00F84624"/>
    <w:rsid w:val="00F94079"/>
    <w:rsid w:val="00F95265"/>
    <w:rsid w:val="00FA2DE6"/>
    <w:rsid w:val="00FB0EA8"/>
    <w:rsid w:val="00FB25B7"/>
    <w:rsid w:val="00FB65B8"/>
    <w:rsid w:val="00FC4E5D"/>
    <w:rsid w:val="00FD03B0"/>
    <w:rsid w:val="00FE005A"/>
    <w:rsid w:val="00FE3C6F"/>
    <w:rsid w:val="00FE5A98"/>
    <w:rsid w:val="00FF2371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1676C"/>
  <w15:chartTrackingRefBased/>
  <w15:docId w15:val="{7A508AA9-0259-1B49-BF82-78A312F9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925"/>
    <w:rPr>
      <w:rFonts w:ascii="Times New Roman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79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925"/>
    <w:rPr>
      <w:rFonts w:ascii="Times New Roman" w:eastAsia="Calibri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E7925"/>
  </w:style>
  <w:style w:type="character" w:styleId="LineNumber">
    <w:name w:val="line number"/>
    <w:basedOn w:val="DefaultParagraphFont"/>
    <w:uiPriority w:val="99"/>
    <w:semiHidden/>
    <w:unhideWhenUsed/>
    <w:rsid w:val="005E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ti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tif"/><Relationship Id="rId17" Type="http://schemas.openxmlformats.org/officeDocument/2006/relationships/image" Target="media/image12.emf"/><Relationship Id="rId25" Type="http://schemas.openxmlformats.org/officeDocument/2006/relationships/image" Target="media/image20.psd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t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oter" Target="footer2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1789</Words>
  <Characters>10077</Characters>
  <Application>Microsoft Office Word</Application>
  <DocSecurity>0</DocSecurity>
  <Lines>155</Lines>
  <Paragraphs>16</Paragraphs>
  <ScaleCrop>false</ScaleCrop>
  <Company>University of Edinburgh</Company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Mark</dc:creator>
  <cp:keywords/>
  <dc:description/>
  <cp:lastModifiedBy>EVANS Mark</cp:lastModifiedBy>
  <cp:revision>2</cp:revision>
  <dcterms:created xsi:type="dcterms:W3CDTF">2022-04-04T17:34:00Z</dcterms:created>
  <dcterms:modified xsi:type="dcterms:W3CDTF">2022-05-06T08:30:00Z</dcterms:modified>
</cp:coreProperties>
</file>