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FB8717" w14:textId="6CD20656" w:rsidR="0084527D" w:rsidRPr="002C2522" w:rsidRDefault="00B251A6" w:rsidP="00497401">
      <w:pPr>
        <w:jc w:val="both"/>
        <w:rPr>
          <w:rFonts w:ascii="Times New Roman" w:hAnsi="Times New Roman" w:cs="Times New Roman"/>
          <w:b/>
          <w:lang w:val="en-US"/>
        </w:rPr>
      </w:pPr>
      <w:r>
        <w:rPr>
          <w:rFonts w:ascii="Times New Roman" w:hAnsi="Times New Roman" w:cs="Times New Roman"/>
          <w:b/>
          <w:lang w:val="en-US"/>
        </w:rPr>
        <w:t>EXTENDED DATA</w:t>
      </w:r>
    </w:p>
    <w:p w14:paraId="6B2151FE" w14:textId="77777777" w:rsidR="000F0531" w:rsidRDefault="000F0531" w:rsidP="00497401">
      <w:pPr>
        <w:jc w:val="both"/>
        <w:rPr>
          <w:rFonts w:ascii="Times New Roman" w:hAnsi="Times New Roman" w:cs="Times New Roman"/>
          <w:sz w:val="20"/>
          <w:szCs w:val="20"/>
          <w:lang w:val="en-US"/>
        </w:rPr>
      </w:pPr>
    </w:p>
    <w:p w14:paraId="5967BA1D" w14:textId="79FD9B60" w:rsidR="00497401" w:rsidRDefault="001B4631" w:rsidP="00497401">
      <w:pPr>
        <w:jc w:val="both"/>
        <w:rPr>
          <w:rFonts w:ascii="Times New Roman" w:hAnsi="Times New Roman" w:cs="Times New Roman"/>
          <w:b/>
          <w:sz w:val="22"/>
          <w:szCs w:val="22"/>
          <w:lang w:val="en-US"/>
        </w:rPr>
      </w:pPr>
      <w:r>
        <w:rPr>
          <w:rFonts w:ascii="Times New Roman" w:hAnsi="Times New Roman" w:cs="Times New Roman"/>
          <w:b/>
          <w:sz w:val="22"/>
          <w:szCs w:val="22"/>
          <w:lang w:val="en-US"/>
        </w:rPr>
        <w:t>Extended Data Figure 1</w:t>
      </w:r>
      <w:r w:rsidR="00D67F40" w:rsidRPr="006705B7">
        <w:rPr>
          <w:rFonts w:ascii="Times New Roman" w:hAnsi="Times New Roman" w:cs="Times New Roman"/>
          <w:b/>
          <w:sz w:val="22"/>
          <w:szCs w:val="22"/>
          <w:lang w:val="en-US"/>
        </w:rPr>
        <w:t>.</w:t>
      </w:r>
    </w:p>
    <w:p w14:paraId="60639B01" w14:textId="77777777" w:rsidR="006705B7" w:rsidRPr="006705B7" w:rsidRDefault="006705B7" w:rsidP="00497401">
      <w:pPr>
        <w:jc w:val="both"/>
        <w:rPr>
          <w:rFonts w:ascii="Times New Roman" w:hAnsi="Times New Roman" w:cs="Times New Roman"/>
          <w:b/>
          <w:sz w:val="22"/>
          <w:szCs w:val="22"/>
          <w:lang w:val="en-US"/>
        </w:rPr>
      </w:pPr>
    </w:p>
    <w:p w14:paraId="0A446BA7" w14:textId="07C2B569" w:rsidR="00497401" w:rsidRDefault="00D67F40" w:rsidP="00497401">
      <w:pPr>
        <w:jc w:val="both"/>
        <w:rPr>
          <w:rFonts w:ascii="Times New Roman" w:hAnsi="Times New Roman" w:cs="Times New Roman"/>
          <w:sz w:val="20"/>
          <w:szCs w:val="20"/>
          <w:lang w:val="en-US"/>
        </w:rPr>
      </w:pPr>
      <w:r w:rsidRPr="007456D1">
        <w:rPr>
          <w:rFonts w:ascii="Times New Roman" w:hAnsi="Times New Roman" w:cs="Times New Roman"/>
          <w:noProof/>
          <w:lang w:val="en-US"/>
        </w:rPr>
        <w:drawing>
          <wp:inline distT="0" distB="0" distL="0" distR="0" wp14:anchorId="53B64287" wp14:editId="3BB98DF5">
            <wp:extent cx="3705308" cy="21183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49618" cy="2143644"/>
                    </a:xfrm>
                    <a:prstGeom prst="rect">
                      <a:avLst/>
                    </a:prstGeom>
                  </pic:spPr>
                </pic:pic>
              </a:graphicData>
            </a:graphic>
          </wp:inline>
        </w:drawing>
      </w:r>
    </w:p>
    <w:p w14:paraId="7C614C59" w14:textId="77777777" w:rsidR="00497401" w:rsidRDefault="00497401" w:rsidP="00497401">
      <w:pPr>
        <w:jc w:val="both"/>
        <w:rPr>
          <w:rFonts w:ascii="Times New Roman" w:hAnsi="Times New Roman" w:cs="Times New Roman"/>
          <w:sz w:val="20"/>
          <w:szCs w:val="20"/>
          <w:lang w:val="en-US"/>
        </w:rPr>
      </w:pPr>
    </w:p>
    <w:p w14:paraId="2D43F5A8" w14:textId="7FA04F68" w:rsidR="00D67F40" w:rsidRPr="007456D1" w:rsidRDefault="001B4631" w:rsidP="00D67F40">
      <w:pPr>
        <w:jc w:val="both"/>
        <w:rPr>
          <w:rFonts w:ascii="Times New Roman" w:hAnsi="Times New Roman" w:cs="Times New Roman"/>
          <w:sz w:val="20"/>
          <w:szCs w:val="20"/>
          <w:lang w:val="en-US"/>
        </w:rPr>
      </w:pPr>
      <w:r>
        <w:rPr>
          <w:rFonts w:ascii="Times New Roman" w:hAnsi="Times New Roman" w:cs="Times New Roman"/>
          <w:b/>
          <w:sz w:val="20"/>
          <w:szCs w:val="20"/>
          <w:lang w:val="en-US"/>
        </w:rPr>
        <w:t>Extended Data Fig. 1</w:t>
      </w:r>
      <w:r w:rsidR="00D83E11" w:rsidRPr="006705B7">
        <w:rPr>
          <w:rFonts w:ascii="Times New Roman" w:hAnsi="Times New Roman" w:cs="Times New Roman"/>
          <w:b/>
          <w:sz w:val="20"/>
          <w:szCs w:val="20"/>
          <w:lang w:val="en-US"/>
        </w:rPr>
        <w:t>.</w:t>
      </w:r>
      <w:r w:rsidR="00D83E11">
        <w:rPr>
          <w:rFonts w:ascii="Times New Roman" w:hAnsi="Times New Roman" w:cs="Times New Roman"/>
          <w:sz w:val="20"/>
          <w:szCs w:val="20"/>
          <w:lang w:val="en-US"/>
        </w:rPr>
        <w:t xml:space="preserve"> </w:t>
      </w:r>
      <w:r w:rsidR="00D67F40">
        <w:rPr>
          <w:rFonts w:ascii="Times New Roman" w:hAnsi="Times New Roman" w:cs="Times New Roman"/>
          <w:sz w:val="20"/>
          <w:szCs w:val="20"/>
          <w:lang w:val="en-US"/>
        </w:rPr>
        <w:t xml:space="preserve">Clinical characteristics and antibiotic exposures in the last 2 weeks or during sampling in outpatient subjects with upper respiratory tract </w:t>
      </w:r>
      <w:r w:rsidR="00D052B7">
        <w:rPr>
          <w:rFonts w:ascii="Times New Roman" w:hAnsi="Times New Roman" w:cs="Times New Roman"/>
          <w:sz w:val="20"/>
          <w:szCs w:val="20"/>
          <w:lang w:val="en-US"/>
        </w:rPr>
        <w:t xml:space="preserve">(URT) </w:t>
      </w:r>
      <w:r w:rsidR="00D67F40">
        <w:rPr>
          <w:rFonts w:ascii="Times New Roman" w:hAnsi="Times New Roman" w:cs="Times New Roman"/>
          <w:sz w:val="20"/>
          <w:szCs w:val="20"/>
          <w:lang w:val="en-US"/>
        </w:rPr>
        <w:t>infection or mild COVID-19. *Statistical analyses by Fisher’s exact test; p&lt;0.05.</w:t>
      </w:r>
    </w:p>
    <w:p w14:paraId="30EE3D86" w14:textId="77777777" w:rsidR="000F0531" w:rsidRDefault="000F0531" w:rsidP="00497401">
      <w:pPr>
        <w:jc w:val="both"/>
        <w:rPr>
          <w:rFonts w:ascii="Times New Roman" w:hAnsi="Times New Roman" w:cs="Times New Roman"/>
          <w:sz w:val="20"/>
          <w:szCs w:val="20"/>
          <w:lang w:val="en-US"/>
        </w:rPr>
      </w:pPr>
    </w:p>
    <w:p w14:paraId="1D683034" w14:textId="77777777" w:rsidR="00F3085C" w:rsidRDefault="00F3085C" w:rsidP="00497401">
      <w:pPr>
        <w:jc w:val="both"/>
        <w:rPr>
          <w:rFonts w:ascii="Times New Roman" w:hAnsi="Times New Roman" w:cs="Times New Roman"/>
          <w:sz w:val="20"/>
          <w:szCs w:val="20"/>
          <w:lang w:val="en-US"/>
        </w:rPr>
      </w:pPr>
    </w:p>
    <w:p w14:paraId="77C32FE3" w14:textId="3E08556C" w:rsidR="00427E1C" w:rsidRDefault="001B4631" w:rsidP="00497401">
      <w:pPr>
        <w:jc w:val="both"/>
        <w:rPr>
          <w:rFonts w:ascii="Times New Roman" w:hAnsi="Times New Roman" w:cs="Times New Roman"/>
          <w:b/>
          <w:sz w:val="22"/>
          <w:szCs w:val="22"/>
          <w:lang w:val="en-US"/>
        </w:rPr>
      </w:pPr>
      <w:r>
        <w:rPr>
          <w:rFonts w:ascii="Times New Roman" w:hAnsi="Times New Roman" w:cs="Times New Roman"/>
          <w:b/>
          <w:sz w:val="22"/>
          <w:szCs w:val="22"/>
          <w:lang w:val="en-US"/>
        </w:rPr>
        <w:t>Extended Data Figure 2</w:t>
      </w:r>
      <w:r w:rsidR="00427E1C" w:rsidRPr="006705B7">
        <w:rPr>
          <w:rFonts w:ascii="Times New Roman" w:hAnsi="Times New Roman" w:cs="Times New Roman"/>
          <w:b/>
          <w:sz w:val="22"/>
          <w:szCs w:val="22"/>
          <w:lang w:val="en-US"/>
        </w:rPr>
        <w:t>.</w:t>
      </w:r>
    </w:p>
    <w:p w14:paraId="0EF0BBE5" w14:textId="77777777" w:rsidR="006705B7" w:rsidRPr="006705B7" w:rsidRDefault="006705B7" w:rsidP="00497401">
      <w:pPr>
        <w:jc w:val="both"/>
        <w:rPr>
          <w:rFonts w:ascii="Times New Roman" w:hAnsi="Times New Roman" w:cs="Times New Roman"/>
          <w:b/>
          <w:sz w:val="22"/>
          <w:szCs w:val="22"/>
          <w:lang w:val="en-US"/>
        </w:rPr>
      </w:pPr>
    </w:p>
    <w:p w14:paraId="299D633F" w14:textId="445C28BA" w:rsidR="00427E1C" w:rsidRDefault="00427E1C" w:rsidP="00497401">
      <w:pPr>
        <w:jc w:val="both"/>
        <w:rPr>
          <w:rFonts w:ascii="Times New Roman" w:hAnsi="Times New Roman" w:cs="Times New Roman"/>
          <w:sz w:val="20"/>
          <w:szCs w:val="20"/>
          <w:lang w:val="en-US"/>
        </w:rPr>
      </w:pPr>
      <w:r w:rsidRPr="00427E1C">
        <w:rPr>
          <w:rFonts w:ascii="Times New Roman" w:hAnsi="Times New Roman" w:cs="Times New Roman"/>
          <w:noProof/>
          <w:sz w:val="20"/>
          <w:szCs w:val="20"/>
          <w:lang w:val="en-US"/>
        </w:rPr>
        <w:drawing>
          <wp:inline distT="0" distB="0" distL="0" distR="0" wp14:anchorId="1E932EAE" wp14:editId="06558970">
            <wp:extent cx="4823518" cy="427338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32792" cy="4281600"/>
                    </a:xfrm>
                    <a:prstGeom prst="rect">
                      <a:avLst/>
                    </a:prstGeom>
                  </pic:spPr>
                </pic:pic>
              </a:graphicData>
            </a:graphic>
          </wp:inline>
        </w:drawing>
      </w:r>
    </w:p>
    <w:p w14:paraId="78D99CED" w14:textId="4F662762" w:rsidR="00427E1C" w:rsidRDefault="00427E1C" w:rsidP="00497401">
      <w:pPr>
        <w:jc w:val="both"/>
        <w:rPr>
          <w:rFonts w:ascii="Times New Roman" w:hAnsi="Times New Roman" w:cs="Times New Roman"/>
          <w:sz w:val="20"/>
          <w:szCs w:val="20"/>
          <w:lang w:val="en-US"/>
        </w:rPr>
      </w:pPr>
    </w:p>
    <w:p w14:paraId="2E381A05" w14:textId="0B9D4F1A" w:rsidR="00F3085C" w:rsidRDefault="001B4631" w:rsidP="00F3085C">
      <w:pPr>
        <w:jc w:val="both"/>
        <w:rPr>
          <w:rFonts w:ascii="Times New Roman" w:hAnsi="Times New Roman" w:cs="Times New Roman"/>
          <w:sz w:val="20"/>
          <w:szCs w:val="20"/>
          <w:lang w:val="en-US"/>
        </w:rPr>
      </w:pPr>
      <w:r>
        <w:rPr>
          <w:rFonts w:ascii="Times New Roman" w:hAnsi="Times New Roman" w:cs="Times New Roman"/>
          <w:b/>
          <w:sz w:val="20"/>
          <w:szCs w:val="20"/>
          <w:lang w:val="en-US"/>
        </w:rPr>
        <w:t>Extended Data Fig. 2</w:t>
      </w:r>
      <w:r w:rsidR="00427E1C" w:rsidRPr="006705B7">
        <w:rPr>
          <w:rFonts w:ascii="Times New Roman" w:hAnsi="Times New Roman" w:cs="Times New Roman"/>
          <w:b/>
          <w:sz w:val="20"/>
          <w:szCs w:val="20"/>
          <w:lang w:val="en-US"/>
        </w:rPr>
        <w:t>.</w:t>
      </w:r>
      <w:r w:rsidR="00427E1C">
        <w:rPr>
          <w:rFonts w:ascii="Times New Roman" w:hAnsi="Times New Roman" w:cs="Times New Roman"/>
          <w:sz w:val="20"/>
          <w:szCs w:val="20"/>
          <w:lang w:val="en-US"/>
        </w:rPr>
        <w:t xml:space="preserve"> Co-existing disorders before admission to the hospital, treatments during hospital stay and outcomes in inpatients with moderate or severe COVID-19. Patients with severe illness required admission to an intensive care unit. The median length of hospital stay was measured in days</w:t>
      </w:r>
      <w:r w:rsidR="00D052B7">
        <w:rPr>
          <w:rFonts w:ascii="Times New Roman" w:hAnsi="Times New Roman" w:cs="Times New Roman"/>
          <w:sz w:val="20"/>
          <w:szCs w:val="20"/>
          <w:lang w:val="en-US"/>
        </w:rPr>
        <w:t>. The s</w:t>
      </w:r>
      <w:r w:rsidR="00427E1C">
        <w:rPr>
          <w:rFonts w:ascii="Times New Roman" w:hAnsi="Times New Roman" w:cs="Times New Roman"/>
          <w:sz w:val="20"/>
          <w:szCs w:val="20"/>
          <w:lang w:val="en-US"/>
        </w:rPr>
        <w:t>tatistical analyses</w:t>
      </w:r>
      <w:r w:rsidR="00D052B7">
        <w:rPr>
          <w:rFonts w:ascii="Times New Roman" w:hAnsi="Times New Roman" w:cs="Times New Roman"/>
          <w:sz w:val="20"/>
          <w:szCs w:val="20"/>
          <w:lang w:val="en-US"/>
        </w:rPr>
        <w:t xml:space="preserve"> were either performed using the</w:t>
      </w:r>
      <w:r w:rsidR="00427E1C">
        <w:rPr>
          <w:rFonts w:ascii="Times New Roman" w:hAnsi="Times New Roman" w:cs="Times New Roman"/>
          <w:sz w:val="20"/>
          <w:szCs w:val="20"/>
          <w:lang w:val="en-US"/>
        </w:rPr>
        <w:t xml:space="preserve"> *Fisher’s exact test or</w:t>
      </w:r>
      <w:r w:rsidR="00D052B7">
        <w:rPr>
          <w:rFonts w:ascii="Times New Roman" w:hAnsi="Times New Roman" w:cs="Times New Roman"/>
          <w:sz w:val="20"/>
          <w:szCs w:val="20"/>
          <w:lang w:val="en-US"/>
        </w:rPr>
        <w:t xml:space="preserve"> the</w:t>
      </w:r>
      <w:r w:rsidR="00427E1C">
        <w:rPr>
          <w:rFonts w:ascii="Times New Roman" w:hAnsi="Times New Roman" w:cs="Times New Roman"/>
          <w:sz w:val="20"/>
          <w:szCs w:val="20"/>
          <w:lang w:val="en-US"/>
        </w:rPr>
        <w:t xml:space="preserve"> </w:t>
      </w:r>
      <w:r w:rsidR="00D052B7" w:rsidRPr="00D052B7">
        <w:rPr>
          <w:rFonts w:ascii="Times New Roman" w:hAnsi="Times New Roman" w:cs="Times New Roman"/>
          <w:sz w:val="20"/>
          <w:szCs w:val="20"/>
          <w:vertAlign w:val="superscript"/>
          <w:lang w:val="en-US"/>
        </w:rPr>
        <w:t>#</w:t>
      </w:r>
      <w:r w:rsidR="008D7CE8">
        <w:rPr>
          <w:rFonts w:ascii="Times New Roman" w:hAnsi="Times New Roman" w:cs="Times New Roman"/>
          <w:sz w:val="20"/>
          <w:szCs w:val="20"/>
          <w:lang w:val="en-US"/>
        </w:rPr>
        <w:t>Wilcoxon</w:t>
      </w:r>
      <w:r w:rsidR="00D052B7">
        <w:rPr>
          <w:rFonts w:ascii="Times New Roman" w:hAnsi="Times New Roman" w:cs="Times New Roman"/>
          <w:sz w:val="20"/>
          <w:szCs w:val="20"/>
          <w:lang w:val="en-US"/>
        </w:rPr>
        <w:t xml:space="preserve"> test</w:t>
      </w:r>
      <w:r w:rsidR="00427E1C">
        <w:rPr>
          <w:rFonts w:ascii="Times New Roman" w:hAnsi="Times New Roman" w:cs="Times New Roman"/>
          <w:sz w:val="20"/>
          <w:szCs w:val="20"/>
          <w:lang w:val="en-US"/>
        </w:rPr>
        <w:t>.</w:t>
      </w:r>
    </w:p>
    <w:p w14:paraId="157EA418" w14:textId="3CBEDC10" w:rsidR="001B4631" w:rsidRPr="00D4561F" w:rsidRDefault="001B4631" w:rsidP="001B4631">
      <w:pPr>
        <w:rPr>
          <w:rFonts w:ascii="Times New Roman" w:hAnsi="Times New Roman" w:cs="Times New Roman"/>
          <w:b/>
          <w:lang w:val="en-US"/>
        </w:rPr>
      </w:pPr>
      <w:r>
        <w:rPr>
          <w:rFonts w:ascii="Times New Roman" w:hAnsi="Times New Roman" w:cs="Times New Roman"/>
          <w:b/>
          <w:lang w:val="en-US"/>
        </w:rPr>
        <w:lastRenderedPageBreak/>
        <w:t>Extended Data Figure 3</w:t>
      </w:r>
      <w:r w:rsidRPr="00D4561F">
        <w:rPr>
          <w:rFonts w:ascii="Times New Roman" w:hAnsi="Times New Roman" w:cs="Times New Roman"/>
          <w:b/>
          <w:lang w:val="en-US"/>
        </w:rPr>
        <w:t>.</w:t>
      </w:r>
    </w:p>
    <w:p w14:paraId="3669EE35" w14:textId="77777777" w:rsidR="001B4631" w:rsidRDefault="001B4631" w:rsidP="001B4631">
      <w:pPr>
        <w:rPr>
          <w:rFonts w:ascii="Times New Roman" w:hAnsi="Times New Roman" w:cs="Times New Roman"/>
          <w:lang w:val="en-US"/>
        </w:rPr>
      </w:pPr>
    </w:p>
    <w:p w14:paraId="18E437A8" w14:textId="77777777" w:rsidR="001B4631" w:rsidRDefault="001B4631" w:rsidP="001B4631">
      <w:pPr>
        <w:rPr>
          <w:rFonts w:ascii="Times New Roman" w:hAnsi="Times New Roman" w:cs="Times New Roman"/>
          <w:lang w:val="en-US"/>
        </w:rPr>
      </w:pPr>
      <w:r>
        <w:rPr>
          <w:rFonts w:ascii="Times New Roman" w:hAnsi="Times New Roman" w:cs="Times New Roman"/>
          <w:noProof/>
          <w:lang w:val="en-US"/>
        </w:rPr>
        <w:drawing>
          <wp:inline distT="0" distB="0" distL="0" distR="0" wp14:anchorId="4CB5C785" wp14:editId="74B41ACC">
            <wp:extent cx="5756910" cy="38921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_ed2_11-01-20.png"/>
                    <pic:cNvPicPr/>
                  </pic:nvPicPr>
                  <pic:blipFill rotWithShape="1">
                    <a:blip r:embed="rId10" cstate="print">
                      <a:extLst>
                        <a:ext uri="{28A0092B-C50C-407E-A947-70E740481C1C}">
                          <a14:useLocalDpi xmlns:a14="http://schemas.microsoft.com/office/drawing/2010/main" val="0"/>
                        </a:ext>
                      </a:extLst>
                    </a:blip>
                    <a:srcRect t="6136"/>
                    <a:stretch/>
                  </pic:blipFill>
                  <pic:spPr bwMode="auto">
                    <a:xfrm>
                      <a:off x="0" y="0"/>
                      <a:ext cx="5756910" cy="3892108"/>
                    </a:xfrm>
                    <a:prstGeom prst="rect">
                      <a:avLst/>
                    </a:prstGeom>
                    <a:ln>
                      <a:noFill/>
                    </a:ln>
                    <a:extLst>
                      <a:ext uri="{53640926-AAD7-44D8-BBD7-CCE9431645EC}">
                        <a14:shadowObscured xmlns:a14="http://schemas.microsoft.com/office/drawing/2010/main"/>
                      </a:ext>
                    </a:extLst>
                  </pic:spPr>
                </pic:pic>
              </a:graphicData>
            </a:graphic>
          </wp:inline>
        </w:drawing>
      </w:r>
    </w:p>
    <w:p w14:paraId="0637D7B1" w14:textId="77777777" w:rsidR="001B4631" w:rsidRDefault="001B4631" w:rsidP="001B4631">
      <w:pPr>
        <w:rPr>
          <w:rFonts w:ascii="Times New Roman" w:hAnsi="Times New Roman" w:cs="Times New Roman"/>
          <w:lang w:val="en-US"/>
        </w:rPr>
      </w:pPr>
    </w:p>
    <w:p w14:paraId="275A427F" w14:textId="1F728678" w:rsidR="001B4631" w:rsidRPr="00087B5F" w:rsidRDefault="001B4631" w:rsidP="001B4631">
      <w:pPr>
        <w:jc w:val="both"/>
        <w:rPr>
          <w:rFonts w:ascii="Times New Roman" w:hAnsi="Times New Roman" w:cs="Times New Roman"/>
          <w:sz w:val="20"/>
          <w:szCs w:val="20"/>
          <w:lang w:val="en-US"/>
        </w:rPr>
      </w:pPr>
      <w:r>
        <w:rPr>
          <w:rFonts w:ascii="Times New Roman" w:eastAsia="Times New Roman" w:hAnsi="Times New Roman" w:cs="Times New Roman"/>
          <w:b/>
          <w:color w:val="222222"/>
          <w:sz w:val="20"/>
          <w:szCs w:val="20"/>
          <w:shd w:val="clear" w:color="auto" w:fill="FFFFFF"/>
          <w:lang w:val="en-US"/>
        </w:rPr>
        <w:t>Extended Data Fig. 3</w:t>
      </w:r>
      <w:r w:rsidRPr="00E11AA4">
        <w:rPr>
          <w:rFonts w:ascii="Times New Roman" w:eastAsia="Times New Roman" w:hAnsi="Times New Roman" w:cs="Times New Roman"/>
          <w:b/>
          <w:color w:val="222222"/>
          <w:sz w:val="20"/>
          <w:szCs w:val="20"/>
          <w:shd w:val="clear" w:color="auto" w:fill="FFFFFF"/>
          <w:lang w:val="en-US"/>
        </w:rPr>
        <w:t>.</w:t>
      </w:r>
      <w:r>
        <w:rPr>
          <w:rFonts w:ascii="Times New Roman" w:eastAsia="Times New Roman" w:hAnsi="Times New Roman" w:cs="Times New Roman"/>
          <w:color w:val="222222"/>
          <w:sz w:val="20"/>
          <w:szCs w:val="20"/>
          <w:shd w:val="clear" w:color="auto" w:fill="FFFFFF"/>
          <w:lang w:val="en-US"/>
        </w:rPr>
        <w:t xml:space="preserve"> Compositional diversity in the oropharyngeal microbiome associated with COVID-19 severity and clinical variables. </w:t>
      </w:r>
      <w:r w:rsidRPr="001F585A">
        <w:rPr>
          <w:rFonts w:ascii="Times New Roman" w:eastAsia="Times New Roman" w:hAnsi="Times New Roman" w:cs="Times New Roman"/>
          <w:b/>
          <w:color w:val="222222"/>
          <w:sz w:val="20"/>
          <w:szCs w:val="20"/>
          <w:shd w:val="clear" w:color="auto" w:fill="FFFFFF"/>
          <w:lang w:val="en-US"/>
        </w:rPr>
        <w:t>a</w:t>
      </w:r>
      <w:r>
        <w:rPr>
          <w:rFonts w:ascii="Times New Roman" w:eastAsia="Times New Roman" w:hAnsi="Times New Roman" w:cs="Times New Roman"/>
          <w:color w:val="222222"/>
          <w:sz w:val="20"/>
          <w:szCs w:val="20"/>
          <w:shd w:val="clear" w:color="auto" w:fill="FFFFFF"/>
          <w:lang w:val="en-US"/>
        </w:rPr>
        <w:t xml:space="preserve">, </w:t>
      </w:r>
      <w:proofErr w:type="gramStart"/>
      <w:r>
        <w:rPr>
          <w:rFonts w:ascii="Times New Roman" w:eastAsia="Times New Roman" w:hAnsi="Times New Roman" w:cs="Times New Roman"/>
          <w:color w:val="222222"/>
          <w:sz w:val="20"/>
          <w:szCs w:val="20"/>
          <w:shd w:val="clear" w:color="auto" w:fill="FFFFFF"/>
          <w:lang w:val="en-US"/>
        </w:rPr>
        <w:t>The</w:t>
      </w:r>
      <w:proofErr w:type="gramEnd"/>
      <w:r>
        <w:rPr>
          <w:rFonts w:ascii="Times New Roman" w:eastAsia="Times New Roman" w:hAnsi="Times New Roman" w:cs="Times New Roman"/>
          <w:color w:val="222222"/>
          <w:sz w:val="20"/>
          <w:szCs w:val="20"/>
          <w:shd w:val="clear" w:color="auto" w:fill="FFFFFF"/>
          <w:lang w:val="en-US"/>
        </w:rPr>
        <w:t xml:space="preserve"> microbiome composition from all groups are shown according to the t-distributed stochastic neighbor embedding (t-SNE) algorithm. Each point represents a single oropharyngeal sample color-coded by assignment to control or COVID-19 groups. </w:t>
      </w:r>
      <w:r w:rsidRPr="001F585A">
        <w:rPr>
          <w:rFonts w:ascii="Times New Roman" w:eastAsia="Times New Roman" w:hAnsi="Times New Roman" w:cs="Times New Roman"/>
          <w:b/>
          <w:color w:val="222222"/>
          <w:sz w:val="20"/>
          <w:szCs w:val="20"/>
          <w:shd w:val="clear" w:color="auto" w:fill="FFFFFF"/>
          <w:lang w:val="en-US"/>
        </w:rPr>
        <w:t>b-</w:t>
      </w:r>
      <w:r>
        <w:rPr>
          <w:rFonts w:ascii="Times New Roman" w:eastAsia="Times New Roman" w:hAnsi="Times New Roman" w:cs="Times New Roman"/>
          <w:b/>
          <w:color w:val="222222"/>
          <w:sz w:val="20"/>
          <w:szCs w:val="20"/>
          <w:shd w:val="clear" w:color="auto" w:fill="FFFFFF"/>
          <w:lang w:val="en-US"/>
        </w:rPr>
        <w:t>d</w:t>
      </w:r>
      <w:r>
        <w:rPr>
          <w:rFonts w:ascii="Times New Roman" w:eastAsia="Times New Roman" w:hAnsi="Times New Roman" w:cs="Times New Roman"/>
          <w:color w:val="222222"/>
          <w:sz w:val="20"/>
          <w:szCs w:val="20"/>
          <w:shd w:val="clear" w:color="auto" w:fill="FFFFFF"/>
          <w:lang w:val="en-US"/>
        </w:rPr>
        <w:t xml:space="preserve">, </w:t>
      </w:r>
      <w:r w:rsidRPr="00087B5F">
        <w:rPr>
          <w:rFonts w:ascii="Times New Roman" w:hAnsi="Times New Roman" w:cs="Times New Roman"/>
          <w:sz w:val="20"/>
          <w:szCs w:val="20"/>
          <w:lang w:val="en-US"/>
        </w:rPr>
        <w:t>Principal coordinates analys</w:t>
      </w:r>
      <w:r>
        <w:rPr>
          <w:rFonts w:ascii="Times New Roman" w:hAnsi="Times New Roman" w:cs="Times New Roman"/>
          <w:sz w:val="20"/>
          <w:szCs w:val="20"/>
          <w:lang w:val="en-US"/>
        </w:rPr>
        <w:t>e</w:t>
      </w:r>
      <w:r w:rsidRPr="00087B5F">
        <w:rPr>
          <w:rFonts w:ascii="Times New Roman" w:hAnsi="Times New Roman" w:cs="Times New Roman"/>
          <w:sz w:val="20"/>
          <w:szCs w:val="20"/>
          <w:lang w:val="en-US"/>
        </w:rPr>
        <w:t>s (</w:t>
      </w:r>
      <w:proofErr w:type="spellStart"/>
      <w:r w:rsidRPr="00087B5F">
        <w:rPr>
          <w:rFonts w:ascii="Times New Roman" w:hAnsi="Times New Roman" w:cs="Times New Roman"/>
          <w:sz w:val="20"/>
          <w:szCs w:val="20"/>
          <w:lang w:val="en-US"/>
        </w:rPr>
        <w:t>PCoA</w:t>
      </w:r>
      <w:proofErr w:type="spellEnd"/>
      <w:r w:rsidRPr="00087B5F">
        <w:rPr>
          <w:rFonts w:ascii="Times New Roman" w:hAnsi="Times New Roman" w:cs="Times New Roman"/>
          <w:sz w:val="20"/>
          <w:szCs w:val="20"/>
          <w:lang w:val="en-US"/>
        </w:rPr>
        <w:t>) based on species-level Bray</w:t>
      </w:r>
      <w:r>
        <w:rPr>
          <w:rFonts w:ascii="Times New Roman" w:hAnsi="Times New Roman" w:cs="Times New Roman"/>
          <w:sz w:val="20"/>
          <w:szCs w:val="20"/>
          <w:lang w:val="en-US"/>
        </w:rPr>
        <w:t>-</w:t>
      </w:r>
      <w:r w:rsidRPr="00087B5F">
        <w:rPr>
          <w:rFonts w:ascii="Times New Roman" w:hAnsi="Times New Roman" w:cs="Times New Roman"/>
          <w:sz w:val="20"/>
          <w:szCs w:val="20"/>
          <w:lang w:val="en-US"/>
        </w:rPr>
        <w:t xml:space="preserve">Curtis dissimilarity </w:t>
      </w:r>
      <w:r>
        <w:rPr>
          <w:rFonts w:ascii="Times New Roman" w:hAnsi="Times New Roman" w:cs="Times New Roman"/>
          <w:sz w:val="20"/>
          <w:szCs w:val="20"/>
          <w:lang w:val="en-US"/>
        </w:rPr>
        <w:t>with biospecimen from all six groups; most variation was driven by Shannon index (PERMANOVA F=25.3; p=0.002), whereas antibiotic exposure (PERMANOVA F=1.5; p=0.084) and age (PERMANOVA F=1.7; p=0.084) had only a moderate impact on compositional variation. NA, data not available for 7 participants.</w:t>
      </w:r>
    </w:p>
    <w:p w14:paraId="77030617" w14:textId="4A0D84FC" w:rsidR="001B4631" w:rsidRDefault="001B4631" w:rsidP="00F3085C">
      <w:pPr>
        <w:jc w:val="both"/>
        <w:rPr>
          <w:rFonts w:ascii="Times New Roman" w:hAnsi="Times New Roman" w:cs="Times New Roman"/>
          <w:sz w:val="20"/>
          <w:szCs w:val="20"/>
          <w:lang w:val="en-US"/>
        </w:rPr>
      </w:pPr>
    </w:p>
    <w:p w14:paraId="03B38F4B" w14:textId="1A8CD843" w:rsidR="001B4631" w:rsidRDefault="001B4631" w:rsidP="00F3085C">
      <w:pPr>
        <w:jc w:val="both"/>
        <w:rPr>
          <w:rFonts w:ascii="Times New Roman" w:hAnsi="Times New Roman" w:cs="Times New Roman"/>
          <w:sz w:val="20"/>
          <w:szCs w:val="20"/>
          <w:lang w:val="en-US"/>
        </w:rPr>
      </w:pPr>
    </w:p>
    <w:p w14:paraId="285135AB" w14:textId="4E84A4DB" w:rsidR="001B4631" w:rsidRDefault="001B4631" w:rsidP="00F3085C">
      <w:pPr>
        <w:jc w:val="both"/>
        <w:rPr>
          <w:rFonts w:ascii="Times New Roman" w:hAnsi="Times New Roman" w:cs="Times New Roman"/>
          <w:sz w:val="20"/>
          <w:szCs w:val="20"/>
          <w:lang w:val="en-US"/>
        </w:rPr>
      </w:pPr>
    </w:p>
    <w:p w14:paraId="51B54730" w14:textId="18D70D52" w:rsidR="008F7A22" w:rsidRDefault="008F7A22">
      <w:pPr>
        <w:rPr>
          <w:rFonts w:ascii="Times New Roman" w:hAnsi="Times New Roman" w:cs="Times New Roman"/>
          <w:sz w:val="20"/>
          <w:szCs w:val="20"/>
          <w:lang w:val="en-US"/>
        </w:rPr>
      </w:pPr>
      <w:r>
        <w:rPr>
          <w:rFonts w:ascii="Times New Roman" w:hAnsi="Times New Roman" w:cs="Times New Roman"/>
          <w:sz w:val="20"/>
          <w:szCs w:val="20"/>
          <w:lang w:val="en-US"/>
        </w:rPr>
        <w:br w:type="page"/>
      </w:r>
    </w:p>
    <w:p w14:paraId="376EE841" w14:textId="1ED82ABF" w:rsidR="00F3085C" w:rsidRDefault="008F7A22" w:rsidP="00F3085C">
      <w:pPr>
        <w:jc w:val="both"/>
        <w:rPr>
          <w:rFonts w:ascii="Times New Roman" w:hAnsi="Times New Roman" w:cs="Times New Roman"/>
          <w:b/>
          <w:sz w:val="22"/>
          <w:szCs w:val="22"/>
          <w:lang w:val="en-US"/>
        </w:rPr>
      </w:pPr>
      <w:r>
        <w:rPr>
          <w:rFonts w:ascii="Times New Roman" w:hAnsi="Times New Roman" w:cs="Times New Roman"/>
          <w:b/>
          <w:sz w:val="22"/>
          <w:szCs w:val="22"/>
          <w:lang w:val="en-US"/>
        </w:rPr>
        <w:lastRenderedPageBreak/>
        <w:t>Extended Data Figure 4</w:t>
      </w:r>
      <w:r w:rsidR="00F3085C" w:rsidRPr="006705B7">
        <w:rPr>
          <w:rFonts w:ascii="Times New Roman" w:hAnsi="Times New Roman" w:cs="Times New Roman"/>
          <w:b/>
          <w:sz w:val="22"/>
          <w:szCs w:val="22"/>
          <w:lang w:val="en-US"/>
        </w:rPr>
        <w:t>.</w:t>
      </w:r>
    </w:p>
    <w:p w14:paraId="34D0E453" w14:textId="77777777" w:rsidR="00F3085C" w:rsidRPr="006705B7" w:rsidRDefault="00F3085C" w:rsidP="00F3085C">
      <w:pPr>
        <w:jc w:val="both"/>
        <w:rPr>
          <w:rFonts w:ascii="Times New Roman" w:hAnsi="Times New Roman" w:cs="Times New Roman"/>
          <w:b/>
          <w:sz w:val="22"/>
          <w:szCs w:val="22"/>
          <w:lang w:val="en-US"/>
        </w:rPr>
      </w:pPr>
    </w:p>
    <w:p w14:paraId="4CD40E68" w14:textId="77777777" w:rsidR="00F3085C" w:rsidRDefault="00F3085C" w:rsidP="00F3085C">
      <w:pPr>
        <w:jc w:val="both"/>
        <w:rPr>
          <w:rFonts w:ascii="Times New Roman" w:hAnsi="Times New Roman" w:cs="Times New Roman"/>
          <w:sz w:val="20"/>
          <w:szCs w:val="20"/>
          <w:lang w:val="en-US"/>
        </w:rPr>
      </w:pPr>
      <w:r w:rsidRPr="00E74151">
        <w:rPr>
          <w:rFonts w:ascii="Times New Roman" w:hAnsi="Times New Roman" w:cs="Times New Roman"/>
          <w:noProof/>
          <w:sz w:val="20"/>
          <w:szCs w:val="20"/>
          <w:lang w:val="en-US"/>
        </w:rPr>
        <w:drawing>
          <wp:inline distT="0" distB="0" distL="0" distR="0" wp14:anchorId="00191777" wp14:editId="5DA5E042">
            <wp:extent cx="6265722" cy="16220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74361" cy="1624302"/>
                    </a:xfrm>
                    <a:prstGeom prst="rect">
                      <a:avLst/>
                    </a:prstGeom>
                  </pic:spPr>
                </pic:pic>
              </a:graphicData>
            </a:graphic>
          </wp:inline>
        </w:drawing>
      </w:r>
    </w:p>
    <w:p w14:paraId="7E3985D7" w14:textId="77777777" w:rsidR="00F3085C" w:rsidRDefault="00F3085C" w:rsidP="00F3085C">
      <w:pPr>
        <w:jc w:val="both"/>
        <w:rPr>
          <w:rFonts w:ascii="Times New Roman" w:hAnsi="Times New Roman" w:cs="Times New Roman"/>
          <w:sz w:val="20"/>
          <w:szCs w:val="20"/>
          <w:lang w:val="en-US"/>
        </w:rPr>
      </w:pPr>
    </w:p>
    <w:p w14:paraId="7FD0960B" w14:textId="35CE0C48" w:rsidR="00F3085C" w:rsidRDefault="008F7A22" w:rsidP="00F3085C">
      <w:pPr>
        <w:jc w:val="both"/>
        <w:rPr>
          <w:rFonts w:ascii="Times New Roman" w:hAnsi="Times New Roman" w:cs="Times New Roman"/>
          <w:sz w:val="20"/>
          <w:szCs w:val="20"/>
          <w:lang w:val="en-US"/>
        </w:rPr>
      </w:pPr>
      <w:r>
        <w:rPr>
          <w:rFonts w:ascii="Times New Roman" w:hAnsi="Times New Roman" w:cs="Times New Roman"/>
          <w:b/>
          <w:sz w:val="20"/>
          <w:szCs w:val="20"/>
          <w:lang w:val="en-US"/>
        </w:rPr>
        <w:t>Extended Data Fig. 4.</w:t>
      </w:r>
      <w:r w:rsidR="00F3085C">
        <w:rPr>
          <w:rFonts w:ascii="Times New Roman" w:hAnsi="Times New Roman" w:cs="Times New Roman"/>
          <w:sz w:val="20"/>
          <w:szCs w:val="20"/>
          <w:lang w:val="en-US"/>
        </w:rPr>
        <w:t xml:space="preserve"> Baseline demographic characteristics of patients with moderate and severe COVID-19 admitted to a hospital vs. patients admitted to an intermediate or intensive care unit because of pulmonary infections and severe respiratory condition other than COVID-19; no significant difference in age distribution was observed between the three groups (Kruskal-Wallis test: p=0.054).</w:t>
      </w:r>
    </w:p>
    <w:p w14:paraId="51A99D98" w14:textId="53267F72" w:rsidR="00F3085C" w:rsidRDefault="00F3085C" w:rsidP="00F3085C">
      <w:pPr>
        <w:jc w:val="both"/>
        <w:rPr>
          <w:rFonts w:ascii="Times New Roman" w:hAnsi="Times New Roman" w:cs="Times New Roman"/>
          <w:sz w:val="20"/>
          <w:szCs w:val="20"/>
          <w:lang w:val="en-US"/>
        </w:rPr>
      </w:pPr>
    </w:p>
    <w:p w14:paraId="06F41AE0" w14:textId="3C81BAB1" w:rsidR="008F7A22" w:rsidRDefault="008F7A22" w:rsidP="00F3085C">
      <w:pPr>
        <w:jc w:val="both"/>
        <w:rPr>
          <w:rFonts w:ascii="Times New Roman" w:hAnsi="Times New Roman" w:cs="Times New Roman"/>
          <w:sz w:val="20"/>
          <w:szCs w:val="20"/>
          <w:lang w:val="en-US"/>
        </w:rPr>
      </w:pPr>
    </w:p>
    <w:p w14:paraId="57E3E3AD" w14:textId="5CA259B5" w:rsidR="003A2577" w:rsidRDefault="003A2577" w:rsidP="00F3085C">
      <w:pPr>
        <w:jc w:val="both"/>
        <w:rPr>
          <w:rFonts w:ascii="Times New Roman" w:hAnsi="Times New Roman" w:cs="Times New Roman"/>
          <w:sz w:val="20"/>
          <w:szCs w:val="20"/>
          <w:lang w:val="en-US"/>
        </w:rPr>
      </w:pPr>
    </w:p>
    <w:p w14:paraId="5B586A3D" w14:textId="77777777" w:rsidR="003A2577" w:rsidRDefault="003A2577" w:rsidP="00F3085C">
      <w:pPr>
        <w:jc w:val="both"/>
        <w:rPr>
          <w:rFonts w:ascii="Times New Roman" w:hAnsi="Times New Roman" w:cs="Times New Roman"/>
          <w:sz w:val="20"/>
          <w:szCs w:val="20"/>
          <w:lang w:val="en-US"/>
        </w:rPr>
      </w:pPr>
    </w:p>
    <w:p w14:paraId="0BF94F36" w14:textId="10E010D0" w:rsidR="008F7A22" w:rsidRPr="008F7A22" w:rsidRDefault="008F7A22" w:rsidP="008F7A22">
      <w:pPr>
        <w:jc w:val="both"/>
        <w:rPr>
          <w:rFonts w:ascii="Times New Roman" w:hAnsi="Times New Roman" w:cs="Times New Roman"/>
          <w:b/>
          <w:sz w:val="22"/>
          <w:szCs w:val="22"/>
          <w:lang w:val="en-US"/>
        </w:rPr>
      </w:pPr>
      <w:r w:rsidRPr="008F7A22">
        <w:rPr>
          <w:rFonts w:ascii="Times New Roman" w:hAnsi="Times New Roman" w:cs="Times New Roman"/>
          <w:b/>
          <w:sz w:val="22"/>
          <w:szCs w:val="22"/>
          <w:lang w:val="en-US"/>
        </w:rPr>
        <w:t>Extended Data Figure 5.</w:t>
      </w:r>
    </w:p>
    <w:p w14:paraId="766072B3" w14:textId="77777777" w:rsidR="008F7A22" w:rsidRDefault="008F7A22" w:rsidP="008F7A22">
      <w:pPr>
        <w:jc w:val="both"/>
        <w:rPr>
          <w:rFonts w:ascii="Times New Roman" w:hAnsi="Times New Roman" w:cs="Times New Roman"/>
          <w:sz w:val="20"/>
          <w:szCs w:val="20"/>
          <w:lang w:val="en-US"/>
        </w:rPr>
      </w:pPr>
    </w:p>
    <w:p w14:paraId="6D1D440C" w14:textId="77777777" w:rsidR="008F7A22" w:rsidRDefault="008F7A22" w:rsidP="008F7A22">
      <w:pPr>
        <w:jc w:val="both"/>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13E6BBDC" wp14:editId="15C1A1BE">
            <wp:extent cx="5308042" cy="23178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_S1_09-10-20.png"/>
                    <pic:cNvPicPr/>
                  </pic:nvPicPr>
                  <pic:blipFill rotWithShape="1">
                    <a:blip r:embed="rId12" cstate="print">
                      <a:extLst>
                        <a:ext uri="{28A0092B-C50C-407E-A947-70E740481C1C}">
                          <a14:useLocalDpi xmlns:a14="http://schemas.microsoft.com/office/drawing/2010/main" val="0"/>
                        </a:ext>
                      </a:extLst>
                    </a:blip>
                    <a:srcRect t="4711" b="50985"/>
                    <a:stretch/>
                  </pic:blipFill>
                  <pic:spPr bwMode="auto">
                    <a:xfrm>
                      <a:off x="0" y="0"/>
                      <a:ext cx="5308600" cy="2318141"/>
                    </a:xfrm>
                    <a:prstGeom prst="rect">
                      <a:avLst/>
                    </a:prstGeom>
                    <a:ln>
                      <a:noFill/>
                    </a:ln>
                    <a:extLst>
                      <a:ext uri="{53640926-AAD7-44D8-BBD7-CCE9431645EC}">
                        <a14:shadowObscured xmlns:a14="http://schemas.microsoft.com/office/drawing/2010/main"/>
                      </a:ext>
                    </a:extLst>
                  </pic:spPr>
                </pic:pic>
              </a:graphicData>
            </a:graphic>
          </wp:inline>
        </w:drawing>
      </w:r>
    </w:p>
    <w:p w14:paraId="16C8667D" w14:textId="77777777" w:rsidR="008F7A22" w:rsidRDefault="008F7A22" w:rsidP="008F7A22">
      <w:pPr>
        <w:jc w:val="both"/>
        <w:rPr>
          <w:rFonts w:ascii="Times New Roman" w:hAnsi="Times New Roman" w:cs="Times New Roman"/>
          <w:sz w:val="20"/>
          <w:szCs w:val="20"/>
          <w:lang w:val="en-US"/>
        </w:rPr>
      </w:pPr>
    </w:p>
    <w:p w14:paraId="21109311" w14:textId="7FF6DFE3" w:rsidR="008F7A22" w:rsidRPr="00B1137C" w:rsidRDefault="008F7A22" w:rsidP="008F7A22">
      <w:pPr>
        <w:jc w:val="both"/>
        <w:rPr>
          <w:rFonts w:ascii="Times New Roman" w:hAnsi="Times New Roman" w:cs="Times New Roman"/>
          <w:sz w:val="20"/>
          <w:szCs w:val="20"/>
          <w:lang w:val="en-US"/>
        </w:rPr>
      </w:pPr>
      <w:r>
        <w:rPr>
          <w:rFonts w:ascii="Times New Roman" w:hAnsi="Times New Roman" w:cs="Times New Roman"/>
          <w:b/>
          <w:sz w:val="20"/>
          <w:szCs w:val="20"/>
          <w:lang w:val="en-US"/>
        </w:rPr>
        <w:t>Extended Data Fig. 5</w:t>
      </w:r>
      <w:r>
        <w:rPr>
          <w:rFonts w:ascii="Times New Roman" w:hAnsi="Times New Roman" w:cs="Times New Roman"/>
          <w:sz w:val="20"/>
          <w:szCs w:val="20"/>
          <w:lang w:val="en-US"/>
        </w:rPr>
        <w:t xml:space="preserve">. </w:t>
      </w:r>
      <w:r w:rsidRPr="001928B7">
        <w:rPr>
          <w:rFonts w:ascii="Times New Roman" w:hAnsi="Times New Roman" w:cs="Times New Roman"/>
          <w:b/>
          <w:sz w:val="20"/>
          <w:szCs w:val="20"/>
          <w:lang w:val="en-US"/>
        </w:rPr>
        <w:t>a</w:t>
      </w:r>
      <w:r w:rsidRPr="001928B7">
        <w:rPr>
          <w:rFonts w:ascii="Times New Roman" w:hAnsi="Times New Roman" w:cs="Times New Roman"/>
          <w:sz w:val="20"/>
          <w:szCs w:val="20"/>
          <w:lang w:val="en-US"/>
        </w:rPr>
        <w:t>,</w:t>
      </w:r>
      <w:r>
        <w:rPr>
          <w:rFonts w:ascii="Times New Roman" w:hAnsi="Times New Roman" w:cs="Times New Roman"/>
          <w:sz w:val="20"/>
          <w:szCs w:val="20"/>
          <w:lang w:val="en-US"/>
        </w:rPr>
        <w:t xml:space="preserve"> Alpha diversity displayed as Shannon index, and </w:t>
      </w:r>
      <w:r w:rsidRPr="001928B7">
        <w:rPr>
          <w:rFonts w:ascii="Times New Roman" w:hAnsi="Times New Roman" w:cs="Times New Roman"/>
          <w:b/>
          <w:sz w:val="20"/>
          <w:szCs w:val="20"/>
          <w:lang w:val="en-US"/>
        </w:rPr>
        <w:t>b</w:t>
      </w:r>
      <w:r>
        <w:rPr>
          <w:rFonts w:ascii="Times New Roman" w:hAnsi="Times New Roman" w:cs="Times New Roman"/>
          <w:sz w:val="20"/>
          <w:szCs w:val="20"/>
          <w:lang w:val="en-US"/>
        </w:rPr>
        <w:t xml:space="preserve">, dysbiosis scores of oropharyngeal microbiomes samples from moderate and severe COVID-19 affected patients (n=27 and 66 samples) and from patients with SARS-CoV-2 negative, severe respiratory disease admitted to an ICU (n=30). </w:t>
      </w:r>
      <w:r w:rsidRPr="00B1137C">
        <w:rPr>
          <w:rFonts w:ascii="Times New Roman" w:hAnsi="Times New Roman" w:cs="Times New Roman"/>
          <w:sz w:val="20"/>
          <w:szCs w:val="20"/>
          <w:lang w:val="en-US"/>
        </w:rPr>
        <w:t>*p&lt;0.05, **p&lt;0.01, ***p&lt;0.001 (Wilcoxon test).</w:t>
      </w:r>
    </w:p>
    <w:p w14:paraId="6A117055" w14:textId="3A0F6630" w:rsidR="008F7A22" w:rsidRDefault="008F7A22" w:rsidP="00F3085C">
      <w:pPr>
        <w:jc w:val="both"/>
        <w:rPr>
          <w:rFonts w:ascii="Times New Roman" w:hAnsi="Times New Roman" w:cs="Times New Roman"/>
          <w:sz w:val="20"/>
          <w:szCs w:val="20"/>
          <w:lang w:val="en-US"/>
        </w:rPr>
      </w:pPr>
    </w:p>
    <w:p w14:paraId="7BD01C32" w14:textId="79D6A56B" w:rsidR="008F7A22" w:rsidRDefault="008F7A22" w:rsidP="00F3085C">
      <w:pPr>
        <w:jc w:val="both"/>
        <w:rPr>
          <w:rFonts w:ascii="Times New Roman" w:hAnsi="Times New Roman" w:cs="Times New Roman"/>
          <w:sz w:val="20"/>
          <w:szCs w:val="20"/>
          <w:lang w:val="en-US"/>
        </w:rPr>
      </w:pPr>
    </w:p>
    <w:p w14:paraId="3A94F26E" w14:textId="7F2549D6" w:rsidR="008F7A22" w:rsidRDefault="008F7A22" w:rsidP="00F3085C">
      <w:pPr>
        <w:jc w:val="both"/>
        <w:rPr>
          <w:rFonts w:ascii="Times New Roman" w:hAnsi="Times New Roman" w:cs="Times New Roman"/>
          <w:sz w:val="20"/>
          <w:szCs w:val="20"/>
          <w:lang w:val="en-US"/>
        </w:rPr>
      </w:pPr>
    </w:p>
    <w:p w14:paraId="548E9BD0" w14:textId="7365406B" w:rsidR="008F7A22" w:rsidRDefault="008F7A22">
      <w:pPr>
        <w:rPr>
          <w:rFonts w:ascii="Times New Roman" w:hAnsi="Times New Roman" w:cs="Times New Roman"/>
          <w:sz w:val="20"/>
          <w:szCs w:val="20"/>
          <w:lang w:val="en-US"/>
        </w:rPr>
      </w:pPr>
      <w:r>
        <w:rPr>
          <w:rFonts w:ascii="Times New Roman" w:hAnsi="Times New Roman" w:cs="Times New Roman"/>
          <w:sz w:val="20"/>
          <w:szCs w:val="20"/>
          <w:lang w:val="en-US"/>
        </w:rPr>
        <w:br w:type="page"/>
      </w:r>
    </w:p>
    <w:p w14:paraId="6FFCA8C7" w14:textId="22E024D9" w:rsidR="00DB409F" w:rsidRPr="008F7A22" w:rsidRDefault="00DB409F" w:rsidP="00DB409F">
      <w:pPr>
        <w:jc w:val="both"/>
        <w:rPr>
          <w:rFonts w:ascii="Times New Roman" w:hAnsi="Times New Roman" w:cs="Times New Roman"/>
          <w:b/>
          <w:sz w:val="22"/>
          <w:szCs w:val="22"/>
          <w:lang w:val="en-US"/>
        </w:rPr>
      </w:pPr>
      <w:r w:rsidRPr="008F7A22">
        <w:rPr>
          <w:rFonts w:ascii="Times New Roman" w:hAnsi="Times New Roman" w:cs="Times New Roman"/>
          <w:b/>
          <w:sz w:val="22"/>
          <w:szCs w:val="22"/>
          <w:lang w:val="en-US"/>
        </w:rPr>
        <w:lastRenderedPageBreak/>
        <w:t xml:space="preserve">Extended Data Figure </w:t>
      </w:r>
      <w:r>
        <w:rPr>
          <w:rFonts w:ascii="Times New Roman" w:hAnsi="Times New Roman" w:cs="Times New Roman"/>
          <w:b/>
          <w:sz w:val="22"/>
          <w:szCs w:val="22"/>
          <w:lang w:val="en-US"/>
        </w:rPr>
        <w:t>6</w:t>
      </w:r>
      <w:r w:rsidRPr="008F7A22">
        <w:rPr>
          <w:rFonts w:ascii="Times New Roman" w:hAnsi="Times New Roman" w:cs="Times New Roman"/>
          <w:b/>
          <w:sz w:val="22"/>
          <w:szCs w:val="22"/>
          <w:lang w:val="en-US"/>
        </w:rPr>
        <w:t>.</w:t>
      </w:r>
    </w:p>
    <w:p w14:paraId="0E654A33" w14:textId="77777777" w:rsidR="008F7A22" w:rsidRDefault="008F7A22" w:rsidP="00F3085C">
      <w:pPr>
        <w:jc w:val="both"/>
        <w:rPr>
          <w:rFonts w:ascii="Times New Roman" w:hAnsi="Times New Roman" w:cs="Times New Roman"/>
          <w:sz w:val="20"/>
          <w:szCs w:val="20"/>
          <w:lang w:val="en-US"/>
        </w:rPr>
      </w:pPr>
    </w:p>
    <w:p w14:paraId="57A89DC6" w14:textId="42FC7DC3" w:rsidR="008F7A22" w:rsidRDefault="00DB409F" w:rsidP="00DB409F">
      <w:pPr>
        <w:jc w:val="center"/>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6B718651" wp14:editId="4D184DE2">
            <wp:extent cx="4155336"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_ed6_12-07-20.png"/>
                    <pic:cNvPicPr/>
                  </pic:nvPicPr>
                  <pic:blipFill rotWithShape="1">
                    <a:blip r:embed="rId13" cstate="print">
                      <a:extLst>
                        <a:ext uri="{28A0092B-C50C-407E-A947-70E740481C1C}">
                          <a14:useLocalDpi xmlns:a14="http://schemas.microsoft.com/office/drawing/2010/main" val="0"/>
                        </a:ext>
                      </a:extLst>
                    </a:blip>
                    <a:srcRect t="12752"/>
                    <a:stretch/>
                  </pic:blipFill>
                  <pic:spPr bwMode="auto">
                    <a:xfrm>
                      <a:off x="0" y="0"/>
                      <a:ext cx="4170193" cy="2753008"/>
                    </a:xfrm>
                    <a:prstGeom prst="rect">
                      <a:avLst/>
                    </a:prstGeom>
                    <a:ln>
                      <a:noFill/>
                    </a:ln>
                    <a:extLst>
                      <a:ext uri="{53640926-AAD7-44D8-BBD7-CCE9431645EC}">
                        <a14:shadowObscured xmlns:a14="http://schemas.microsoft.com/office/drawing/2010/main"/>
                      </a:ext>
                    </a:extLst>
                  </pic:spPr>
                </pic:pic>
              </a:graphicData>
            </a:graphic>
          </wp:inline>
        </w:drawing>
      </w:r>
    </w:p>
    <w:p w14:paraId="3D9556FF" w14:textId="3870C1CD" w:rsidR="008F7A22" w:rsidRDefault="008F7A22" w:rsidP="00F3085C">
      <w:pPr>
        <w:jc w:val="both"/>
        <w:rPr>
          <w:rFonts w:ascii="Times New Roman" w:hAnsi="Times New Roman" w:cs="Times New Roman"/>
          <w:sz w:val="20"/>
          <w:szCs w:val="20"/>
          <w:lang w:val="en-US"/>
        </w:rPr>
      </w:pPr>
    </w:p>
    <w:p w14:paraId="58C7A220" w14:textId="7DA3787E" w:rsidR="00DB409F" w:rsidRDefault="00DB409F" w:rsidP="00F3085C">
      <w:pPr>
        <w:jc w:val="both"/>
        <w:rPr>
          <w:rFonts w:ascii="Times New Roman" w:hAnsi="Times New Roman" w:cs="Times New Roman"/>
          <w:sz w:val="20"/>
          <w:szCs w:val="20"/>
          <w:lang w:val="en-US"/>
        </w:rPr>
      </w:pPr>
    </w:p>
    <w:p w14:paraId="76526DF0" w14:textId="772B649B" w:rsidR="00DB409F" w:rsidRPr="00D4561F" w:rsidRDefault="00DB409F" w:rsidP="00DB409F">
      <w:pPr>
        <w:jc w:val="both"/>
        <w:rPr>
          <w:rFonts w:ascii="Times New Roman" w:eastAsia="Times New Roman" w:hAnsi="Times New Roman" w:cs="Times New Roman"/>
          <w:color w:val="222222"/>
          <w:sz w:val="20"/>
          <w:szCs w:val="20"/>
          <w:shd w:val="clear" w:color="auto" w:fill="FFFFFF"/>
          <w:lang w:val="en-US"/>
        </w:rPr>
      </w:pPr>
      <w:r>
        <w:rPr>
          <w:rFonts w:ascii="Times New Roman" w:eastAsia="Times New Roman" w:hAnsi="Times New Roman" w:cs="Times New Roman"/>
          <w:b/>
          <w:color w:val="222222"/>
          <w:sz w:val="20"/>
          <w:szCs w:val="20"/>
          <w:shd w:val="clear" w:color="auto" w:fill="FFFFFF"/>
          <w:lang w:val="en-US"/>
        </w:rPr>
        <w:t>Extended Data Fig. 6</w:t>
      </w:r>
      <w:r w:rsidRPr="00E11AA4">
        <w:rPr>
          <w:rFonts w:ascii="Times New Roman" w:eastAsia="Times New Roman" w:hAnsi="Times New Roman" w:cs="Times New Roman"/>
          <w:b/>
          <w:color w:val="222222"/>
          <w:sz w:val="20"/>
          <w:szCs w:val="20"/>
          <w:shd w:val="clear" w:color="auto" w:fill="FFFFFF"/>
          <w:lang w:val="en-US"/>
        </w:rPr>
        <w:t>.</w:t>
      </w:r>
      <w:r>
        <w:rPr>
          <w:rFonts w:ascii="Times New Roman" w:eastAsia="Times New Roman" w:hAnsi="Times New Roman" w:cs="Times New Roman"/>
          <w:color w:val="222222"/>
          <w:sz w:val="20"/>
          <w:szCs w:val="20"/>
          <w:shd w:val="clear" w:color="auto" w:fill="FFFFFF"/>
          <w:lang w:val="en-US"/>
        </w:rPr>
        <w:t xml:space="preserve"> Taxonomic diversity in the oropharyngeal microbiome. Fraction of samples with taxa that contributed to domination events (relative abundance &gt; 0.3 per sample; present in ≥ 10% of samples per subgroup) color-coded per group / COVID-19 severity on the bottom (healthy controls, URT infection, mild, moderate and severe COVID-19). </w:t>
      </w:r>
    </w:p>
    <w:p w14:paraId="035275EF" w14:textId="77777777" w:rsidR="00DB409F" w:rsidRDefault="00DB409F" w:rsidP="00F3085C">
      <w:pPr>
        <w:jc w:val="both"/>
        <w:rPr>
          <w:rFonts w:ascii="Times New Roman" w:hAnsi="Times New Roman" w:cs="Times New Roman"/>
          <w:sz w:val="20"/>
          <w:szCs w:val="20"/>
          <w:lang w:val="en-US"/>
        </w:rPr>
      </w:pPr>
    </w:p>
    <w:p w14:paraId="53019010" w14:textId="4468DCBD" w:rsidR="00DB409F" w:rsidRDefault="00DB409F">
      <w:pPr>
        <w:rPr>
          <w:rFonts w:ascii="Times New Roman" w:hAnsi="Times New Roman" w:cs="Times New Roman"/>
          <w:sz w:val="20"/>
          <w:szCs w:val="20"/>
          <w:lang w:val="en-US"/>
        </w:rPr>
      </w:pPr>
      <w:r>
        <w:rPr>
          <w:rFonts w:ascii="Times New Roman" w:hAnsi="Times New Roman" w:cs="Times New Roman"/>
          <w:sz w:val="20"/>
          <w:szCs w:val="20"/>
          <w:lang w:val="en-US"/>
        </w:rPr>
        <w:br w:type="page"/>
      </w:r>
    </w:p>
    <w:p w14:paraId="5F3B5F59" w14:textId="53466758" w:rsidR="00BE50FA" w:rsidRPr="008F7A22" w:rsidRDefault="00BE50FA" w:rsidP="00BE50FA">
      <w:pPr>
        <w:jc w:val="both"/>
        <w:rPr>
          <w:rFonts w:ascii="Times New Roman" w:hAnsi="Times New Roman" w:cs="Times New Roman"/>
          <w:b/>
          <w:sz w:val="22"/>
          <w:szCs w:val="22"/>
          <w:lang w:val="en-US"/>
        </w:rPr>
      </w:pPr>
      <w:r w:rsidRPr="008F7A22">
        <w:rPr>
          <w:rFonts w:ascii="Times New Roman" w:hAnsi="Times New Roman" w:cs="Times New Roman"/>
          <w:b/>
          <w:sz w:val="22"/>
          <w:szCs w:val="22"/>
          <w:lang w:val="en-US"/>
        </w:rPr>
        <w:lastRenderedPageBreak/>
        <w:t xml:space="preserve">Extended Data Figure </w:t>
      </w:r>
      <w:r>
        <w:rPr>
          <w:rFonts w:ascii="Times New Roman" w:hAnsi="Times New Roman" w:cs="Times New Roman"/>
          <w:b/>
          <w:sz w:val="22"/>
          <w:szCs w:val="22"/>
          <w:lang w:val="en-US"/>
        </w:rPr>
        <w:t>7</w:t>
      </w:r>
      <w:r w:rsidRPr="008F7A22">
        <w:rPr>
          <w:rFonts w:ascii="Times New Roman" w:hAnsi="Times New Roman" w:cs="Times New Roman"/>
          <w:b/>
          <w:sz w:val="22"/>
          <w:szCs w:val="22"/>
          <w:lang w:val="en-US"/>
        </w:rPr>
        <w:t>.</w:t>
      </w:r>
    </w:p>
    <w:p w14:paraId="4B38D2DA" w14:textId="77777777" w:rsidR="00BE50FA" w:rsidRDefault="00BE50FA" w:rsidP="00BE50FA">
      <w:pPr>
        <w:rPr>
          <w:rFonts w:ascii="Times New Roman" w:hAnsi="Times New Roman" w:cs="Times New Roman"/>
          <w:lang w:val="en-US"/>
        </w:rPr>
      </w:pPr>
    </w:p>
    <w:p w14:paraId="5DFDC97D" w14:textId="77777777" w:rsidR="00BE50FA" w:rsidRDefault="00BE50FA" w:rsidP="00BE50FA">
      <w:pPr>
        <w:rPr>
          <w:rFonts w:ascii="Times New Roman" w:hAnsi="Times New Roman" w:cs="Times New Roman"/>
          <w:lang w:val="en-US"/>
        </w:rPr>
      </w:pPr>
      <w:r>
        <w:rPr>
          <w:rFonts w:ascii="Times New Roman" w:hAnsi="Times New Roman" w:cs="Times New Roman"/>
          <w:noProof/>
          <w:lang w:val="en-US"/>
        </w:rPr>
        <w:drawing>
          <wp:inline distT="0" distB="0" distL="0" distR="0" wp14:anchorId="123D1FD9" wp14:editId="4DFB929C">
            <wp:extent cx="5715000" cy="3730045"/>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_ed4_13-10-20.png"/>
                    <pic:cNvPicPr/>
                  </pic:nvPicPr>
                  <pic:blipFill rotWithShape="1">
                    <a:blip r:embed="rId14" cstate="print">
                      <a:extLst>
                        <a:ext uri="{28A0092B-C50C-407E-A947-70E740481C1C}">
                          <a14:useLocalDpi xmlns:a14="http://schemas.microsoft.com/office/drawing/2010/main" val="0"/>
                        </a:ext>
                      </a:extLst>
                    </a:blip>
                    <a:srcRect t="8218"/>
                    <a:stretch/>
                  </pic:blipFill>
                  <pic:spPr bwMode="auto">
                    <a:xfrm>
                      <a:off x="0" y="0"/>
                      <a:ext cx="5715000" cy="3730045"/>
                    </a:xfrm>
                    <a:prstGeom prst="rect">
                      <a:avLst/>
                    </a:prstGeom>
                    <a:ln>
                      <a:noFill/>
                    </a:ln>
                    <a:extLst>
                      <a:ext uri="{53640926-AAD7-44D8-BBD7-CCE9431645EC}">
                        <a14:shadowObscured xmlns:a14="http://schemas.microsoft.com/office/drawing/2010/main"/>
                      </a:ext>
                    </a:extLst>
                  </pic:spPr>
                </pic:pic>
              </a:graphicData>
            </a:graphic>
          </wp:inline>
        </w:drawing>
      </w:r>
    </w:p>
    <w:p w14:paraId="6C27A782" w14:textId="77777777" w:rsidR="00BE50FA" w:rsidRDefault="00BE50FA" w:rsidP="00BE50FA">
      <w:pPr>
        <w:rPr>
          <w:rFonts w:ascii="Times New Roman" w:hAnsi="Times New Roman" w:cs="Times New Roman"/>
          <w:lang w:val="en-US"/>
        </w:rPr>
      </w:pPr>
    </w:p>
    <w:p w14:paraId="48522408" w14:textId="16A82933" w:rsidR="00BE50FA" w:rsidRDefault="00BE50FA" w:rsidP="00BE50FA">
      <w:pPr>
        <w:jc w:val="both"/>
        <w:rPr>
          <w:rFonts w:ascii="Times New Roman" w:eastAsia="Times New Roman" w:hAnsi="Times New Roman" w:cs="Times New Roman"/>
          <w:color w:val="222222"/>
          <w:sz w:val="20"/>
          <w:szCs w:val="20"/>
          <w:shd w:val="clear" w:color="auto" w:fill="FFFFFF"/>
          <w:lang w:val="en-US"/>
        </w:rPr>
      </w:pPr>
      <w:r>
        <w:rPr>
          <w:rFonts w:ascii="Times New Roman" w:eastAsia="Times New Roman" w:hAnsi="Times New Roman" w:cs="Times New Roman"/>
          <w:b/>
          <w:color w:val="222222"/>
          <w:sz w:val="20"/>
          <w:szCs w:val="20"/>
          <w:shd w:val="clear" w:color="auto" w:fill="FFFFFF"/>
          <w:lang w:val="en-US"/>
        </w:rPr>
        <w:t>Extended Data Fig. 7</w:t>
      </w:r>
      <w:r w:rsidRPr="00E11AA4">
        <w:rPr>
          <w:rFonts w:ascii="Times New Roman" w:eastAsia="Times New Roman" w:hAnsi="Times New Roman" w:cs="Times New Roman"/>
          <w:b/>
          <w:color w:val="222222"/>
          <w:sz w:val="20"/>
          <w:szCs w:val="20"/>
          <w:shd w:val="clear" w:color="auto" w:fill="FFFFFF"/>
          <w:lang w:val="en-US"/>
        </w:rPr>
        <w:t>.</w:t>
      </w:r>
      <w:r>
        <w:rPr>
          <w:rFonts w:ascii="Times New Roman" w:eastAsia="Times New Roman" w:hAnsi="Times New Roman" w:cs="Times New Roman"/>
          <w:color w:val="222222"/>
          <w:sz w:val="20"/>
          <w:szCs w:val="20"/>
          <w:shd w:val="clear" w:color="auto" w:fill="FFFFFF"/>
          <w:lang w:val="en-US"/>
        </w:rPr>
        <w:t xml:space="preserve"> Analysis of variance using ranked abundance data of taxa shows many species to differ between moderate and severe COVID-19 (i.e., group), less for antibiotic treatment, but not between gender and age (binarized in young vs. old [&gt;65y]).</w:t>
      </w:r>
    </w:p>
    <w:p w14:paraId="7E63B173" w14:textId="77777777" w:rsidR="00BE50FA" w:rsidRDefault="00BE50FA" w:rsidP="00497401">
      <w:pPr>
        <w:jc w:val="both"/>
        <w:rPr>
          <w:rFonts w:ascii="Times New Roman" w:hAnsi="Times New Roman" w:cs="Times New Roman"/>
          <w:b/>
          <w:color w:val="000000" w:themeColor="text1"/>
          <w:sz w:val="22"/>
          <w:szCs w:val="22"/>
          <w:lang w:val="en-US"/>
        </w:rPr>
      </w:pPr>
    </w:p>
    <w:p w14:paraId="5475F2DD" w14:textId="77777777" w:rsidR="00BE50FA" w:rsidRDefault="00BE50FA" w:rsidP="00497401">
      <w:pPr>
        <w:jc w:val="both"/>
        <w:rPr>
          <w:rFonts w:ascii="Times New Roman" w:hAnsi="Times New Roman" w:cs="Times New Roman"/>
          <w:b/>
          <w:color w:val="000000" w:themeColor="text1"/>
          <w:sz w:val="22"/>
          <w:szCs w:val="22"/>
          <w:lang w:val="en-US"/>
        </w:rPr>
      </w:pPr>
    </w:p>
    <w:p w14:paraId="41FEBE99" w14:textId="77777777" w:rsidR="00BE50FA" w:rsidRDefault="00BE50FA" w:rsidP="00497401">
      <w:pPr>
        <w:jc w:val="both"/>
        <w:rPr>
          <w:rFonts w:ascii="Times New Roman" w:hAnsi="Times New Roman" w:cs="Times New Roman"/>
          <w:b/>
          <w:color w:val="000000" w:themeColor="text1"/>
          <w:sz w:val="22"/>
          <w:szCs w:val="22"/>
          <w:lang w:val="en-US"/>
        </w:rPr>
      </w:pPr>
    </w:p>
    <w:p w14:paraId="68E47CF4" w14:textId="77777777" w:rsidR="00BE50FA" w:rsidRDefault="00BE50FA" w:rsidP="00497401">
      <w:pPr>
        <w:jc w:val="both"/>
        <w:rPr>
          <w:rFonts w:ascii="Times New Roman" w:hAnsi="Times New Roman" w:cs="Times New Roman"/>
          <w:b/>
          <w:color w:val="000000" w:themeColor="text1"/>
          <w:sz w:val="22"/>
          <w:szCs w:val="22"/>
          <w:lang w:val="en-US"/>
        </w:rPr>
      </w:pPr>
    </w:p>
    <w:p w14:paraId="6152B7C2" w14:textId="7235D222" w:rsidR="00BE50FA" w:rsidRDefault="00BE50FA">
      <w:pPr>
        <w:rPr>
          <w:rFonts w:ascii="Times New Roman" w:hAnsi="Times New Roman" w:cs="Times New Roman"/>
          <w:b/>
          <w:color w:val="000000" w:themeColor="text1"/>
          <w:sz w:val="22"/>
          <w:szCs w:val="22"/>
          <w:lang w:val="en-US"/>
        </w:rPr>
      </w:pPr>
      <w:r>
        <w:rPr>
          <w:rFonts w:ascii="Times New Roman" w:hAnsi="Times New Roman" w:cs="Times New Roman"/>
          <w:b/>
          <w:color w:val="000000" w:themeColor="text1"/>
          <w:sz w:val="22"/>
          <w:szCs w:val="22"/>
          <w:lang w:val="en-US"/>
        </w:rPr>
        <w:br w:type="page"/>
      </w:r>
    </w:p>
    <w:p w14:paraId="29332A07" w14:textId="6FD3FED0" w:rsidR="00C749B2" w:rsidRPr="008F7A22" w:rsidRDefault="00C749B2" w:rsidP="00C749B2">
      <w:pPr>
        <w:jc w:val="both"/>
        <w:rPr>
          <w:rFonts w:ascii="Times New Roman" w:hAnsi="Times New Roman" w:cs="Times New Roman"/>
          <w:b/>
          <w:sz w:val="22"/>
          <w:szCs w:val="22"/>
          <w:lang w:val="en-US"/>
        </w:rPr>
      </w:pPr>
      <w:r w:rsidRPr="008F7A22">
        <w:rPr>
          <w:rFonts w:ascii="Times New Roman" w:hAnsi="Times New Roman" w:cs="Times New Roman"/>
          <w:b/>
          <w:sz w:val="22"/>
          <w:szCs w:val="22"/>
          <w:lang w:val="en-US"/>
        </w:rPr>
        <w:lastRenderedPageBreak/>
        <w:t xml:space="preserve">Extended Data Figure </w:t>
      </w:r>
      <w:r>
        <w:rPr>
          <w:rFonts w:ascii="Times New Roman" w:hAnsi="Times New Roman" w:cs="Times New Roman"/>
          <w:b/>
          <w:sz w:val="22"/>
          <w:szCs w:val="22"/>
          <w:lang w:val="en-US"/>
        </w:rPr>
        <w:t>8</w:t>
      </w:r>
      <w:r w:rsidRPr="008F7A22">
        <w:rPr>
          <w:rFonts w:ascii="Times New Roman" w:hAnsi="Times New Roman" w:cs="Times New Roman"/>
          <w:b/>
          <w:sz w:val="22"/>
          <w:szCs w:val="22"/>
          <w:lang w:val="en-US"/>
        </w:rPr>
        <w:t>.</w:t>
      </w:r>
    </w:p>
    <w:p w14:paraId="19C36CAA" w14:textId="77777777" w:rsidR="00C749B2" w:rsidRDefault="00C749B2" w:rsidP="00C749B2">
      <w:pPr>
        <w:jc w:val="both"/>
        <w:rPr>
          <w:rFonts w:ascii="Times New Roman" w:hAnsi="Times New Roman" w:cs="Times New Roman"/>
          <w:sz w:val="20"/>
          <w:szCs w:val="20"/>
          <w:lang w:val="en-US"/>
        </w:rPr>
      </w:pPr>
    </w:p>
    <w:p w14:paraId="792C7A8A" w14:textId="77777777" w:rsidR="00C749B2" w:rsidRDefault="00C749B2" w:rsidP="00C749B2">
      <w:pPr>
        <w:jc w:val="both"/>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6C95687B" wp14:editId="3AD61CD0">
            <wp:extent cx="4703617" cy="51269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5">
                      <a:extLst>
                        <a:ext uri="{28A0092B-C50C-407E-A947-70E740481C1C}">
                          <a14:useLocalDpi xmlns:a14="http://schemas.microsoft.com/office/drawing/2010/main" val="0"/>
                        </a:ext>
                      </a:extLst>
                    </a:blip>
                    <a:srcRect l="18287" t="14225" b="16947"/>
                    <a:stretch/>
                  </pic:blipFill>
                  <pic:spPr bwMode="auto">
                    <a:xfrm>
                      <a:off x="0" y="0"/>
                      <a:ext cx="4704164" cy="5127586"/>
                    </a:xfrm>
                    <a:prstGeom prst="rect">
                      <a:avLst/>
                    </a:prstGeom>
                    <a:ln>
                      <a:noFill/>
                    </a:ln>
                    <a:extLst>
                      <a:ext uri="{53640926-AAD7-44D8-BBD7-CCE9431645EC}">
                        <a14:shadowObscured xmlns:a14="http://schemas.microsoft.com/office/drawing/2010/main"/>
                      </a:ext>
                    </a:extLst>
                  </pic:spPr>
                </pic:pic>
              </a:graphicData>
            </a:graphic>
          </wp:inline>
        </w:drawing>
      </w:r>
    </w:p>
    <w:p w14:paraId="3A65F698" w14:textId="77777777" w:rsidR="00C749B2" w:rsidRDefault="00C749B2" w:rsidP="00C749B2">
      <w:pPr>
        <w:jc w:val="both"/>
        <w:rPr>
          <w:rFonts w:ascii="Times New Roman" w:hAnsi="Times New Roman" w:cs="Times New Roman"/>
          <w:sz w:val="20"/>
          <w:szCs w:val="20"/>
          <w:lang w:val="en-US"/>
        </w:rPr>
      </w:pPr>
    </w:p>
    <w:p w14:paraId="74B205CC" w14:textId="01CAB2B0" w:rsidR="00C749B2" w:rsidRDefault="00C749B2" w:rsidP="00C749B2">
      <w:pPr>
        <w:jc w:val="both"/>
        <w:rPr>
          <w:rFonts w:ascii="Times New Roman" w:hAnsi="Times New Roman" w:cs="Times New Roman"/>
          <w:sz w:val="20"/>
          <w:szCs w:val="20"/>
          <w:lang w:val="en-US"/>
        </w:rPr>
      </w:pPr>
      <w:r>
        <w:rPr>
          <w:rFonts w:ascii="Times New Roman" w:hAnsi="Times New Roman" w:cs="Times New Roman"/>
          <w:b/>
          <w:sz w:val="20"/>
          <w:szCs w:val="20"/>
          <w:lang w:val="en-US"/>
        </w:rPr>
        <w:t>Extended Data Fig. 8</w:t>
      </w:r>
      <w:r w:rsidRPr="00F55747">
        <w:rPr>
          <w:rFonts w:ascii="Times New Roman" w:hAnsi="Times New Roman" w:cs="Times New Roman"/>
          <w:b/>
          <w:sz w:val="20"/>
          <w:szCs w:val="20"/>
          <w:lang w:val="en-US"/>
        </w:rPr>
        <w:t xml:space="preserve">. </w:t>
      </w:r>
      <w:r w:rsidRPr="00C95454">
        <w:rPr>
          <w:rFonts w:ascii="Times New Roman" w:hAnsi="Times New Roman" w:cs="Times New Roman"/>
          <w:sz w:val="20"/>
          <w:szCs w:val="20"/>
          <w:lang w:val="en-US"/>
        </w:rPr>
        <w:t>Schematic representation of the implemented random forest (RF)-based machine learning pipeline. For details, see</w:t>
      </w:r>
      <w:r>
        <w:rPr>
          <w:rFonts w:ascii="Times New Roman" w:hAnsi="Times New Roman" w:cs="Times New Roman"/>
          <w:sz w:val="20"/>
          <w:szCs w:val="20"/>
          <w:lang w:val="en-US"/>
        </w:rPr>
        <w:t xml:space="preserve"> Methods</w:t>
      </w:r>
      <w:r w:rsidRPr="00C95454">
        <w:rPr>
          <w:rFonts w:ascii="Times New Roman" w:hAnsi="Times New Roman" w:cs="Times New Roman"/>
          <w:sz w:val="20"/>
          <w:szCs w:val="20"/>
          <w:lang w:val="en-US"/>
        </w:rPr>
        <w:t xml:space="preserve"> section</w:t>
      </w:r>
      <w:r>
        <w:rPr>
          <w:rFonts w:ascii="Times New Roman" w:hAnsi="Times New Roman" w:cs="Times New Roman"/>
          <w:sz w:val="20"/>
          <w:szCs w:val="20"/>
          <w:lang w:val="en-US"/>
        </w:rPr>
        <w:t>.</w:t>
      </w:r>
    </w:p>
    <w:p w14:paraId="15CB4D94" w14:textId="30788C95" w:rsidR="00BE50FA" w:rsidRDefault="00BE50FA" w:rsidP="00497401">
      <w:pPr>
        <w:jc w:val="both"/>
        <w:rPr>
          <w:rFonts w:ascii="Times New Roman" w:hAnsi="Times New Roman" w:cs="Times New Roman"/>
          <w:b/>
          <w:color w:val="000000" w:themeColor="text1"/>
          <w:sz w:val="22"/>
          <w:szCs w:val="22"/>
          <w:lang w:val="en-US"/>
        </w:rPr>
      </w:pPr>
    </w:p>
    <w:p w14:paraId="1BB60600" w14:textId="3110E79F" w:rsidR="00C749B2" w:rsidRDefault="00C749B2" w:rsidP="00497401">
      <w:pPr>
        <w:jc w:val="both"/>
        <w:rPr>
          <w:rFonts w:ascii="Times New Roman" w:hAnsi="Times New Roman" w:cs="Times New Roman"/>
          <w:b/>
          <w:color w:val="000000" w:themeColor="text1"/>
          <w:sz w:val="22"/>
          <w:szCs w:val="22"/>
          <w:lang w:val="en-US"/>
        </w:rPr>
      </w:pPr>
    </w:p>
    <w:p w14:paraId="70928C63" w14:textId="412092B3" w:rsidR="00C749B2" w:rsidRDefault="00C749B2" w:rsidP="00497401">
      <w:pPr>
        <w:jc w:val="both"/>
        <w:rPr>
          <w:rFonts w:ascii="Times New Roman" w:hAnsi="Times New Roman" w:cs="Times New Roman"/>
          <w:b/>
          <w:color w:val="000000" w:themeColor="text1"/>
          <w:sz w:val="22"/>
          <w:szCs w:val="22"/>
          <w:lang w:val="en-US"/>
        </w:rPr>
      </w:pPr>
    </w:p>
    <w:p w14:paraId="19A8A3B0" w14:textId="759C556D" w:rsidR="00C749B2" w:rsidRDefault="00C749B2" w:rsidP="00497401">
      <w:pPr>
        <w:jc w:val="both"/>
        <w:rPr>
          <w:rFonts w:ascii="Times New Roman" w:hAnsi="Times New Roman" w:cs="Times New Roman"/>
          <w:b/>
          <w:color w:val="000000" w:themeColor="text1"/>
          <w:sz w:val="22"/>
          <w:szCs w:val="22"/>
          <w:lang w:val="en-US"/>
        </w:rPr>
      </w:pPr>
    </w:p>
    <w:p w14:paraId="0986232C" w14:textId="7A000A19" w:rsidR="00C749B2" w:rsidRDefault="00C749B2">
      <w:pPr>
        <w:rPr>
          <w:rFonts w:ascii="Times New Roman" w:hAnsi="Times New Roman" w:cs="Times New Roman"/>
          <w:b/>
          <w:color w:val="000000" w:themeColor="text1"/>
          <w:sz w:val="22"/>
          <w:szCs w:val="22"/>
          <w:lang w:val="en-US"/>
        </w:rPr>
      </w:pPr>
      <w:r>
        <w:rPr>
          <w:rFonts w:ascii="Times New Roman" w:hAnsi="Times New Roman" w:cs="Times New Roman"/>
          <w:b/>
          <w:color w:val="000000" w:themeColor="text1"/>
          <w:sz w:val="22"/>
          <w:szCs w:val="22"/>
          <w:lang w:val="en-US"/>
        </w:rPr>
        <w:br w:type="page"/>
      </w:r>
    </w:p>
    <w:p w14:paraId="73050ECF" w14:textId="2AE92927" w:rsidR="0080169C" w:rsidRPr="00C749B2" w:rsidRDefault="00C749B2" w:rsidP="00497401">
      <w:pPr>
        <w:jc w:val="both"/>
        <w:rPr>
          <w:rFonts w:ascii="Times New Roman" w:hAnsi="Times New Roman" w:cs="Times New Roman"/>
          <w:b/>
          <w:sz w:val="22"/>
          <w:szCs w:val="22"/>
          <w:lang w:val="en-US"/>
        </w:rPr>
      </w:pPr>
      <w:r w:rsidRPr="008F7A22">
        <w:rPr>
          <w:rFonts w:ascii="Times New Roman" w:hAnsi="Times New Roman" w:cs="Times New Roman"/>
          <w:b/>
          <w:sz w:val="22"/>
          <w:szCs w:val="22"/>
          <w:lang w:val="en-US"/>
        </w:rPr>
        <w:lastRenderedPageBreak/>
        <w:t xml:space="preserve">Extended Data Figure </w:t>
      </w:r>
      <w:r>
        <w:rPr>
          <w:rFonts w:ascii="Times New Roman" w:hAnsi="Times New Roman" w:cs="Times New Roman"/>
          <w:b/>
          <w:sz w:val="22"/>
          <w:szCs w:val="22"/>
          <w:lang w:val="en-US"/>
        </w:rPr>
        <w:t>9</w:t>
      </w:r>
      <w:r w:rsidRPr="008F7A22">
        <w:rPr>
          <w:rFonts w:ascii="Times New Roman" w:hAnsi="Times New Roman" w:cs="Times New Roman"/>
          <w:b/>
          <w:sz w:val="22"/>
          <w:szCs w:val="22"/>
          <w:lang w:val="en-US"/>
        </w:rPr>
        <w:t>.</w:t>
      </w:r>
    </w:p>
    <w:p w14:paraId="2E1ABE21" w14:textId="695DD6F9" w:rsidR="008D7CE8" w:rsidRDefault="008D7CE8" w:rsidP="00497401">
      <w:pPr>
        <w:jc w:val="both"/>
        <w:rPr>
          <w:rFonts w:ascii="Times New Roman" w:hAnsi="Times New Roman" w:cs="Times New Roman"/>
          <w:sz w:val="20"/>
          <w:szCs w:val="20"/>
          <w:lang w:val="en-US"/>
        </w:rPr>
      </w:pPr>
    </w:p>
    <w:p w14:paraId="45334468" w14:textId="323947AC" w:rsidR="008D7CE8" w:rsidRDefault="008D7CE8" w:rsidP="00497401">
      <w:pPr>
        <w:jc w:val="both"/>
        <w:rPr>
          <w:rFonts w:ascii="Times New Roman" w:hAnsi="Times New Roman" w:cs="Times New Roman"/>
          <w:sz w:val="20"/>
          <w:szCs w:val="20"/>
          <w:lang w:val="en-US"/>
        </w:rPr>
      </w:pPr>
      <w:r w:rsidRPr="008D7CE8">
        <w:rPr>
          <w:rFonts w:ascii="Times New Roman" w:hAnsi="Times New Roman" w:cs="Times New Roman"/>
          <w:noProof/>
          <w:sz w:val="20"/>
          <w:szCs w:val="20"/>
          <w:lang w:val="en-US"/>
        </w:rPr>
        <w:drawing>
          <wp:inline distT="0" distB="0" distL="0" distR="0" wp14:anchorId="5A7F5166" wp14:editId="7F942543">
            <wp:extent cx="4821465" cy="42189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31119" cy="4227362"/>
                    </a:xfrm>
                    <a:prstGeom prst="rect">
                      <a:avLst/>
                    </a:prstGeom>
                  </pic:spPr>
                </pic:pic>
              </a:graphicData>
            </a:graphic>
          </wp:inline>
        </w:drawing>
      </w:r>
    </w:p>
    <w:p w14:paraId="185BB172" w14:textId="10B3106C" w:rsidR="008D7CE8" w:rsidRDefault="008D7CE8" w:rsidP="00497401">
      <w:pPr>
        <w:jc w:val="both"/>
        <w:rPr>
          <w:rFonts w:ascii="Times New Roman" w:hAnsi="Times New Roman" w:cs="Times New Roman"/>
          <w:sz w:val="20"/>
          <w:szCs w:val="20"/>
          <w:lang w:val="en-US"/>
        </w:rPr>
      </w:pPr>
    </w:p>
    <w:p w14:paraId="2EE40FEC" w14:textId="2312B3F8" w:rsidR="008D7CE8" w:rsidRPr="007456D1" w:rsidRDefault="00C749B2" w:rsidP="008D7CE8">
      <w:pPr>
        <w:jc w:val="both"/>
        <w:rPr>
          <w:rFonts w:ascii="Times New Roman" w:hAnsi="Times New Roman" w:cs="Times New Roman"/>
          <w:sz w:val="20"/>
          <w:szCs w:val="20"/>
          <w:lang w:val="en-US"/>
        </w:rPr>
      </w:pPr>
      <w:r>
        <w:rPr>
          <w:rFonts w:ascii="Times New Roman" w:hAnsi="Times New Roman" w:cs="Times New Roman"/>
          <w:b/>
          <w:sz w:val="20"/>
          <w:szCs w:val="20"/>
          <w:lang w:val="en-US"/>
        </w:rPr>
        <w:t>Extended Data Fig. 9</w:t>
      </w:r>
      <w:r w:rsidR="008D7CE8" w:rsidRPr="006705B7">
        <w:rPr>
          <w:rFonts w:ascii="Times New Roman" w:hAnsi="Times New Roman" w:cs="Times New Roman"/>
          <w:b/>
          <w:sz w:val="20"/>
          <w:szCs w:val="20"/>
          <w:lang w:val="en-US"/>
        </w:rPr>
        <w:t>.</w:t>
      </w:r>
      <w:r w:rsidR="008D7CE8">
        <w:rPr>
          <w:rFonts w:ascii="Times New Roman" w:hAnsi="Times New Roman" w:cs="Times New Roman"/>
          <w:sz w:val="20"/>
          <w:szCs w:val="20"/>
          <w:lang w:val="en-US"/>
        </w:rPr>
        <w:t xml:space="preserve"> Co-existing disorders before admission to the hospital, treatments during hospital stay and outcomes in inpatients stratified into the training and validation cohort</w:t>
      </w:r>
      <w:r w:rsidR="00B651C8">
        <w:rPr>
          <w:rFonts w:ascii="Times New Roman" w:hAnsi="Times New Roman" w:cs="Times New Roman"/>
          <w:sz w:val="20"/>
          <w:szCs w:val="20"/>
          <w:lang w:val="en-US"/>
        </w:rPr>
        <w:t xml:space="preserve">; patients from Heidelberg area (Heidelberg University Clinic, University Hospital Mannheim and </w:t>
      </w:r>
      <w:proofErr w:type="spellStart"/>
      <w:r w:rsidR="00B651C8">
        <w:rPr>
          <w:rFonts w:ascii="Times New Roman" w:hAnsi="Times New Roman" w:cs="Times New Roman"/>
          <w:sz w:val="20"/>
          <w:szCs w:val="20"/>
          <w:lang w:val="en-US"/>
        </w:rPr>
        <w:t>Thoraxklinik</w:t>
      </w:r>
      <w:proofErr w:type="spellEnd"/>
      <w:r w:rsidR="00B651C8">
        <w:rPr>
          <w:rFonts w:ascii="Times New Roman" w:hAnsi="Times New Roman" w:cs="Times New Roman"/>
          <w:sz w:val="20"/>
          <w:szCs w:val="20"/>
          <w:lang w:val="en-US"/>
        </w:rPr>
        <w:t xml:space="preserve"> Heidelberg), and patients from the other medical centers grouped into the validation set (University Clinic Regensburg, University Clinic Frankfurt, </w:t>
      </w:r>
      <w:proofErr w:type="spellStart"/>
      <w:r w:rsidR="00B651C8">
        <w:rPr>
          <w:rFonts w:ascii="Times New Roman" w:hAnsi="Times New Roman" w:cs="Times New Roman"/>
          <w:sz w:val="20"/>
          <w:szCs w:val="20"/>
          <w:lang w:val="en-US"/>
        </w:rPr>
        <w:t>Klinikum</w:t>
      </w:r>
      <w:proofErr w:type="spellEnd"/>
      <w:r w:rsidR="00B651C8">
        <w:rPr>
          <w:rFonts w:ascii="Times New Roman" w:hAnsi="Times New Roman" w:cs="Times New Roman"/>
          <w:sz w:val="20"/>
          <w:szCs w:val="20"/>
          <w:lang w:val="en-US"/>
        </w:rPr>
        <w:t xml:space="preserve"> </w:t>
      </w:r>
      <w:proofErr w:type="spellStart"/>
      <w:r w:rsidR="00B651C8">
        <w:rPr>
          <w:rFonts w:ascii="Times New Roman" w:hAnsi="Times New Roman" w:cs="Times New Roman"/>
          <w:sz w:val="20"/>
          <w:szCs w:val="20"/>
          <w:lang w:val="en-US"/>
        </w:rPr>
        <w:t>rechts</w:t>
      </w:r>
      <w:proofErr w:type="spellEnd"/>
      <w:r w:rsidR="00B651C8">
        <w:rPr>
          <w:rFonts w:ascii="Times New Roman" w:hAnsi="Times New Roman" w:cs="Times New Roman"/>
          <w:sz w:val="20"/>
          <w:szCs w:val="20"/>
          <w:lang w:val="en-US"/>
        </w:rPr>
        <w:t xml:space="preserve"> der </w:t>
      </w:r>
      <w:proofErr w:type="spellStart"/>
      <w:r w:rsidR="00B651C8">
        <w:rPr>
          <w:rFonts w:ascii="Times New Roman" w:hAnsi="Times New Roman" w:cs="Times New Roman"/>
          <w:sz w:val="20"/>
          <w:szCs w:val="20"/>
          <w:lang w:val="en-US"/>
        </w:rPr>
        <w:t>Isar</w:t>
      </w:r>
      <w:proofErr w:type="spellEnd"/>
      <w:r w:rsidR="00B651C8">
        <w:rPr>
          <w:rFonts w:ascii="Times New Roman" w:hAnsi="Times New Roman" w:cs="Times New Roman"/>
          <w:sz w:val="20"/>
          <w:szCs w:val="20"/>
          <w:lang w:val="en-US"/>
        </w:rPr>
        <w:t xml:space="preserve"> of Technical University Munich, and University Heart Center Freiburg)</w:t>
      </w:r>
      <w:r w:rsidR="008D7CE8">
        <w:rPr>
          <w:rFonts w:ascii="Times New Roman" w:hAnsi="Times New Roman" w:cs="Times New Roman"/>
          <w:sz w:val="20"/>
          <w:szCs w:val="20"/>
          <w:lang w:val="en-US"/>
        </w:rPr>
        <w:t xml:space="preserve">. The statistical analyses were either performed using the *Fisher’s exact test or the </w:t>
      </w:r>
      <w:r w:rsidR="008D7CE8" w:rsidRPr="00D052B7">
        <w:rPr>
          <w:rFonts w:ascii="Times New Roman" w:hAnsi="Times New Roman" w:cs="Times New Roman"/>
          <w:sz w:val="20"/>
          <w:szCs w:val="20"/>
          <w:vertAlign w:val="superscript"/>
          <w:lang w:val="en-US"/>
        </w:rPr>
        <w:t>#</w:t>
      </w:r>
      <w:r w:rsidR="008D7CE8">
        <w:rPr>
          <w:rFonts w:ascii="Times New Roman" w:hAnsi="Times New Roman" w:cs="Times New Roman"/>
          <w:sz w:val="20"/>
          <w:szCs w:val="20"/>
          <w:lang w:val="en-US"/>
        </w:rPr>
        <w:t>Wilcoxon test.</w:t>
      </w:r>
    </w:p>
    <w:p w14:paraId="5CEFEA40" w14:textId="158E7982" w:rsidR="008D7CE8" w:rsidRDefault="008D7CE8" w:rsidP="00497401">
      <w:pPr>
        <w:jc w:val="both"/>
        <w:rPr>
          <w:rFonts w:ascii="Times New Roman" w:hAnsi="Times New Roman" w:cs="Times New Roman"/>
          <w:sz w:val="20"/>
          <w:szCs w:val="20"/>
          <w:lang w:val="en-US"/>
        </w:rPr>
      </w:pPr>
    </w:p>
    <w:p w14:paraId="15D83CF5" w14:textId="7E43B47C" w:rsidR="00C749B2" w:rsidRDefault="00C749B2">
      <w:pPr>
        <w:rPr>
          <w:rFonts w:ascii="Times New Roman" w:hAnsi="Times New Roman" w:cs="Times New Roman"/>
          <w:sz w:val="20"/>
          <w:szCs w:val="20"/>
          <w:lang w:val="en-US"/>
        </w:rPr>
      </w:pPr>
      <w:r>
        <w:rPr>
          <w:rFonts w:ascii="Times New Roman" w:hAnsi="Times New Roman" w:cs="Times New Roman"/>
          <w:sz w:val="20"/>
          <w:szCs w:val="20"/>
          <w:lang w:val="en-US"/>
        </w:rPr>
        <w:br w:type="page"/>
      </w:r>
    </w:p>
    <w:p w14:paraId="68BD2E41" w14:textId="178972E1" w:rsidR="00C749B2" w:rsidRPr="00C749B2" w:rsidRDefault="00C749B2" w:rsidP="00C749B2">
      <w:pPr>
        <w:jc w:val="both"/>
        <w:rPr>
          <w:rFonts w:ascii="Times New Roman" w:hAnsi="Times New Roman" w:cs="Times New Roman"/>
          <w:b/>
          <w:sz w:val="22"/>
          <w:szCs w:val="22"/>
          <w:lang w:val="en-US"/>
        </w:rPr>
      </w:pPr>
      <w:r w:rsidRPr="008F7A22">
        <w:rPr>
          <w:rFonts w:ascii="Times New Roman" w:hAnsi="Times New Roman" w:cs="Times New Roman"/>
          <w:b/>
          <w:sz w:val="22"/>
          <w:szCs w:val="22"/>
          <w:lang w:val="en-US"/>
        </w:rPr>
        <w:lastRenderedPageBreak/>
        <w:t xml:space="preserve">Extended Data Figure </w:t>
      </w:r>
      <w:r>
        <w:rPr>
          <w:rFonts w:ascii="Times New Roman" w:hAnsi="Times New Roman" w:cs="Times New Roman"/>
          <w:b/>
          <w:sz w:val="22"/>
          <w:szCs w:val="22"/>
          <w:lang w:val="en-US"/>
        </w:rPr>
        <w:t>10</w:t>
      </w:r>
      <w:r w:rsidRPr="008F7A22">
        <w:rPr>
          <w:rFonts w:ascii="Times New Roman" w:hAnsi="Times New Roman" w:cs="Times New Roman"/>
          <w:b/>
          <w:sz w:val="22"/>
          <w:szCs w:val="22"/>
          <w:lang w:val="en-US"/>
        </w:rPr>
        <w:t>.</w:t>
      </w:r>
    </w:p>
    <w:p w14:paraId="31C6C8B7" w14:textId="77777777" w:rsidR="00C749B2" w:rsidRDefault="00C749B2" w:rsidP="00C749B2">
      <w:pPr>
        <w:jc w:val="both"/>
        <w:rPr>
          <w:rFonts w:ascii="Times New Roman" w:hAnsi="Times New Roman" w:cs="Times New Roman"/>
          <w:sz w:val="20"/>
          <w:szCs w:val="20"/>
          <w:lang w:val="en-US"/>
        </w:rPr>
      </w:pPr>
    </w:p>
    <w:p w14:paraId="320EE9D3" w14:textId="77777777" w:rsidR="00C749B2" w:rsidRDefault="00C749B2" w:rsidP="00C749B2">
      <w:pPr>
        <w:jc w:val="both"/>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7A5B2709" wp14:editId="15F56EF8">
            <wp:extent cx="5756910" cy="61392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_SOM_6_110820.png"/>
                    <pic:cNvPicPr/>
                  </pic:nvPicPr>
                  <pic:blipFill rotWithShape="1">
                    <a:blip r:embed="rId17" cstate="print">
                      <a:extLst>
                        <a:ext uri="{28A0092B-C50C-407E-A947-70E740481C1C}">
                          <a14:useLocalDpi xmlns:a14="http://schemas.microsoft.com/office/drawing/2010/main" val="0"/>
                        </a:ext>
                      </a:extLst>
                    </a:blip>
                    <a:srcRect t="2697"/>
                    <a:stretch/>
                  </pic:blipFill>
                  <pic:spPr bwMode="auto">
                    <a:xfrm>
                      <a:off x="0" y="0"/>
                      <a:ext cx="5756910" cy="6139240"/>
                    </a:xfrm>
                    <a:prstGeom prst="rect">
                      <a:avLst/>
                    </a:prstGeom>
                    <a:ln>
                      <a:noFill/>
                    </a:ln>
                    <a:extLst>
                      <a:ext uri="{53640926-AAD7-44D8-BBD7-CCE9431645EC}">
                        <a14:shadowObscured xmlns:a14="http://schemas.microsoft.com/office/drawing/2010/main"/>
                      </a:ext>
                    </a:extLst>
                  </pic:spPr>
                </pic:pic>
              </a:graphicData>
            </a:graphic>
          </wp:inline>
        </w:drawing>
      </w:r>
    </w:p>
    <w:p w14:paraId="012D193A" w14:textId="77777777" w:rsidR="00C749B2" w:rsidRDefault="00C749B2" w:rsidP="00C749B2">
      <w:pPr>
        <w:jc w:val="both"/>
        <w:rPr>
          <w:rFonts w:ascii="Times New Roman" w:hAnsi="Times New Roman" w:cs="Times New Roman"/>
          <w:sz w:val="20"/>
          <w:szCs w:val="20"/>
          <w:lang w:val="en-US"/>
        </w:rPr>
      </w:pPr>
    </w:p>
    <w:p w14:paraId="3A2D63D1" w14:textId="2CF05896" w:rsidR="00C749B2" w:rsidRDefault="00C749B2" w:rsidP="00C749B2">
      <w:pPr>
        <w:jc w:val="both"/>
        <w:rPr>
          <w:rFonts w:ascii="Times New Roman" w:hAnsi="Times New Roman" w:cs="Times New Roman"/>
          <w:sz w:val="20"/>
          <w:szCs w:val="20"/>
          <w:lang w:val="en-US"/>
        </w:rPr>
      </w:pPr>
      <w:r>
        <w:rPr>
          <w:rFonts w:ascii="Times New Roman" w:hAnsi="Times New Roman" w:cs="Times New Roman"/>
          <w:b/>
          <w:sz w:val="20"/>
          <w:szCs w:val="20"/>
          <w:lang w:val="en-US"/>
        </w:rPr>
        <w:t>Extended Data Fig. 10</w:t>
      </w:r>
      <w:r w:rsidRPr="00E052C3">
        <w:rPr>
          <w:rFonts w:ascii="Times New Roman" w:hAnsi="Times New Roman" w:cs="Times New Roman"/>
          <w:b/>
          <w:sz w:val="20"/>
          <w:szCs w:val="20"/>
          <w:lang w:val="en-US"/>
        </w:rPr>
        <w:t>.</w:t>
      </w:r>
      <w:r>
        <w:rPr>
          <w:rFonts w:ascii="Times New Roman" w:hAnsi="Times New Roman" w:cs="Times New Roman"/>
          <w:sz w:val="20"/>
          <w:szCs w:val="20"/>
          <w:lang w:val="en-US"/>
        </w:rPr>
        <w:t xml:space="preserve"> The multi-centric cohort of hospitalized patients with moderate and severe COVID-19 was separated into a training and validation sub-cohort. The training set consisted of patients from Heidelberg area (Heidelberg University Clinic, University Hospital Mannheim and </w:t>
      </w:r>
      <w:proofErr w:type="spellStart"/>
      <w:r>
        <w:rPr>
          <w:rFonts w:ascii="Times New Roman" w:hAnsi="Times New Roman" w:cs="Times New Roman"/>
          <w:sz w:val="20"/>
          <w:szCs w:val="20"/>
          <w:lang w:val="en-US"/>
        </w:rPr>
        <w:t>Thoraxklinik</w:t>
      </w:r>
      <w:proofErr w:type="spellEnd"/>
      <w:r>
        <w:rPr>
          <w:rFonts w:ascii="Times New Roman" w:hAnsi="Times New Roman" w:cs="Times New Roman"/>
          <w:sz w:val="20"/>
          <w:szCs w:val="20"/>
          <w:lang w:val="en-US"/>
        </w:rPr>
        <w:t xml:space="preserve"> Heidelberg; N = 15 moderate, 33 severe cases), and the patients from the other medical centers were grouped into the validation data set (University Clinic Regensburg, University Clinic Frankfurt, </w:t>
      </w:r>
      <w:proofErr w:type="spellStart"/>
      <w:r>
        <w:rPr>
          <w:rFonts w:ascii="Times New Roman" w:hAnsi="Times New Roman" w:cs="Times New Roman"/>
          <w:sz w:val="20"/>
          <w:szCs w:val="20"/>
          <w:lang w:val="en-US"/>
        </w:rPr>
        <w:t>Klinikum</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rechts</w:t>
      </w:r>
      <w:proofErr w:type="spellEnd"/>
      <w:r>
        <w:rPr>
          <w:rFonts w:ascii="Times New Roman" w:hAnsi="Times New Roman" w:cs="Times New Roman"/>
          <w:sz w:val="20"/>
          <w:szCs w:val="20"/>
          <w:lang w:val="en-US"/>
        </w:rPr>
        <w:t xml:space="preserve"> der </w:t>
      </w:r>
      <w:proofErr w:type="spellStart"/>
      <w:r>
        <w:rPr>
          <w:rFonts w:ascii="Times New Roman" w:hAnsi="Times New Roman" w:cs="Times New Roman"/>
          <w:sz w:val="20"/>
          <w:szCs w:val="20"/>
          <w:lang w:val="en-US"/>
        </w:rPr>
        <w:t>Isar</w:t>
      </w:r>
      <w:proofErr w:type="spellEnd"/>
      <w:r>
        <w:rPr>
          <w:rFonts w:ascii="Times New Roman" w:hAnsi="Times New Roman" w:cs="Times New Roman"/>
          <w:sz w:val="20"/>
          <w:szCs w:val="20"/>
          <w:lang w:val="en-US"/>
        </w:rPr>
        <w:t xml:space="preserve"> of Technical University Munich, and University Heart Center Freiburg; N = 12 moderate and 33 severe COVID-19 cases). </w:t>
      </w:r>
      <w:r w:rsidRPr="00686EA9">
        <w:rPr>
          <w:rFonts w:ascii="Times New Roman" w:hAnsi="Times New Roman" w:cs="Times New Roman"/>
          <w:b/>
          <w:sz w:val="20"/>
          <w:szCs w:val="20"/>
          <w:lang w:val="en-US"/>
        </w:rPr>
        <w:t>a</w:t>
      </w:r>
      <w:r>
        <w:rPr>
          <w:rFonts w:ascii="Times New Roman" w:hAnsi="Times New Roman" w:cs="Times New Roman"/>
          <w:sz w:val="20"/>
          <w:szCs w:val="20"/>
          <w:lang w:val="en-US"/>
        </w:rPr>
        <w:t xml:space="preserve">, </w:t>
      </w:r>
      <w:r>
        <w:rPr>
          <w:rFonts w:ascii="Times New Roman" w:eastAsia="Times New Roman" w:hAnsi="Times New Roman" w:cs="Times New Roman"/>
          <w:color w:val="222222"/>
          <w:sz w:val="20"/>
          <w:szCs w:val="20"/>
          <w:shd w:val="clear" w:color="auto" w:fill="FFFFFF"/>
          <w:lang w:val="en-US"/>
        </w:rPr>
        <w:t xml:space="preserve">Normalized confusion matrices for the training cohort depicting the RF’s predictions of the three major clinical outcomes in the training and </w:t>
      </w:r>
      <w:r w:rsidRPr="002728E6">
        <w:rPr>
          <w:rFonts w:ascii="Times New Roman" w:eastAsia="Times New Roman" w:hAnsi="Times New Roman" w:cs="Times New Roman"/>
          <w:b/>
          <w:color w:val="222222"/>
          <w:sz w:val="20"/>
          <w:szCs w:val="20"/>
          <w:shd w:val="clear" w:color="auto" w:fill="FFFFFF"/>
          <w:lang w:val="en-US"/>
        </w:rPr>
        <w:t>b,</w:t>
      </w:r>
      <w:r>
        <w:rPr>
          <w:rFonts w:ascii="Times New Roman" w:eastAsia="Times New Roman" w:hAnsi="Times New Roman" w:cs="Times New Roman"/>
          <w:color w:val="222222"/>
          <w:sz w:val="20"/>
          <w:szCs w:val="20"/>
          <w:shd w:val="clear" w:color="auto" w:fill="FFFFFF"/>
          <w:lang w:val="en-US"/>
        </w:rPr>
        <w:t xml:space="preserve"> the validation cohort; normalized values in the box, and absolute counts are color-coded.</w:t>
      </w:r>
      <w:r>
        <w:rPr>
          <w:rFonts w:ascii="Times New Roman" w:hAnsi="Times New Roman" w:cs="Times New Roman"/>
          <w:sz w:val="20"/>
          <w:szCs w:val="20"/>
          <w:lang w:val="en-US"/>
        </w:rPr>
        <w:t xml:space="preserve"> </w:t>
      </w:r>
      <w:r w:rsidRPr="00686EA9">
        <w:rPr>
          <w:rFonts w:ascii="Times New Roman" w:hAnsi="Times New Roman" w:cs="Times New Roman"/>
          <w:b/>
          <w:sz w:val="20"/>
          <w:szCs w:val="20"/>
          <w:lang w:val="en-US"/>
        </w:rPr>
        <w:t>c</w:t>
      </w:r>
      <w:r>
        <w:rPr>
          <w:rFonts w:ascii="Times New Roman" w:hAnsi="Times New Roman" w:cs="Times New Roman"/>
          <w:sz w:val="20"/>
          <w:szCs w:val="20"/>
          <w:lang w:val="en-US"/>
        </w:rPr>
        <w:t xml:space="preserve">, Shannon index and </w:t>
      </w:r>
      <w:r>
        <w:rPr>
          <w:rFonts w:ascii="Times New Roman" w:hAnsi="Times New Roman" w:cs="Times New Roman"/>
          <w:b/>
          <w:sz w:val="20"/>
          <w:szCs w:val="20"/>
          <w:lang w:val="en-US"/>
        </w:rPr>
        <w:t>d</w:t>
      </w:r>
      <w:r>
        <w:rPr>
          <w:rFonts w:ascii="Times New Roman" w:hAnsi="Times New Roman" w:cs="Times New Roman"/>
          <w:sz w:val="20"/>
          <w:szCs w:val="20"/>
          <w:lang w:val="en-US"/>
        </w:rPr>
        <w:t xml:space="preserve">, dysbiosis index after data stratification into the training and validation cohort; data from healthy controls, patients with URT infections and mild COVID-19 were plotted as reference. </w:t>
      </w:r>
      <w:r>
        <w:rPr>
          <w:rFonts w:ascii="Times New Roman" w:hAnsi="Times New Roman" w:cs="Times New Roman"/>
          <w:b/>
          <w:sz w:val="20"/>
          <w:szCs w:val="20"/>
          <w:lang w:val="en-US"/>
        </w:rPr>
        <w:t>e</w:t>
      </w:r>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PCoAs</w:t>
      </w:r>
      <w:proofErr w:type="spellEnd"/>
      <w:r>
        <w:rPr>
          <w:rFonts w:ascii="Times New Roman" w:hAnsi="Times New Roman" w:cs="Times New Roman"/>
          <w:sz w:val="20"/>
          <w:szCs w:val="20"/>
          <w:lang w:val="en-US"/>
        </w:rPr>
        <w:t xml:space="preserve"> on species composition after stratification plotted against oropharyngeal microbiome of healthy controls, URT infection and mild coronavirus infection. *p&lt;0.05, **p&lt;0.01 (</w:t>
      </w:r>
      <w:r w:rsidR="00904EFF">
        <w:rPr>
          <w:rFonts w:ascii="Times New Roman" w:hAnsi="Times New Roman" w:cs="Times New Roman"/>
          <w:sz w:val="20"/>
          <w:szCs w:val="20"/>
          <w:lang w:val="en-US"/>
        </w:rPr>
        <w:t>Wilc</w:t>
      </w:r>
      <w:bookmarkStart w:id="0" w:name="_GoBack"/>
      <w:bookmarkEnd w:id="0"/>
      <w:r w:rsidR="00904EFF">
        <w:rPr>
          <w:rFonts w:ascii="Times New Roman" w:hAnsi="Times New Roman" w:cs="Times New Roman"/>
          <w:sz w:val="20"/>
          <w:szCs w:val="20"/>
          <w:lang w:val="en-US"/>
        </w:rPr>
        <w:t>oxon</w:t>
      </w:r>
      <w:r>
        <w:rPr>
          <w:rFonts w:ascii="Times New Roman" w:hAnsi="Times New Roman" w:cs="Times New Roman"/>
          <w:sz w:val="20"/>
          <w:szCs w:val="20"/>
          <w:lang w:val="en-US"/>
        </w:rPr>
        <w:t xml:space="preserve"> test).</w:t>
      </w:r>
    </w:p>
    <w:p w14:paraId="066FFB80" w14:textId="77777777" w:rsidR="00C749B2" w:rsidRDefault="00C749B2" w:rsidP="00497401">
      <w:pPr>
        <w:jc w:val="both"/>
        <w:rPr>
          <w:rFonts w:ascii="Times New Roman" w:hAnsi="Times New Roman" w:cs="Times New Roman"/>
          <w:sz w:val="20"/>
          <w:szCs w:val="20"/>
          <w:lang w:val="en-US"/>
        </w:rPr>
      </w:pPr>
    </w:p>
    <w:p w14:paraId="7709A060" w14:textId="40A89FF0" w:rsidR="00285868" w:rsidRDefault="00285868">
      <w:pPr>
        <w:rPr>
          <w:rFonts w:ascii="Times New Roman" w:hAnsi="Times New Roman" w:cs="Times New Roman"/>
          <w:sz w:val="20"/>
          <w:szCs w:val="20"/>
          <w:lang w:val="en-US"/>
        </w:rPr>
      </w:pPr>
      <w:r>
        <w:rPr>
          <w:rFonts w:ascii="Times New Roman" w:hAnsi="Times New Roman" w:cs="Times New Roman"/>
          <w:sz w:val="20"/>
          <w:szCs w:val="20"/>
          <w:lang w:val="en-US"/>
        </w:rPr>
        <w:br w:type="page"/>
      </w:r>
    </w:p>
    <w:p w14:paraId="12C2C407" w14:textId="3AFE378F" w:rsidR="00AE2D18" w:rsidRPr="00C749B2" w:rsidRDefault="00AE2D18" w:rsidP="00AE2D18">
      <w:pPr>
        <w:jc w:val="both"/>
        <w:rPr>
          <w:rFonts w:ascii="Times New Roman" w:hAnsi="Times New Roman" w:cs="Times New Roman"/>
          <w:b/>
          <w:sz w:val="22"/>
          <w:szCs w:val="22"/>
          <w:lang w:val="en-US"/>
        </w:rPr>
      </w:pPr>
      <w:r w:rsidRPr="008F7A22">
        <w:rPr>
          <w:rFonts w:ascii="Times New Roman" w:hAnsi="Times New Roman" w:cs="Times New Roman"/>
          <w:b/>
          <w:sz w:val="22"/>
          <w:szCs w:val="22"/>
          <w:lang w:val="en-US"/>
        </w:rPr>
        <w:lastRenderedPageBreak/>
        <w:t xml:space="preserve">Extended Data Figure </w:t>
      </w:r>
      <w:r>
        <w:rPr>
          <w:rFonts w:ascii="Times New Roman" w:hAnsi="Times New Roman" w:cs="Times New Roman"/>
          <w:b/>
          <w:sz w:val="22"/>
          <w:szCs w:val="22"/>
          <w:lang w:val="en-US"/>
        </w:rPr>
        <w:t>11</w:t>
      </w:r>
      <w:r w:rsidRPr="008F7A22">
        <w:rPr>
          <w:rFonts w:ascii="Times New Roman" w:hAnsi="Times New Roman" w:cs="Times New Roman"/>
          <w:b/>
          <w:sz w:val="22"/>
          <w:szCs w:val="22"/>
          <w:lang w:val="en-US"/>
        </w:rPr>
        <w:t>.</w:t>
      </w:r>
    </w:p>
    <w:p w14:paraId="4B9C785E" w14:textId="4CC28AC2" w:rsidR="00285868" w:rsidRDefault="00285868" w:rsidP="00497401">
      <w:pPr>
        <w:jc w:val="both"/>
        <w:rPr>
          <w:rFonts w:ascii="Times New Roman" w:hAnsi="Times New Roman" w:cs="Times New Roman"/>
          <w:sz w:val="20"/>
          <w:szCs w:val="20"/>
          <w:lang w:val="en-US"/>
        </w:rPr>
      </w:pPr>
    </w:p>
    <w:p w14:paraId="5E5221CC" w14:textId="3F15DF10" w:rsidR="00285868" w:rsidRDefault="00285868" w:rsidP="00497401">
      <w:pPr>
        <w:jc w:val="both"/>
        <w:rPr>
          <w:rFonts w:ascii="Times New Roman" w:hAnsi="Times New Roman" w:cs="Times New Roman"/>
          <w:sz w:val="20"/>
          <w:szCs w:val="20"/>
          <w:lang w:val="en-US"/>
        </w:rPr>
      </w:pPr>
      <w:r w:rsidRPr="00285868">
        <w:rPr>
          <w:rFonts w:ascii="Times New Roman" w:hAnsi="Times New Roman" w:cs="Times New Roman"/>
          <w:noProof/>
          <w:sz w:val="20"/>
          <w:szCs w:val="20"/>
          <w:lang w:val="en-US"/>
        </w:rPr>
        <w:drawing>
          <wp:inline distT="0" distB="0" distL="0" distR="0" wp14:anchorId="451B33D1" wp14:editId="36B5DB2A">
            <wp:extent cx="4427145" cy="176911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10429"/>
                    <a:stretch/>
                  </pic:blipFill>
                  <pic:spPr bwMode="auto">
                    <a:xfrm>
                      <a:off x="0" y="0"/>
                      <a:ext cx="4444622" cy="1776094"/>
                    </a:xfrm>
                    <a:prstGeom prst="rect">
                      <a:avLst/>
                    </a:prstGeom>
                    <a:ln>
                      <a:noFill/>
                    </a:ln>
                    <a:extLst>
                      <a:ext uri="{53640926-AAD7-44D8-BBD7-CCE9431645EC}">
                        <a14:shadowObscured xmlns:a14="http://schemas.microsoft.com/office/drawing/2010/main"/>
                      </a:ext>
                    </a:extLst>
                  </pic:spPr>
                </pic:pic>
              </a:graphicData>
            </a:graphic>
          </wp:inline>
        </w:drawing>
      </w:r>
    </w:p>
    <w:p w14:paraId="09091BDF" w14:textId="3D7F01DE" w:rsidR="00285868" w:rsidRDefault="00285868" w:rsidP="00497401">
      <w:pPr>
        <w:jc w:val="both"/>
        <w:rPr>
          <w:rFonts w:ascii="Times New Roman" w:hAnsi="Times New Roman" w:cs="Times New Roman"/>
          <w:sz w:val="20"/>
          <w:szCs w:val="20"/>
          <w:lang w:val="en-US"/>
        </w:rPr>
      </w:pPr>
    </w:p>
    <w:p w14:paraId="369042FB" w14:textId="15B24521" w:rsidR="00285868" w:rsidRPr="00E928A1" w:rsidRDefault="00AE2D18" w:rsidP="00285868">
      <w:pPr>
        <w:jc w:val="both"/>
        <w:rPr>
          <w:rFonts w:ascii="Times New Roman" w:hAnsi="Times New Roman" w:cs="Times New Roman"/>
          <w:sz w:val="20"/>
          <w:szCs w:val="20"/>
          <w:lang w:val="en-US"/>
        </w:rPr>
      </w:pPr>
      <w:r>
        <w:rPr>
          <w:rFonts w:ascii="Times New Roman" w:hAnsi="Times New Roman" w:cs="Times New Roman"/>
          <w:b/>
          <w:sz w:val="20"/>
          <w:szCs w:val="20"/>
          <w:lang w:val="en-US"/>
        </w:rPr>
        <w:t>Extended Data Fig. 11</w:t>
      </w:r>
      <w:r w:rsidR="00285868" w:rsidRPr="006705B7">
        <w:rPr>
          <w:rFonts w:ascii="Times New Roman" w:hAnsi="Times New Roman" w:cs="Times New Roman"/>
          <w:b/>
          <w:sz w:val="20"/>
          <w:szCs w:val="20"/>
          <w:lang w:val="en-US"/>
        </w:rPr>
        <w:t>.</w:t>
      </w:r>
      <w:r w:rsidR="00285868">
        <w:rPr>
          <w:rFonts w:ascii="Times New Roman" w:hAnsi="Times New Roman" w:cs="Times New Roman"/>
          <w:sz w:val="20"/>
          <w:szCs w:val="20"/>
          <w:lang w:val="en-US"/>
        </w:rPr>
        <w:t xml:space="preserve"> Univariate logistic regression analyses applied on Shannon and dysbiosis indices for the major clinical outcomes ICU admission, mechanical ventilation, ECMO treatment and mortality in hospitalized COVID-19 patients in Heidelberg hospitals (training cohort) and other German hospitals (validation cohort). </w:t>
      </w:r>
      <w:r w:rsidR="00285868" w:rsidRPr="00E928A1">
        <w:rPr>
          <w:rFonts w:ascii="Times New Roman" w:hAnsi="Times New Roman" w:cs="Times New Roman"/>
          <w:sz w:val="20"/>
          <w:szCs w:val="20"/>
          <w:lang w:val="en-US"/>
        </w:rPr>
        <w:t>OR, odds ratio; CI, confidence interval.</w:t>
      </w:r>
    </w:p>
    <w:p w14:paraId="4E4DBE32" w14:textId="5BB09560" w:rsidR="00285868" w:rsidRDefault="00285868" w:rsidP="00497401">
      <w:pPr>
        <w:jc w:val="both"/>
        <w:rPr>
          <w:rFonts w:ascii="Times New Roman" w:hAnsi="Times New Roman" w:cs="Times New Roman"/>
          <w:sz w:val="20"/>
          <w:szCs w:val="20"/>
          <w:lang w:val="en-US"/>
        </w:rPr>
      </w:pPr>
    </w:p>
    <w:p w14:paraId="5F202EE4" w14:textId="70B3C800" w:rsidR="00077B68" w:rsidRDefault="00AE2D18" w:rsidP="00AE2D18">
      <w:pPr>
        <w:rPr>
          <w:rFonts w:ascii="Times New Roman" w:hAnsi="Times New Roman" w:cs="Times New Roman"/>
          <w:sz w:val="20"/>
          <w:szCs w:val="20"/>
          <w:lang w:val="en-US"/>
        </w:rPr>
      </w:pPr>
      <w:r>
        <w:rPr>
          <w:rFonts w:ascii="Times New Roman" w:hAnsi="Times New Roman" w:cs="Times New Roman"/>
          <w:sz w:val="20"/>
          <w:szCs w:val="20"/>
          <w:lang w:val="en-US"/>
        </w:rPr>
        <w:br w:type="page"/>
      </w:r>
    </w:p>
    <w:p w14:paraId="32C04471" w14:textId="680246B0" w:rsidR="00AE2D18" w:rsidRPr="00C749B2" w:rsidRDefault="00AE2D18" w:rsidP="00AE2D18">
      <w:pPr>
        <w:jc w:val="both"/>
        <w:rPr>
          <w:rFonts w:ascii="Times New Roman" w:hAnsi="Times New Roman" w:cs="Times New Roman"/>
          <w:b/>
          <w:sz w:val="22"/>
          <w:szCs w:val="22"/>
          <w:lang w:val="en-US"/>
        </w:rPr>
      </w:pPr>
      <w:r w:rsidRPr="008F7A22">
        <w:rPr>
          <w:rFonts w:ascii="Times New Roman" w:hAnsi="Times New Roman" w:cs="Times New Roman"/>
          <w:b/>
          <w:sz w:val="22"/>
          <w:szCs w:val="22"/>
          <w:lang w:val="en-US"/>
        </w:rPr>
        <w:lastRenderedPageBreak/>
        <w:t xml:space="preserve">Extended Data Figure </w:t>
      </w:r>
      <w:r>
        <w:rPr>
          <w:rFonts w:ascii="Times New Roman" w:hAnsi="Times New Roman" w:cs="Times New Roman"/>
          <w:b/>
          <w:sz w:val="22"/>
          <w:szCs w:val="22"/>
          <w:lang w:val="en-US"/>
        </w:rPr>
        <w:t>12</w:t>
      </w:r>
      <w:r w:rsidRPr="008F7A22">
        <w:rPr>
          <w:rFonts w:ascii="Times New Roman" w:hAnsi="Times New Roman" w:cs="Times New Roman"/>
          <w:b/>
          <w:sz w:val="22"/>
          <w:szCs w:val="22"/>
          <w:lang w:val="en-US"/>
        </w:rPr>
        <w:t>.</w:t>
      </w:r>
    </w:p>
    <w:p w14:paraId="7BA52D98" w14:textId="2EE2FA34" w:rsidR="00285868" w:rsidRDefault="00285868" w:rsidP="00497401">
      <w:pPr>
        <w:jc w:val="both"/>
        <w:rPr>
          <w:rFonts w:ascii="Times New Roman" w:hAnsi="Times New Roman" w:cs="Times New Roman"/>
          <w:sz w:val="20"/>
          <w:szCs w:val="20"/>
          <w:lang w:val="en-US"/>
        </w:rPr>
      </w:pPr>
    </w:p>
    <w:tbl>
      <w:tblPr>
        <w:tblStyle w:val="ListTable6Colorful"/>
        <w:tblW w:w="0" w:type="auto"/>
        <w:tblLayout w:type="fixed"/>
        <w:tblLook w:val="04A0" w:firstRow="1" w:lastRow="0" w:firstColumn="1" w:lastColumn="0" w:noHBand="0" w:noVBand="1"/>
      </w:tblPr>
      <w:tblGrid>
        <w:gridCol w:w="1555"/>
        <w:gridCol w:w="1275"/>
        <w:gridCol w:w="1134"/>
        <w:gridCol w:w="1276"/>
        <w:gridCol w:w="2552"/>
        <w:gridCol w:w="1180"/>
      </w:tblGrid>
      <w:tr w:rsidR="00077B68" w:rsidRPr="009142E7" w14:paraId="107D705D" w14:textId="77777777" w:rsidTr="00D90B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000000" w:themeColor="text1"/>
            </w:tcBorders>
            <w:shd w:val="clear" w:color="auto" w:fill="auto"/>
          </w:tcPr>
          <w:p w14:paraId="4E0CC4CA" w14:textId="77777777" w:rsidR="00077B68" w:rsidRPr="005B27D7" w:rsidRDefault="00077B68" w:rsidP="00D90B12">
            <w:pPr>
              <w:spacing w:before="120" w:after="120" w:line="276" w:lineRule="auto"/>
              <w:jc w:val="center"/>
              <w:rPr>
                <w:rFonts w:ascii="Times New Roman" w:hAnsi="Times New Roman" w:cs="Times New Roman"/>
                <w:sz w:val="20"/>
                <w:szCs w:val="20"/>
                <w:lang w:val="en-US"/>
              </w:rPr>
            </w:pPr>
            <w:r w:rsidRPr="005B27D7">
              <w:rPr>
                <w:rFonts w:ascii="Times New Roman" w:eastAsia="Times New Roman" w:hAnsi="Times New Roman" w:cs="Times New Roman"/>
                <w:color w:val="000000"/>
                <w:sz w:val="20"/>
                <w:szCs w:val="20"/>
              </w:rPr>
              <w:t>Biomarker</w:t>
            </w:r>
          </w:p>
        </w:tc>
        <w:tc>
          <w:tcPr>
            <w:tcW w:w="1275" w:type="dxa"/>
            <w:tcBorders>
              <w:top w:val="single" w:sz="4" w:space="0" w:color="000000" w:themeColor="text1"/>
            </w:tcBorders>
            <w:shd w:val="clear" w:color="auto" w:fill="auto"/>
          </w:tcPr>
          <w:p w14:paraId="5AE6692D" w14:textId="77777777" w:rsidR="00077B68" w:rsidRPr="005B27D7" w:rsidRDefault="00077B68" w:rsidP="00D90B12">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roofErr w:type="spellStart"/>
            <w:r w:rsidRPr="005B27D7">
              <w:rPr>
                <w:rFonts w:ascii="Times New Roman" w:eastAsia="Times New Roman" w:hAnsi="Times New Roman" w:cs="Times New Roman"/>
                <w:color w:val="000000"/>
                <w:sz w:val="20"/>
                <w:szCs w:val="20"/>
              </w:rPr>
              <w:t>Cohort</w:t>
            </w:r>
            <w:proofErr w:type="spellEnd"/>
          </w:p>
        </w:tc>
        <w:tc>
          <w:tcPr>
            <w:tcW w:w="1134" w:type="dxa"/>
            <w:tcBorders>
              <w:top w:val="single" w:sz="4" w:space="0" w:color="000000" w:themeColor="text1"/>
            </w:tcBorders>
            <w:shd w:val="clear" w:color="auto" w:fill="auto"/>
          </w:tcPr>
          <w:p w14:paraId="545DBD7C" w14:textId="77777777" w:rsidR="00077B68" w:rsidRPr="005B27D7" w:rsidRDefault="00077B68" w:rsidP="00D90B12">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5B27D7">
              <w:rPr>
                <w:rFonts w:ascii="Times New Roman" w:eastAsia="Times New Roman" w:hAnsi="Times New Roman" w:cs="Times New Roman"/>
                <w:color w:val="000000"/>
                <w:sz w:val="20"/>
                <w:szCs w:val="20"/>
              </w:rPr>
              <w:t xml:space="preserve">Clinical </w:t>
            </w:r>
            <w:proofErr w:type="spellStart"/>
            <w:r w:rsidRPr="005B27D7">
              <w:rPr>
                <w:rFonts w:ascii="Times New Roman" w:eastAsia="Times New Roman" w:hAnsi="Times New Roman" w:cs="Times New Roman"/>
                <w:color w:val="000000"/>
                <w:sz w:val="20"/>
                <w:szCs w:val="20"/>
              </w:rPr>
              <w:t>outcomes</w:t>
            </w:r>
            <w:proofErr w:type="spellEnd"/>
          </w:p>
        </w:tc>
        <w:tc>
          <w:tcPr>
            <w:tcW w:w="1276" w:type="dxa"/>
            <w:tcBorders>
              <w:top w:val="single" w:sz="4" w:space="0" w:color="000000" w:themeColor="text1"/>
            </w:tcBorders>
            <w:shd w:val="clear" w:color="auto" w:fill="auto"/>
          </w:tcPr>
          <w:p w14:paraId="2B3B2B98" w14:textId="77777777" w:rsidR="00077B68" w:rsidRPr="005B27D7" w:rsidRDefault="00077B68" w:rsidP="00D90B12">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5B27D7">
              <w:rPr>
                <w:rFonts w:ascii="Times New Roman" w:eastAsia="Times New Roman" w:hAnsi="Times New Roman" w:cs="Times New Roman"/>
                <w:color w:val="000000"/>
                <w:sz w:val="20"/>
                <w:szCs w:val="20"/>
              </w:rPr>
              <w:t>Model</w:t>
            </w:r>
          </w:p>
        </w:tc>
        <w:tc>
          <w:tcPr>
            <w:tcW w:w="2552" w:type="dxa"/>
            <w:tcBorders>
              <w:top w:val="single" w:sz="4" w:space="0" w:color="000000" w:themeColor="text1"/>
            </w:tcBorders>
            <w:shd w:val="clear" w:color="auto" w:fill="auto"/>
          </w:tcPr>
          <w:p w14:paraId="18042F20" w14:textId="77777777" w:rsidR="00077B68" w:rsidRPr="005B27D7" w:rsidRDefault="00077B68" w:rsidP="00D90B12">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roofErr w:type="spellStart"/>
            <w:r w:rsidRPr="005B27D7">
              <w:rPr>
                <w:rFonts w:ascii="Times New Roman" w:eastAsia="Times New Roman" w:hAnsi="Times New Roman" w:cs="Times New Roman"/>
                <w:color w:val="000000"/>
                <w:sz w:val="20"/>
                <w:szCs w:val="20"/>
              </w:rPr>
              <w:t>Significant</w:t>
            </w:r>
            <w:proofErr w:type="spellEnd"/>
            <w:r w:rsidRPr="005B27D7">
              <w:rPr>
                <w:rFonts w:ascii="Times New Roman" w:eastAsia="Times New Roman" w:hAnsi="Times New Roman" w:cs="Times New Roman"/>
                <w:color w:val="000000"/>
                <w:sz w:val="20"/>
                <w:szCs w:val="20"/>
              </w:rPr>
              <w:t xml:space="preserve"> </w:t>
            </w:r>
            <w:proofErr w:type="spellStart"/>
            <w:r w:rsidRPr="005B27D7">
              <w:rPr>
                <w:rFonts w:ascii="Times New Roman" w:eastAsia="Times New Roman" w:hAnsi="Times New Roman" w:cs="Times New Roman"/>
                <w:color w:val="000000"/>
                <w:sz w:val="20"/>
                <w:szCs w:val="20"/>
              </w:rPr>
              <w:t>results</w:t>
            </w:r>
            <w:proofErr w:type="spellEnd"/>
          </w:p>
        </w:tc>
        <w:tc>
          <w:tcPr>
            <w:tcW w:w="1180" w:type="dxa"/>
            <w:tcBorders>
              <w:top w:val="single" w:sz="4" w:space="0" w:color="000000" w:themeColor="text1"/>
            </w:tcBorders>
            <w:shd w:val="clear" w:color="auto" w:fill="auto"/>
          </w:tcPr>
          <w:p w14:paraId="7390AE59" w14:textId="77777777" w:rsidR="00077B68" w:rsidRPr="005B27D7" w:rsidRDefault="00077B68" w:rsidP="00D90B12">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5B27D7">
              <w:rPr>
                <w:rFonts w:ascii="Times New Roman" w:eastAsia="Times New Roman" w:hAnsi="Times New Roman" w:cs="Times New Roman"/>
                <w:color w:val="000000"/>
                <w:sz w:val="20"/>
                <w:szCs w:val="20"/>
              </w:rPr>
              <w:t>Reference</w:t>
            </w:r>
          </w:p>
        </w:tc>
      </w:tr>
      <w:tr w:rsidR="00077B68" w:rsidRPr="00361352" w14:paraId="6429C0B6" w14:textId="77777777" w:rsidTr="00D90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374C6625" w14:textId="77777777" w:rsidR="00077B68" w:rsidRPr="00123BC6" w:rsidRDefault="00077B68" w:rsidP="00D90B12">
            <w:pPr>
              <w:spacing w:before="120" w:after="120" w:line="276" w:lineRule="auto"/>
              <w:jc w:val="center"/>
              <w:rPr>
                <w:rFonts w:ascii="Times New Roman" w:hAnsi="Times New Roman" w:cs="Times New Roman"/>
                <w:b w:val="0"/>
                <w:bCs w:val="0"/>
                <w:sz w:val="18"/>
                <w:szCs w:val="18"/>
                <w:lang w:val="en-US"/>
              </w:rPr>
            </w:pPr>
            <w:r w:rsidRPr="00EE42BE">
              <w:rPr>
                <w:rFonts w:ascii="Times New Roman" w:eastAsia="Times New Roman" w:hAnsi="Times New Roman" w:cs="Times New Roman"/>
                <w:b w:val="0"/>
                <w:bCs w:val="0"/>
                <w:color w:val="000000"/>
                <w:sz w:val="18"/>
                <w:szCs w:val="18"/>
                <w:lang w:val="en-US"/>
              </w:rPr>
              <w:t>Lactic dehydrogenase (LDH), lymphocyte counts and C-reactive protein (CRP)</w:t>
            </w:r>
          </w:p>
        </w:tc>
        <w:tc>
          <w:tcPr>
            <w:tcW w:w="1275" w:type="dxa"/>
            <w:shd w:val="clear" w:color="auto" w:fill="auto"/>
          </w:tcPr>
          <w:p w14:paraId="08F7626D" w14:textId="77777777" w:rsidR="00077B68" w:rsidRPr="009142E7" w:rsidRDefault="00077B68" w:rsidP="00D90B12">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EE42BE">
              <w:rPr>
                <w:rFonts w:ascii="Times New Roman" w:eastAsia="Times New Roman" w:hAnsi="Times New Roman" w:cs="Times New Roman"/>
                <w:color w:val="000000"/>
                <w:sz w:val="18"/>
                <w:szCs w:val="18"/>
                <w:lang w:val="en-US"/>
              </w:rPr>
              <w:t>485 patients, region of Wuhan, China</w:t>
            </w:r>
          </w:p>
        </w:tc>
        <w:tc>
          <w:tcPr>
            <w:tcW w:w="1134" w:type="dxa"/>
            <w:shd w:val="clear" w:color="auto" w:fill="auto"/>
          </w:tcPr>
          <w:p w14:paraId="15879FEE" w14:textId="77777777" w:rsidR="00077B68" w:rsidRPr="009142E7" w:rsidRDefault="00077B68" w:rsidP="00D90B12">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9142E7">
              <w:rPr>
                <w:rFonts w:ascii="Times New Roman" w:eastAsia="Times New Roman" w:hAnsi="Times New Roman" w:cs="Times New Roman"/>
                <w:color w:val="000000"/>
                <w:sz w:val="18"/>
                <w:szCs w:val="18"/>
              </w:rPr>
              <w:t xml:space="preserve">COVID-19 </w:t>
            </w:r>
            <w:proofErr w:type="spellStart"/>
            <w:r w:rsidRPr="009142E7">
              <w:rPr>
                <w:rFonts w:ascii="Times New Roman" w:eastAsia="Times New Roman" w:hAnsi="Times New Roman" w:cs="Times New Roman"/>
                <w:color w:val="000000"/>
                <w:sz w:val="18"/>
                <w:szCs w:val="18"/>
              </w:rPr>
              <w:t>severity</w:t>
            </w:r>
            <w:proofErr w:type="spellEnd"/>
          </w:p>
        </w:tc>
        <w:tc>
          <w:tcPr>
            <w:tcW w:w="1276" w:type="dxa"/>
            <w:shd w:val="clear" w:color="auto" w:fill="auto"/>
          </w:tcPr>
          <w:p w14:paraId="0F0F2702" w14:textId="77777777" w:rsidR="00077B68" w:rsidRPr="009142E7" w:rsidRDefault="00077B68" w:rsidP="00D90B12">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EE42BE">
              <w:rPr>
                <w:rFonts w:ascii="Times New Roman" w:eastAsia="Times New Roman" w:hAnsi="Times New Roman" w:cs="Times New Roman"/>
                <w:color w:val="000000"/>
                <w:sz w:val="18"/>
                <w:szCs w:val="18"/>
                <w:lang w:val="en-US"/>
              </w:rPr>
              <w:t xml:space="preserve">Prediction (Multi-tree </w:t>
            </w:r>
            <w:proofErr w:type="spellStart"/>
            <w:r w:rsidRPr="00EE42BE">
              <w:rPr>
                <w:rFonts w:ascii="Times New Roman" w:eastAsia="Times New Roman" w:hAnsi="Times New Roman" w:cs="Times New Roman"/>
                <w:color w:val="000000"/>
                <w:sz w:val="18"/>
                <w:szCs w:val="18"/>
                <w:lang w:val="en-US"/>
              </w:rPr>
              <w:t>XGBoost</w:t>
            </w:r>
            <w:proofErr w:type="spellEnd"/>
            <w:r w:rsidRPr="00EE42BE">
              <w:rPr>
                <w:rFonts w:ascii="Times New Roman" w:eastAsia="Times New Roman" w:hAnsi="Times New Roman" w:cs="Times New Roman"/>
                <w:color w:val="000000"/>
                <w:sz w:val="18"/>
                <w:szCs w:val="18"/>
                <w:lang w:val="en-US"/>
              </w:rPr>
              <w:t xml:space="preserve"> model)</w:t>
            </w:r>
          </w:p>
        </w:tc>
        <w:tc>
          <w:tcPr>
            <w:tcW w:w="2552" w:type="dxa"/>
            <w:shd w:val="clear" w:color="auto" w:fill="auto"/>
          </w:tcPr>
          <w:p w14:paraId="53583E62" w14:textId="77777777" w:rsidR="00077B68" w:rsidRPr="009142E7" w:rsidRDefault="00077B68" w:rsidP="00D90B12">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EE42BE">
              <w:rPr>
                <w:rFonts w:ascii="Times New Roman" w:eastAsia="Times New Roman" w:hAnsi="Times New Roman" w:cs="Times New Roman"/>
                <w:color w:val="000000"/>
                <w:sz w:val="18"/>
                <w:szCs w:val="18"/>
                <w:lang w:val="en-US"/>
              </w:rPr>
              <w:t xml:space="preserve">AUC scores for validation sets for LHD: 0.92; LHD, lymphocyte counts:0. </w:t>
            </w:r>
            <w:r w:rsidRPr="009142E7">
              <w:rPr>
                <w:rFonts w:ascii="Times New Roman" w:eastAsia="Times New Roman" w:hAnsi="Times New Roman" w:cs="Times New Roman"/>
                <w:color w:val="000000"/>
                <w:sz w:val="18"/>
                <w:szCs w:val="18"/>
              </w:rPr>
              <w:t xml:space="preserve">94; LHD, </w:t>
            </w:r>
            <w:proofErr w:type="spellStart"/>
            <w:r w:rsidRPr="009142E7">
              <w:rPr>
                <w:rFonts w:ascii="Times New Roman" w:eastAsia="Times New Roman" w:hAnsi="Times New Roman" w:cs="Times New Roman"/>
                <w:color w:val="000000"/>
                <w:sz w:val="18"/>
                <w:szCs w:val="18"/>
              </w:rPr>
              <w:t>lymphocyte</w:t>
            </w:r>
            <w:proofErr w:type="spellEnd"/>
            <w:r w:rsidRPr="009142E7">
              <w:rPr>
                <w:rFonts w:ascii="Times New Roman" w:eastAsia="Times New Roman" w:hAnsi="Times New Roman" w:cs="Times New Roman"/>
                <w:color w:val="000000"/>
                <w:sz w:val="18"/>
                <w:szCs w:val="18"/>
              </w:rPr>
              <w:t xml:space="preserve"> </w:t>
            </w:r>
            <w:proofErr w:type="spellStart"/>
            <w:r w:rsidRPr="009142E7">
              <w:rPr>
                <w:rFonts w:ascii="Times New Roman" w:eastAsia="Times New Roman" w:hAnsi="Times New Roman" w:cs="Times New Roman"/>
                <w:color w:val="000000"/>
                <w:sz w:val="18"/>
                <w:szCs w:val="18"/>
              </w:rPr>
              <w:t>counts</w:t>
            </w:r>
            <w:proofErr w:type="spellEnd"/>
            <w:r w:rsidRPr="009142E7">
              <w:rPr>
                <w:rFonts w:ascii="Times New Roman" w:eastAsia="Times New Roman" w:hAnsi="Times New Roman" w:cs="Times New Roman"/>
                <w:color w:val="000000"/>
                <w:sz w:val="18"/>
                <w:szCs w:val="18"/>
              </w:rPr>
              <w:t xml:space="preserve"> </w:t>
            </w:r>
            <w:proofErr w:type="spellStart"/>
            <w:r w:rsidRPr="009142E7">
              <w:rPr>
                <w:rFonts w:ascii="Times New Roman" w:eastAsia="Times New Roman" w:hAnsi="Times New Roman" w:cs="Times New Roman"/>
                <w:color w:val="000000"/>
                <w:sz w:val="18"/>
                <w:szCs w:val="18"/>
              </w:rPr>
              <w:t>and</w:t>
            </w:r>
            <w:proofErr w:type="spellEnd"/>
            <w:r w:rsidRPr="009142E7">
              <w:rPr>
                <w:rFonts w:ascii="Times New Roman" w:eastAsia="Times New Roman" w:hAnsi="Times New Roman" w:cs="Times New Roman"/>
                <w:color w:val="000000"/>
                <w:sz w:val="18"/>
                <w:szCs w:val="18"/>
              </w:rPr>
              <w:t xml:space="preserve"> CRP: 0.95</w:t>
            </w:r>
          </w:p>
        </w:tc>
        <w:tc>
          <w:tcPr>
            <w:tcW w:w="1180" w:type="dxa"/>
            <w:shd w:val="clear" w:color="auto" w:fill="auto"/>
          </w:tcPr>
          <w:p w14:paraId="7B5E1A74" w14:textId="77777777" w:rsidR="00077B68" w:rsidRPr="00D74301" w:rsidRDefault="00077B68" w:rsidP="00D90B12">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vertAlign w:val="superscript"/>
                <w:lang w:val="en-US"/>
              </w:rPr>
            </w:pPr>
            <w:r w:rsidRPr="009142E7">
              <w:rPr>
                <w:rFonts w:ascii="Times New Roman" w:eastAsia="Times New Roman" w:hAnsi="Times New Roman" w:cs="Times New Roman"/>
                <w:color w:val="000000"/>
                <w:sz w:val="18"/>
                <w:szCs w:val="18"/>
              </w:rPr>
              <w:t>Yan et al., 2020</w:t>
            </w:r>
            <w:r w:rsidRPr="009142E7">
              <w:rPr>
                <w:rFonts w:ascii="Times New Roman" w:eastAsia="Times New Roman" w:hAnsi="Times New Roman" w:cs="Times New Roman"/>
                <w:color w:val="000000"/>
                <w:sz w:val="18"/>
                <w:szCs w:val="18"/>
                <w:lang w:val="en-US"/>
              </w:rPr>
              <w:t xml:space="preserve"> </w:t>
            </w:r>
            <w:r>
              <w:rPr>
                <w:rFonts w:ascii="Times New Roman" w:eastAsia="Times New Roman" w:hAnsi="Times New Roman" w:cs="Times New Roman"/>
                <w:color w:val="000000"/>
                <w:sz w:val="18"/>
                <w:szCs w:val="18"/>
                <w:lang w:val="en-US"/>
              </w:rPr>
              <w:fldChar w:fldCharType="begin" w:fldLock="1"/>
            </w:r>
            <w:r>
              <w:rPr>
                <w:rFonts w:ascii="Times New Roman" w:eastAsia="Times New Roman" w:hAnsi="Times New Roman" w:cs="Times New Roman"/>
                <w:color w:val="000000"/>
                <w:sz w:val="18"/>
                <w:szCs w:val="18"/>
                <w:lang w:val="en-US"/>
              </w:rPr>
              <w:instrText>ADDIN CSL_CITATION {"citationItems":[{"id":"ITEM-1","itemData":{"DOI":"10.1038/s42256-020-0180-7","ISBN":"4225602001","ISSN":"2522-5839","abstract":"The sudden increase in COVID-19 cases is putting high pressure on healthcare services worldwide. At this stage, fast, accurate and early clinical assessment of the disease severity is vital. To support decision making and logistical planning in healthcare systems, this study leverages a database of blood samples from 485 infected patients in the region of Wuhan, China, to identify crucial predictive biomarkers of disease mortality. For this purpose, machine learning tools selected three biomarkers that predict the mortality of individual patients more than 10 days in advance with more than 90% accuracy: lactic dehydrogenase (LDH), lymphocyte and high-sensitivity C-reactive protein (hs-CRP). In particular, relatively high levels of LDH alone seem to play a crucial role in distinguishing the vast majority of cases that require immediate medical attention. This finding is consistent with current medical knowledge that high LDH levels are associated with tissue breakdown occurring in various diseases, including pulmonary disorders such as pneumonia. Overall, this Article suggests a simple and operable decision rule to quickly predict patients at the highest risk, allowing them to be prioritized and potentially reducing the mortality rate.","author":[{"dropping-particle":"","family":"Yan","given":"Li","non-dropping-particle":"","parse-names":false,"suffix":""},{"dropping-particle":"","family":"Zhang","given":"Hai-Tao","non-dropping-particle":"","parse-names":false,"suffix":""},{"dropping-particle":"","family":"Goncalves","given":"Jorge","non-dropping-particle":"","parse-names":false,"suffix":""},{"dropping-particle":"","family":"Xiao","given":"Yang","non-dropping-particle":"","parse-names":false,"suffix":""},{"dropping-particle":"","family":"Wang","given":"Maolin","non-dropping-particle":"","parse-names":false,"suffix":""},{"dropping-particle":"","family":"Guo","given":"Yuqi","non-dropping-particle":"","parse-names":false,"suffix":""},{"dropping-particle":"","family":"Sun","given":"Chuan","non-dropping-particle":"","parse-names":false,"suffix":""},{"dropping-particle":"","family":"Tang","given":"Xiuchuan","non-dropping-particle":"","parse-names":false,"suffix":""},{"dropping-particle":"","family":"Jing","given":"Liang","non-dropping-particle":"","parse-names":false,"suffix":""},{"dropping-particle":"","family":"Zhang","given":"Mingyang","non-dropping-particle":"","parse-names":false,"suffix":""},{"dropping-particle":"","family":"Huang","given":"Xiang","non-dropping-particle":"","parse-names":false,"suffix":""},{"dropping-particle":"","family":"Xiao","given":"Ying","non-dropping-particle":"","parse-names":false,"suffix":""},{"dropping-particle":"","family":"Cao","given":"Haosen","non-dropping-particle":"","parse-names":false,"suffix":""},{"dropping-particle":"","family":"Chen","given":"Yanyan","non-dropping-particle":"","parse-names":false,"suffix":""},{"dropping-particle":"","family":"Ren","given":"Tongxin","non-dropping-particle":"","parse-names":false,"suffix":""},{"dropping-particle":"","family":"Wang","given":"Fang","non-dropping-particle":"","parse-names":false,"suffix":""},{"dropping-particle":"","family":"Xiao","given":"Yaru","non-dropping-particle":"","parse-names":false,"suffix":""},{"dropping-particle":"","family":"Huang","given":"Sufang","non-dropping-particle":"","parse-names":false,"suffix":""},{"dropping-particle":"","family":"Tan","given":"Xi","non-dropping-particle":"","parse-names":false,"suffix":""},{"dropping-particle":"","family":"Huang","given":"Niannian","non-dropping-particle":"","parse-names":false,"suffix":""},{"dropping-particle":"","family":"Jiao","given":"Bo","non-dropping-particle":"","parse-names":false,"suffix":""},{"dropping-particle":"","family":"Cheng","given":"Cheng","non-dropping-particle":"","parse-names":false,"suffix":""},{"dropping-particle":"","family":"Zhang","given":"Yong","non-dropping-particle":"","parse-names":false,"suffix":""},{"dropping-particle":"","family":"Luo","given":"Ailin","non-dropping-particle":"","parse-names":false,"suffix":""},{"dropping-particle":"","family":"Mombaerts","given":"Laurent","non-dropping-particle":"","parse-names":false,"suffix":""},{"dropping-particle":"","family":"Jin","given":"Junyang","non-dropping-particle":"","parse-names":false,"suffix":""},{"dropping-particle":"","family":"Cao","given":"Zhiguo","non-dropping-particle":"","parse-names":false,"suffix":""},{"dropping-particle":"","family":"Li","given":"Shusheng","non-dropping-particle":"","parse-names":false,"suffix":""},{"dropping-particle":"","family":"Xu","given":"Hui","non-dropping-particle":"","parse-names":false,"suffix":""},{"dropping-particle":"","family":"Yuan","given":"Ye","non-dropping-particle":"","parse-names":false,"suffix":""}],"container-title":"Nature Machine Intelligence","id":"ITEM-1","issue":"5","issued":{"date-parts":[["2020"]]},"page":"283-288","publisher":"Springer US","title":"An interpretable mortality prediction model for COVID-19 patients","type":"article-journal","volume":"2"},"uris":["http://www.mendeley.com/documents/?uuid=017541ad-c324-4c63-9b1d-1afde34ab869"]}],"mendeley":{"formattedCitation":"&lt;sup&gt;1&lt;/sup&gt;","plainTextFormattedCitation":"1","previouslyFormattedCitation":"&lt;sup&gt;1&lt;/sup&gt;"},"properties":{"noteIndex":0},"schema":"https://github.com/citation-style-language/schema/raw/master/csl-citation.json"}</w:instrText>
            </w:r>
            <w:r>
              <w:rPr>
                <w:rFonts w:ascii="Times New Roman" w:eastAsia="Times New Roman" w:hAnsi="Times New Roman" w:cs="Times New Roman"/>
                <w:color w:val="000000"/>
                <w:sz w:val="18"/>
                <w:szCs w:val="18"/>
                <w:lang w:val="en-US"/>
              </w:rPr>
              <w:fldChar w:fldCharType="separate"/>
            </w:r>
            <w:r w:rsidRPr="001D3AC3">
              <w:rPr>
                <w:rFonts w:ascii="Times New Roman" w:eastAsia="Times New Roman" w:hAnsi="Times New Roman" w:cs="Times New Roman"/>
                <w:noProof/>
                <w:color w:val="000000"/>
                <w:sz w:val="18"/>
                <w:szCs w:val="18"/>
                <w:vertAlign w:val="superscript"/>
                <w:lang w:val="en-US"/>
              </w:rPr>
              <w:t>1</w:t>
            </w:r>
            <w:r>
              <w:rPr>
                <w:rFonts w:ascii="Times New Roman" w:eastAsia="Times New Roman" w:hAnsi="Times New Roman" w:cs="Times New Roman"/>
                <w:color w:val="000000"/>
                <w:sz w:val="18"/>
                <w:szCs w:val="18"/>
                <w:lang w:val="en-US"/>
              </w:rPr>
              <w:fldChar w:fldCharType="end"/>
            </w:r>
          </w:p>
        </w:tc>
      </w:tr>
      <w:tr w:rsidR="00077B68" w:rsidRPr="00361352" w14:paraId="66F266CB" w14:textId="77777777" w:rsidTr="00D90B12">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30D2E79A" w14:textId="77777777" w:rsidR="00077B68" w:rsidRPr="00123BC6" w:rsidRDefault="00077B68" w:rsidP="00D90B12">
            <w:pPr>
              <w:spacing w:before="120" w:after="120" w:line="276" w:lineRule="auto"/>
              <w:jc w:val="center"/>
              <w:rPr>
                <w:rFonts w:ascii="Times New Roman" w:hAnsi="Times New Roman" w:cs="Times New Roman"/>
                <w:b w:val="0"/>
                <w:bCs w:val="0"/>
                <w:sz w:val="18"/>
                <w:szCs w:val="18"/>
                <w:lang w:val="en-US"/>
              </w:rPr>
            </w:pPr>
            <w:r w:rsidRPr="00EE42BE">
              <w:rPr>
                <w:rFonts w:ascii="Times New Roman" w:eastAsia="Times New Roman" w:hAnsi="Times New Roman" w:cs="Times New Roman"/>
                <w:b w:val="0"/>
                <w:bCs w:val="0"/>
                <w:color w:val="000000"/>
                <w:sz w:val="18"/>
                <w:szCs w:val="18"/>
                <w:lang w:val="en-US"/>
              </w:rPr>
              <w:t>HNC-LL score (hypertension, neutrophil counts, CRP, lymphocyte counts, and LDH)</w:t>
            </w:r>
          </w:p>
        </w:tc>
        <w:tc>
          <w:tcPr>
            <w:tcW w:w="1275" w:type="dxa"/>
            <w:shd w:val="clear" w:color="auto" w:fill="auto"/>
          </w:tcPr>
          <w:p w14:paraId="260BBE7D" w14:textId="77777777" w:rsidR="00077B68" w:rsidRPr="009142E7" w:rsidRDefault="00077B68" w:rsidP="00D90B1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EE42BE">
              <w:rPr>
                <w:rFonts w:ascii="Times New Roman" w:eastAsia="Times New Roman" w:hAnsi="Times New Roman" w:cs="Times New Roman"/>
                <w:color w:val="000000"/>
                <w:sz w:val="18"/>
                <w:szCs w:val="18"/>
                <w:lang w:val="en-US"/>
              </w:rPr>
              <w:t xml:space="preserve">442 patients, region from </w:t>
            </w:r>
            <w:proofErr w:type="spellStart"/>
            <w:r w:rsidRPr="00EE42BE">
              <w:rPr>
                <w:rFonts w:ascii="Times New Roman" w:eastAsia="Times New Roman" w:hAnsi="Times New Roman" w:cs="Times New Roman"/>
                <w:color w:val="000000"/>
                <w:sz w:val="18"/>
                <w:szCs w:val="18"/>
                <w:lang w:val="en-US"/>
              </w:rPr>
              <w:t>Honghu</w:t>
            </w:r>
            <w:proofErr w:type="spellEnd"/>
            <w:r w:rsidRPr="00EE42BE">
              <w:rPr>
                <w:rFonts w:ascii="Times New Roman" w:eastAsia="Times New Roman" w:hAnsi="Times New Roman" w:cs="Times New Roman"/>
                <w:color w:val="000000"/>
                <w:sz w:val="18"/>
                <w:szCs w:val="18"/>
                <w:lang w:val="en-US"/>
              </w:rPr>
              <w:t xml:space="preserve"> and Nanchang, China</w:t>
            </w:r>
          </w:p>
        </w:tc>
        <w:tc>
          <w:tcPr>
            <w:tcW w:w="1134" w:type="dxa"/>
            <w:shd w:val="clear" w:color="auto" w:fill="auto"/>
          </w:tcPr>
          <w:p w14:paraId="2B977616" w14:textId="77777777" w:rsidR="00077B68" w:rsidRPr="009142E7" w:rsidRDefault="00077B68" w:rsidP="00D90B1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EE42BE">
              <w:rPr>
                <w:rFonts w:ascii="Times New Roman" w:eastAsia="Times New Roman" w:hAnsi="Times New Roman" w:cs="Times New Roman"/>
                <w:color w:val="000000"/>
                <w:sz w:val="18"/>
                <w:szCs w:val="18"/>
                <w:lang w:val="en-US"/>
              </w:rPr>
              <w:t>COVID-19 severity</w:t>
            </w:r>
          </w:p>
        </w:tc>
        <w:tc>
          <w:tcPr>
            <w:tcW w:w="1276" w:type="dxa"/>
            <w:shd w:val="clear" w:color="auto" w:fill="auto"/>
          </w:tcPr>
          <w:p w14:paraId="6C99F811" w14:textId="77777777" w:rsidR="00077B68" w:rsidRPr="009142E7" w:rsidRDefault="00077B68" w:rsidP="00D90B1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EE42BE">
              <w:rPr>
                <w:rFonts w:ascii="Times New Roman" w:eastAsia="Times New Roman" w:hAnsi="Times New Roman" w:cs="Times New Roman"/>
                <w:color w:val="000000"/>
                <w:sz w:val="18"/>
                <w:szCs w:val="18"/>
                <w:lang w:val="en-US"/>
              </w:rPr>
              <w:t>Prediction model (multivariate analyses)</w:t>
            </w:r>
          </w:p>
        </w:tc>
        <w:tc>
          <w:tcPr>
            <w:tcW w:w="2552" w:type="dxa"/>
            <w:shd w:val="clear" w:color="auto" w:fill="auto"/>
          </w:tcPr>
          <w:p w14:paraId="69CE885A" w14:textId="77777777" w:rsidR="00077B68" w:rsidRPr="009142E7" w:rsidRDefault="00077B68" w:rsidP="00D90B1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EE42BE">
              <w:rPr>
                <w:rFonts w:ascii="Times New Roman" w:eastAsia="Times New Roman" w:hAnsi="Times New Roman" w:cs="Times New Roman"/>
                <w:color w:val="000000"/>
                <w:sz w:val="18"/>
                <w:szCs w:val="18"/>
                <w:lang w:val="en-US"/>
              </w:rPr>
              <w:t>Lymphocyte counts (&lt;1.1 x 10</w:t>
            </w:r>
            <w:r w:rsidRPr="00EE42BE">
              <w:rPr>
                <w:rFonts w:ascii="Times New Roman" w:eastAsia="Times New Roman" w:hAnsi="Times New Roman" w:cs="Times New Roman"/>
                <w:color w:val="000000"/>
                <w:sz w:val="18"/>
                <w:szCs w:val="18"/>
                <w:vertAlign w:val="superscript"/>
                <w:lang w:val="en-US"/>
              </w:rPr>
              <w:t>9</w:t>
            </w:r>
            <w:r w:rsidRPr="00EE42BE">
              <w:rPr>
                <w:rFonts w:ascii="Times New Roman" w:eastAsia="Times New Roman" w:hAnsi="Times New Roman" w:cs="Times New Roman"/>
                <w:color w:val="000000"/>
                <w:sz w:val="18"/>
                <w:szCs w:val="18"/>
                <w:lang w:val="en-US"/>
              </w:rPr>
              <w:t>/L): OR=0.290; neutrophil counts (&gt;6.3 x 10</w:t>
            </w:r>
            <w:r w:rsidRPr="00EE42BE">
              <w:rPr>
                <w:rFonts w:ascii="Times New Roman" w:eastAsia="Times New Roman" w:hAnsi="Times New Roman" w:cs="Times New Roman"/>
                <w:color w:val="000000"/>
                <w:sz w:val="18"/>
                <w:szCs w:val="18"/>
                <w:vertAlign w:val="superscript"/>
                <w:lang w:val="en-US"/>
              </w:rPr>
              <w:t>9</w:t>
            </w:r>
            <w:r w:rsidRPr="00EE42BE">
              <w:rPr>
                <w:rFonts w:ascii="Times New Roman" w:eastAsia="Times New Roman" w:hAnsi="Times New Roman" w:cs="Times New Roman"/>
                <w:color w:val="000000"/>
                <w:sz w:val="18"/>
                <w:szCs w:val="18"/>
                <w:lang w:val="en-US"/>
              </w:rPr>
              <w:t>/L): OR=2.815; LDH (&gt;245 U/L): OR=2.903; CRP (≥10 mg/L): OR=4.133</w:t>
            </w:r>
          </w:p>
        </w:tc>
        <w:tc>
          <w:tcPr>
            <w:tcW w:w="1180" w:type="dxa"/>
            <w:shd w:val="clear" w:color="auto" w:fill="auto"/>
          </w:tcPr>
          <w:p w14:paraId="3351DF5B" w14:textId="77777777" w:rsidR="00077B68" w:rsidRPr="001D3AC3" w:rsidRDefault="00077B68" w:rsidP="00D90B1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vertAlign w:val="superscript"/>
                <w:lang w:val="en-US"/>
              </w:rPr>
            </w:pPr>
            <w:r w:rsidRPr="00EE42BE">
              <w:rPr>
                <w:rFonts w:ascii="Times New Roman" w:eastAsia="Times New Roman" w:hAnsi="Times New Roman" w:cs="Times New Roman"/>
                <w:color w:val="000000"/>
                <w:sz w:val="18"/>
                <w:szCs w:val="18"/>
                <w:lang w:val="en-US"/>
              </w:rPr>
              <w:t>Xiao et al., 2020</w:t>
            </w:r>
            <w:r w:rsidRPr="001D3AC3">
              <w:rPr>
                <w:rFonts w:ascii="Times New Roman" w:eastAsia="Times New Roman" w:hAnsi="Times New Roman" w:cs="Times New Roman"/>
                <w:color w:val="000000"/>
                <w:sz w:val="18"/>
                <w:szCs w:val="18"/>
                <w:lang w:val="en-US"/>
              </w:rPr>
              <w:t xml:space="preserve"> </w:t>
            </w:r>
            <w:r>
              <w:rPr>
                <w:rFonts w:ascii="Times New Roman" w:eastAsia="Times New Roman" w:hAnsi="Times New Roman" w:cs="Times New Roman"/>
                <w:color w:val="000000"/>
                <w:sz w:val="18"/>
                <w:szCs w:val="18"/>
                <w:lang w:val="en-US"/>
              </w:rPr>
              <w:fldChar w:fldCharType="begin" w:fldLock="1"/>
            </w:r>
            <w:r>
              <w:rPr>
                <w:rFonts w:ascii="Times New Roman" w:eastAsia="Times New Roman" w:hAnsi="Times New Roman" w:cs="Times New Roman"/>
                <w:color w:val="000000"/>
                <w:sz w:val="18"/>
                <w:szCs w:val="18"/>
                <w:lang w:val="en-US"/>
              </w:rPr>
              <w:instrText>ADDIN CSL_CITATION {"citationItems":[{"id":"ITEM-1","itemData":{"DOI":"10.1016/j.ebiom.2020.102880","ISSN":"23523964","PMID":"32645614","abstract":"Background: Information regarding risk factors associated with severe coronavirus disease (COVID-19) is limited. This study aimed to develop a model for predicting COVID-19 severity. Methods: Overall, 690 patients with confirmed COVID-19 were recruited between 1 January and 18 March 2020 from hospitals in Honghu and Nanchang; finally, 442 patients were assessed. Data were categorised into the training and test sets to develop and validate the model, respectively. Findings: A predictive HNC-LL (Hypertension, Neutrophil count, C-reactive protein, Lymphocyte count, Lactate dehydrogenase) score was established using multivariate logistic regression analysis. The HNC-LL score accurately predicted disease severity in the Honghu training cohort (area under the curve [AUC]=0.861, 95% confidence interval [CI]: 0.800–0.922; P&lt;0.001); Honghu internal validation cohort (AUC=0.871, 95% CI: 0.769–0.972; P&lt;0.001); and Nanchang external validation cohort (AUC=0.826, 95% CI: 0.746–0.907; P&lt;0.001) and outperformed other models, including CURB-65 (confusion, uraemia, respiratory rate, BP, age ≥65 years) score model, MuLBSTA (multilobular infiltration, hypo-lymphocytosis, bacterial coinfection, smoking history, hypertension, and age) score model, and neutrophil-to-lymphocyte ratio model. The clinical significance of HNC-LL in accurately predicting the risk of future development of severe COVID-19 was confirmed. Interpretation: We developed an accurate tool for predicting disease severity among COVID-19 patients. This model can potentially be used to identify patients at risks of developing severe disease in the early stage and therefore guide treatment decisions. Funding: This work was supported by the National Nature Science Foundation of China (grant no. 81972897) and Guangdong Province Universities and Colleges Pearl River Scholar Funded Scheme (2015).","author":[{"dropping-particle":"","family":"Xiao","given":"Lu shan","non-dropping-particle":"","parse-names":false,"suffix":""},{"dropping-particle":"","family":"Zhang","given":"Wen Feng","non-dropping-particle":"","parse-names":false,"suffix":""},{"dropping-particle":"","family":"Gong","given":"Meng chun","non-dropping-particle":"","parse-names":false,"suffix":""},{"dropping-particle":"","family":"Zhang","given":"Yan pei","non-dropping-particle":"","parse-names":false,"suffix":""},{"dropping-particle":"","family":"Chen","given":"Li ya","non-dropping-particle":"","parse-names":false,"suffix":""},{"dropping-particle":"","family":"Zhu","given":"Hong bo","non-dropping-particle":"","parse-names":false,"suffix":""},{"dropping-particle":"","family":"Hu","given":"Chen yi","non-dropping-particle":"","parse-names":false,"suffix":""},{"dropping-particle":"","family":"Kang","given":"Pei","non-dropping-particle":"","parse-names":false,"suffix":""},{"dropping-particle":"","family":"Liu","given":"Li","non-dropping-particle":"","parse-names":false,"suffix":""},{"dropping-particle":"","family":"Zhu","given":"Hong","non-dropping-particle":"","parse-names":false,"suffix":""}],"container-title":"EBioMedicine","id":"ITEM-1","issued":{"date-parts":[["2020"]]},"page":"102880","publisher":"Elsevier B.V.","title":"Development and validation of the HNC-LL score for predicting the severity of coronavirus disease 2019","type":"article-journal","volume":"57"},"uris":["http://www.mendeley.com/documents/?uuid=1d27bdde-0a7f-482b-abbe-ca50f4f6fdb7"]}],"mendeley":{"formattedCitation":"&lt;sup&gt;2&lt;/sup&gt;","plainTextFormattedCitation":"2","previouslyFormattedCitation":"&lt;sup&gt;2&lt;/sup&gt;"},"properties":{"noteIndex":0},"schema":"https://github.com/citation-style-language/schema/raw/master/csl-citation.json"}</w:instrText>
            </w:r>
            <w:r>
              <w:rPr>
                <w:rFonts w:ascii="Times New Roman" w:eastAsia="Times New Roman" w:hAnsi="Times New Roman" w:cs="Times New Roman"/>
                <w:color w:val="000000"/>
                <w:sz w:val="18"/>
                <w:szCs w:val="18"/>
                <w:lang w:val="en-US"/>
              </w:rPr>
              <w:fldChar w:fldCharType="separate"/>
            </w:r>
            <w:r w:rsidRPr="001D3AC3">
              <w:rPr>
                <w:rFonts w:ascii="Times New Roman" w:eastAsia="Times New Roman" w:hAnsi="Times New Roman" w:cs="Times New Roman"/>
                <w:noProof/>
                <w:color w:val="000000"/>
                <w:sz w:val="18"/>
                <w:szCs w:val="18"/>
                <w:vertAlign w:val="superscript"/>
                <w:lang w:val="en-US"/>
              </w:rPr>
              <w:t>2</w:t>
            </w:r>
            <w:r>
              <w:rPr>
                <w:rFonts w:ascii="Times New Roman" w:eastAsia="Times New Roman" w:hAnsi="Times New Roman" w:cs="Times New Roman"/>
                <w:color w:val="000000"/>
                <w:sz w:val="18"/>
                <w:szCs w:val="18"/>
                <w:lang w:val="en-US"/>
              </w:rPr>
              <w:fldChar w:fldCharType="end"/>
            </w:r>
          </w:p>
        </w:tc>
      </w:tr>
      <w:tr w:rsidR="00077B68" w:rsidRPr="00361352" w14:paraId="3E0B0AC6" w14:textId="77777777" w:rsidTr="00D90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7C5E778C" w14:textId="77777777" w:rsidR="00077B68" w:rsidRPr="00123BC6" w:rsidRDefault="00077B68" w:rsidP="00D90B12">
            <w:pPr>
              <w:spacing w:before="120" w:after="120" w:line="276" w:lineRule="auto"/>
              <w:jc w:val="center"/>
              <w:rPr>
                <w:rFonts w:ascii="Times New Roman" w:hAnsi="Times New Roman" w:cs="Times New Roman"/>
                <w:b w:val="0"/>
                <w:bCs w:val="0"/>
                <w:sz w:val="18"/>
                <w:szCs w:val="18"/>
                <w:lang w:val="en-US"/>
              </w:rPr>
            </w:pPr>
            <w:r w:rsidRPr="00EE42BE">
              <w:rPr>
                <w:rFonts w:ascii="Times New Roman" w:eastAsia="Times New Roman" w:hAnsi="Times New Roman" w:cs="Times New Roman"/>
                <w:b w:val="0"/>
                <w:bCs w:val="0"/>
                <w:color w:val="000000"/>
                <w:sz w:val="18"/>
                <w:szCs w:val="18"/>
                <w:lang w:val="en-US"/>
              </w:rPr>
              <w:t>Lymphocytes counts, procalcitonin (PCT), D-dimer, and CRP</w:t>
            </w:r>
          </w:p>
        </w:tc>
        <w:tc>
          <w:tcPr>
            <w:tcW w:w="1275" w:type="dxa"/>
            <w:shd w:val="clear" w:color="auto" w:fill="auto"/>
          </w:tcPr>
          <w:p w14:paraId="4F1D3516" w14:textId="77777777" w:rsidR="00077B68" w:rsidRPr="009142E7" w:rsidRDefault="00077B68" w:rsidP="00D90B12">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EE42BE">
              <w:rPr>
                <w:rFonts w:ascii="Times New Roman" w:eastAsia="Times New Roman" w:hAnsi="Times New Roman" w:cs="Times New Roman"/>
                <w:color w:val="000000"/>
                <w:sz w:val="18"/>
                <w:szCs w:val="18"/>
                <w:lang w:val="en-US"/>
              </w:rPr>
              <w:t xml:space="preserve">452 patients from </w:t>
            </w:r>
            <w:proofErr w:type="spellStart"/>
            <w:r w:rsidRPr="00EE42BE">
              <w:rPr>
                <w:rFonts w:ascii="Times New Roman" w:eastAsia="Times New Roman" w:hAnsi="Times New Roman" w:cs="Times New Roman"/>
                <w:color w:val="000000"/>
                <w:sz w:val="18"/>
                <w:szCs w:val="18"/>
                <w:lang w:val="en-US"/>
              </w:rPr>
              <w:t>Zhongnan</w:t>
            </w:r>
            <w:proofErr w:type="spellEnd"/>
            <w:r w:rsidRPr="00EE42BE">
              <w:rPr>
                <w:rFonts w:ascii="Times New Roman" w:eastAsia="Times New Roman" w:hAnsi="Times New Roman" w:cs="Times New Roman"/>
                <w:color w:val="000000"/>
                <w:sz w:val="18"/>
                <w:szCs w:val="18"/>
                <w:lang w:val="en-US"/>
              </w:rPr>
              <w:t xml:space="preserve">, Wuhan and from </w:t>
            </w:r>
            <w:proofErr w:type="spellStart"/>
            <w:r w:rsidRPr="00EE42BE">
              <w:rPr>
                <w:rFonts w:ascii="Times New Roman" w:eastAsia="Times New Roman" w:hAnsi="Times New Roman" w:cs="Times New Roman"/>
                <w:color w:val="000000"/>
                <w:sz w:val="18"/>
                <w:szCs w:val="18"/>
                <w:lang w:val="en-US"/>
              </w:rPr>
              <w:t>Leishenshan</w:t>
            </w:r>
            <w:proofErr w:type="spellEnd"/>
            <w:r w:rsidRPr="00EE42BE">
              <w:rPr>
                <w:rFonts w:ascii="Times New Roman" w:eastAsia="Times New Roman" w:hAnsi="Times New Roman" w:cs="Times New Roman"/>
                <w:color w:val="000000"/>
                <w:sz w:val="18"/>
                <w:szCs w:val="18"/>
                <w:lang w:val="en-US"/>
              </w:rPr>
              <w:t xml:space="preserve"> Hospital, China</w:t>
            </w:r>
          </w:p>
        </w:tc>
        <w:tc>
          <w:tcPr>
            <w:tcW w:w="1134" w:type="dxa"/>
            <w:shd w:val="clear" w:color="auto" w:fill="auto"/>
          </w:tcPr>
          <w:p w14:paraId="2E8A7751" w14:textId="77777777" w:rsidR="00077B68" w:rsidRPr="009142E7" w:rsidRDefault="00077B68" w:rsidP="00D90B12">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EE42BE">
              <w:rPr>
                <w:rFonts w:ascii="Times New Roman" w:eastAsia="Times New Roman" w:hAnsi="Times New Roman" w:cs="Times New Roman"/>
                <w:color w:val="000000"/>
                <w:sz w:val="18"/>
                <w:szCs w:val="18"/>
                <w:lang w:val="en-US"/>
              </w:rPr>
              <w:t>COVID-19 mortality</w:t>
            </w:r>
          </w:p>
        </w:tc>
        <w:tc>
          <w:tcPr>
            <w:tcW w:w="1276" w:type="dxa"/>
            <w:shd w:val="clear" w:color="auto" w:fill="auto"/>
          </w:tcPr>
          <w:p w14:paraId="11102E9A" w14:textId="77777777" w:rsidR="00077B68" w:rsidRPr="009142E7" w:rsidRDefault="00077B68" w:rsidP="00D90B12">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EE42BE">
              <w:rPr>
                <w:rFonts w:ascii="Times New Roman" w:eastAsia="Times New Roman" w:hAnsi="Times New Roman" w:cs="Times New Roman"/>
                <w:color w:val="000000"/>
                <w:sz w:val="18"/>
                <w:szCs w:val="18"/>
                <w:lang w:val="en-US"/>
              </w:rPr>
              <w:t>Prediction model (LASSO model)</w:t>
            </w:r>
          </w:p>
        </w:tc>
        <w:tc>
          <w:tcPr>
            <w:tcW w:w="2552" w:type="dxa"/>
            <w:shd w:val="clear" w:color="auto" w:fill="auto"/>
          </w:tcPr>
          <w:p w14:paraId="34D88B0F" w14:textId="77777777" w:rsidR="00077B68" w:rsidRPr="009142E7" w:rsidRDefault="00077B68" w:rsidP="00D90B12">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EE42BE">
              <w:rPr>
                <w:rFonts w:ascii="Times New Roman" w:eastAsia="Times New Roman" w:hAnsi="Times New Roman" w:cs="Times New Roman"/>
                <w:color w:val="000000"/>
                <w:sz w:val="18"/>
                <w:szCs w:val="18"/>
                <w:lang w:val="en-US"/>
              </w:rPr>
              <w:t>AUC score for combined model: 0.0919; lymphocyte counts: OR=3.668; PCT: OR=20.745; D-dimer: OR=4.458</w:t>
            </w:r>
          </w:p>
        </w:tc>
        <w:tc>
          <w:tcPr>
            <w:tcW w:w="1180" w:type="dxa"/>
            <w:shd w:val="clear" w:color="auto" w:fill="auto"/>
          </w:tcPr>
          <w:p w14:paraId="725B925E" w14:textId="77777777" w:rsidR="00077B68" w:rsidRPr="001D3AC3" w:rsidRDefault="00077B68" w:rsidP="00D90B12">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vertAlign w:val="superscript"/>
                <w:lang w:val="en-US"/>
              </w:rPr>
            </w:pPr>
            <w:r w:rsidRPr="00EE42BE">
              <w:rPr>
                <w:rFonts w:ascii="Times New Roman" w:eastAsia="Times New Roman" w:hAnsi="Times New Roman" w:cs="Times New Roman"/>
                <w:color w:val="000000"/>
                <w:sz w:val="18"/>
                <w:szCs w:val="18"/>
                <w:lang w:val="en-US"/>
              </w:rPr>
              <w:t>Shang et al., 2020</w:t>
            </w:r>
            <w:r>
              <w:rPr>
                <w:rFonts w:ascii="Times New Roman" w:eastAsia="Times New Roman" w:hAnsi="Times New Roman" w:cs="Times New Roman"/>
                <w:color w:val="000000"/>
                <w:sz w:val="18"/>
                <w:szCs w:val="18"/>
                <w:vertAlign w:val="superscript"/>
                <w:lang w:val="en-US"/>
              </w:rPr>
              <w:t xml:space="preserve"> </w:t>
            </w:r>
            <w:r>
              <w:rPr>
                <w:rFonts w:ascii="Times New Roman" w:eastAsia="Times New Roman" w:hAnsi="Times New Roman" w:cs="Times New Roman"/>
                <w:color w:val="000000"/>
                <w:sz w:val="18"/>
                <w:szCs w:val="18"/>
                <w:vertAlign w:val="superscript"/>
                <w:lang w:val="en-US"/>
              </w:rPr>
              <w:fldChar w:fldCharType="begin" w:fldLock="1"/>
            </w:r>
            <w:r>
              <w:rPr>
                <w:rFonts w:ascii="Times New Roman" w:eastAsia="Times New Roman" w:hAnsi="Times New Roman" w:cs="Times New Roman"/>
                <w:color w:val="000000"/>
                <w:sz w:val="18"/>
                <w:szCs w:val="18"/>
                <w:vertAlign w:val="superscript"/>
                <w:lang w:val="en-US"/>
              </w:rPr>
              <w:instrText>ADDIN CSL_CITATION {"citationItems":[{"id":"ITEM-1","itemData":{"DOI":"10.1016/j.eclinm.2020.100426","ISSN":"25895370","abstract":"Background: Coronavirus disease 2019 (COVID-19) has been widely spread and caused tens of thousands of deaths, especially in patients with severe COVID-19. This analysis aimed to explore risk factors for mortality of severe COVID-19, and establish a scoring system to predict in-hospital deaths. Methods: Patients with COVID-19 were retrospectively analyzed and clinical characteristics were compared. LASSO regression as well as multivariable analysis were used to screen variables and establish prediction model. Findings: A total of 2529 patients with COVID-19 was retrospectively analyzed, and 452 eligible severe COVID-19 were used for finally analysis. In training cohort, the median age was 66•0 years while it was 73•0 years in non-survivors. Patients aged 60–75 years accounted for the largest proportion of infected populations and mortality toll. Anti-SARS-CoV-2 antibodies were monitored up to 54 days, and IgG levels reached the highest during 20–30 days. No differences were observed of antibody levels between severe and non-severe patients. About 60.2% of severe patients had complications. Among acute myocardial injury (AMI), acute kidney injury (AKI) and acute liver injury (ALI), the heart was the earliest injured organ, whereas the time from AKI to death was the shortest. Age, diabetes, coronary heart disease (CHD), percentage of lymphocytes (LYM%), procalcitonin (PCT), serum urea, C reactive protein and D-dimer (DD), were identified associated with mortality by LASSO binary logistic regression. Then multivariable analysis was performed to conclude that old age, CHD, LYM%, PCT and DD remained independent risk factors for mortality. Based on the above variables, a scoring system of COVID-19 (CSS) was established to divide patients into low-risk and high-risk groups. This model displayed good discrimination (AUC=0·919) and calibration (P=0·264). Complications in low-risk and high-risk groups were significantly different (P&lt;0·05). Use of corticosteroids in low-risk groups increased hospital stays by 4·5 days (P=0·036) and durations of disease by 7·5 days (P=0·012) compared with no corticosteroids. Interpretation: Old age, CHD, LYM%, PCT and DD were independently related to mortality. CSS was useful for predicting in-hospital mortality and complications, and it could help clinicians to identify high-risk patients with poor prognosis. Funding: This work was supported by the Key Project for Anti-2019 novel Coronavirus Pneumonia from the Ministry of Science …","author":[{"dropping-particle":"","family":"Shang","given":"Yufeng","non-dropping-particle":"","parse-names":false,"suffix":""},{"dropping-particle":"","family":"Liu","given":"Tao","non-dropping-particle":"","parse-names":false,"suffix":""},{"dropping-particle":"","family":"Wei","given":"Yongchang","non-dropping-particle":"","parse-names":false,"suffix":""},{"dropping-particle":"","family":"Li","given":"Jingfeng","non-dropping-particle":"","parse-names":false,"suffix":""},{"dropping-particle":"","family":"Shao","given":"Liang","non-dropping-particle":"","parse-names":false,"suffix":""},{"dropping-particle":"","family":"Liu","given":"Minghui","non-dropping-particle":"","parse-names":false,"suffix":""},{"dropping-particle":"","family":"Zhang","given":"Yongxi","non-dropping-particle":"","parse-names":false,"suffix":""},{"dropping-particle":"","family":"Zhao","given":"Zhigang","non-dropping-particle":"","parse-names":false,"suffix":""},{"dropping-particle":"","family":"Xu","given":"Haibo","non-dropping-particle":"","parse-names":false,"suffix":""},{"dropping-particle":"","family":"Peng","given":"Zhiyong","non-dropping-particle":"","parse-names":false,"suffix":""},{"dropping-particle":"","family":"Zhou","given":"Fuling","non-dropping-particle":"","parse-names":false,"suffix":""},{"dropping-particle":"","family":"Wang","given":"Xinghuan","non-dropping-particle":"","parse-names":false,"suffix":""}],"container-title":"EClinicalMedicine","id":"ITEM-1","issue":"December 2019","issued":{"date-parts":[["2020"]]},"page":"100426","publisher":"Elsevier Ltd","title":"Scoring systems for predicting mortality for severe patients with COVID-19","type":"article-journal","volume":"24"},"uris":["http://www.mendeley.com/documents/?uuid=1b149f2e-a01e-4025-bb4d-d9d8f3284d41"]}],"mendeley":{"formattedCitation":"&lt;sup&gt;3&lt;/sup&gt;","plainTextFormattedCitation":"3","previouslyFormattedCitation":"&lt;sup&gt;3&lt;/sup&gt;"},"properties":{"noteIndex":0},"schema":"https://github.com/citation-style-language/schema/raw/master/csl-citation.json"}</w:instrText>
            </w:r>
            <w:r>
              <w:rPr>
                <w:rFonts w:ascii="Times New Roman" w:eastAsia="Times New Roman" w:hAnsi="Times New Roman" w:cs="Times New Roman"/>
                <w:color w:val="000000"/>
                <w:sz w:val="18"/>
                <w:szCs w:val="18"/>
                <w:vertAlign w:val="superscript"/>
                <w:lang w:val="en-US"/>
              </w:rPr>
              <w:fldChar w:fldCharType="separate"/>
            </w:r>
            <w:r w:rsidRPr="001D3AC3">
              <w:rPr>
                <w:rFonts w:ascii="Times New Roman" w:eastAsia="Times New Roman" w:hAnsi="Times New Roman" w:cs="Times New Roman"/>
                <w:noProof/>
                <w:color w:val="000000"/>
                <w:sz w:val="18"/>
                <w:szCs w:val="18"/>
                <w:vertAlign w:val="superscript"/>
                <w:lang w:val="en-US"/>
              </w:rPr>
              <w:t>3</w:t>
            </w:r>
            <w:r>
              <w:rPr>
                <w:rFonts w:ascii="Times New Roman" w:eastAsia="Times New Roman" w:hAnsi="Times New Roman" w:cs="Times New Roman"/>
                <w:color w:val="000000"/>
                <w:sz w:val="18"/>
                <w:szCs w:val="18"/>
                <w:vertAlign w:val="superscript"/>
                <w:lang w:val="en-US"/>
              </w:rPr>
              <w:fldChar w:fldCharType="end"/>
            </w:r>
          </w:p>
        </w:tc>
      </w:tr>
      <w:tr w:rsidR="00077B68" w:rsidRPr="00361352" w14:paraId="004AB0F7" w14:textId="77777777" w:rsidTr="00D90B12">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48A913B0" w14:textId="77777777" w:rsidR="00077B68" w:rsidRPr="00123BC6" w:rsidRDefault="00077B68" w:rsidP="00D90B12">
            <w:pPr>
              <w:spacing w:before="120" w:after="120" w:line="276" w:lineRule="auto"/>
              <w:jc w:val="center"/>
              <w:rPr>
                <w:rFonts w:ascii="Times New Roman" w:hAnsi="Times New Roman" w:cs="Times New Roman"/>
                <w:b w:val="0"/>
                <w:bCs w:val="0"/>
                <w:sz w:val="18"/>
                <w:szCs w:val="18"/>
                <w:lang w:val="en-US"/>
              </w:rPr>
            </w:pPr>
            <w:r w:rsidRPr="00EE42BE">
              <w:rPr>
                <w:rFonts w:ascii="Times New Roman" w:eastAsia="Times New Roman" w:hAnsi="Times New Roman" w:cs="Times New Roman"/>
                <w:b w:val="0"/>
                <w:bCs w:val="0"/>
                <w:color w:val="000000"/>
                <w:sz w:val="18"/>
                <w:szCs w:val="18"/>
                <w:lang w:val="en-US"/>
              </w:rPr>
              <w:t>Neutrophil:</w:t>
            </w:r>
            <w:r w:rsidRPr="00123BC6">
              <w:rPr>
                <w:rFonts w:ascii="Times New Roman" w:eastAsia="Times New Roman" w:hAnsi="Times New Roman" w:cs="Times New Roman"/>
                <w:b w:val="0"/>
                <w:bCs w:val="0"/>
                <w:color w:val="000000"/>
                <w:sz w:val="18"/>
                <w:szCs w:val="18"/>
                <w:lang w:val="en-US"/>
              </w:rPr>
              <w:t xml:space="preserve"> </w:t>
            </w:r>
            <w:r w:rsidRPr="00EE42BE">
              <w:rPr>
                <w:rFonts w:ascii="Times New Roman" w:eastAsia="Times New Roman" w:hAnsi="Times New Roman" w:cs="Times New Roman"/>
                <w:b w:val="0"/>
                <w:bCs w:val="0"/>
                <w:color w:val="000000"/>
                <w:sz w:val="18"/>
                <w:szCs w:val="18"/>
                <w:lang w:val="en-US"/>
              </w:rPr>
              <w:t>lymphocyte rat</w:t>
            </w:r>
            <w:r w:rsidRPr="00123BC6">
              <w:rPr>
                <w:rFonts w:ascii="Times New Roman" w:eastAsia="Times New Roman" w:hAnsi="Times New Roman" w:cs="Times New Roman"/>
                <w:b w:val="0"/>
                <w:bCs w:val="0"/>
                <w:color w:val="000000"/>
                <w:sz w:val="18"/>
                <w:szCs w:val="18"/>
                <w:lang w:val="en-US"/>
              </w:rPr>
              <w:t>io</w:t>
            </w:r>
            <w:r w:rsidRPr="00EE42BE">
              <w:rPr>
                <w:rFonts w:ascii="Times New Roman" w:eastAsia="Times New Roman" w:hAnsi="Times New Roman" w:cs="Times New Roman"/>
                <w:b w:val="0"/>
                <w:bCs w:val="0"/>
                <w:color w:val="000000"/>
                <w:sz w:val="18"/>
                <w:szCs w:val="18"/>
                <w:lang w:val="en-US"/>
              </w:rPr>
              <w:t>, LDH, bilirubin and clinical variables</w:t>
            </w:r>
          </w:p>
        </w:tc>
        <w:tc>
          <w:tcPr>
            <w:tcW w:w="1275" w:type="dxa"/>
            <w:shd w:val="clear" w:color="auto" w:fill="auto"/>
          </w:tcPr>
          <w:p w14:paraId="196524E6" w14:textId="77777777" w:rsidR="00077B68" w:rsidRPr="009142E7" w:rsidRDefault="00077B68" w:rsidP="00D90B1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EE42BE">
              <w:rPr>
                <w:rFonts w:ascii="Times New Roman" w:eastAsia="Times New Roman" w:hAnsi="Times New Roman" w:cs="Times New Roman"/>
                <w:color w:val="000000"/>
                <w:sz w:val="18"/>
                <w:szCs w:val="18"/>
                <w:lang w:val="en-US"/>
              </w:rPr>
              <w:t>Nationwide cohort in China (n=1590)</w:t>
            </w:r>
          </w:p>
        </w:tc>
        <w:tc>
          <w:tcPr>
            <w:tcW w:w="1134" w:type="dxa"/>
            <w:shd w:val="clear" w:color="auto" w:fill="auto"/>
          </w:tcPr>
          <w:p w14:paraId="58455CDA" w14:textId="77777777" w:rsidR="00077B68" w:rsidRPr="009142E7" w:rsidRDefault="00077B68" w:rsidP="00D90B1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EE42BE">
              <w:rPr>
                <w:rFonts w:ascii="Times New Roman" w:eastAsia="Times New Roman" w:hAnsi="Times New Roman" w:cs="Times New Roman"/>
                <w:color w:val="000000"/>
                <w:sz w:val="18"/>
                <w:szCs w:val="18"/>
                <w:lang w:val="en-US"/>
              </w:rPr>
              <w:t>COVID-19 severity</w:t>
            </w:r>
          </w:p>
        </w:tc>
        <w:tc>
          <w:tcPr>
            <w:tcW w:w="1276" w:type="dxa"/>
            <w:shd w:val="clear" w:color="auto" w:fill="auto"/>
          </w:tcPr>
          <w:p w14:paraId="7807F41A" w14:textId="77777777" w:rsidR="00077B68" w:rsidRPr="009142E7" w:rsidRDefault="00077B68" w:rsidP="00D90B1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EE42BE">
              <w:rPr>
                <w:rFonts w:ascii="Times New Roman" w:eastAsia="Times New Roman" w:hAnsi="Times New Roman" w:cs="Times New Roman"/>
                <w:color w:val="000000"/>
                <w:sz w:val="18"/>
                <w:szCs w:val="18"/>
                <w:lang w:val="en-US"/>
              </w:rPr>
              <w:t>Prediction model (LASSO model and logistic regression)</w:t>
            </w:r>
          </w:p>
        </w:tc>
        <w:tc>
          <w:tcPr>
            <w:tcW w:w="2552" w:type="dxa"/>
            <w:shd w:val="clear" w:color="auto" w:fill="auto"/>
          </w:tcPr>
          <w:p w14:paraId="642C92A3" w14:textId="77777777" w:rsidR="00077B68" w:rsidRPr="009142E7" w:rsidRDefault="00077B68" w:rsidP="00D90B1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EE42BE">
              <w:rPr>
                <w:rFonts w:ascii="Times New Roman" w:eastAsia="Times New Roman" w:hAnsi="Times New Roman" w:cs="Times New Roman"/>
                <w:color w:val="000000"/>
                <w:sz w:val="18"/>
                <w:szCs w:val="18"/>
                <w:lang w:val="en-US"/>
              </w:rPr>
              <w:t xml:space="preserve">AUC score for combined model: 0.88; </w:t>
            </w:r>
            <w:proofErr w:type="spellStart"/>
            <w:r w:rsidRPr="00EE42BE">
              <w:rPr>
                <w:rFonts w:ascii="Times New Roman" w:eastAsia="Times New Roman" w:hAnsi="Times New Roman" w:cs="Times New Roman"/>
                <w:color w:val="000000"/>
                <w:sz w:val="18"/>
                <w:szCs w:val="18"/>
                <w:lang w:val="en-US"/>
              </w:rPr>
              <w:t>Neutrophil:lymphocyte</w:t>
            </w:r>
            <w:proofErr w:type="spellEnd"/>
            <w:r w:rsidRPr="00EE42BE">
              <w:rPr>
                <w:rFonts w:ascii="Times New Roman" w:eastAsia="Times New Roman" w:hAnsi="Times New Roman" w:cs="Times New Roman"/>
                <w:color w:val="000000"/>
                <w:sz w:val="18"/>
                <w:szCs w:val="18"/>
                <w:lang w:val="en-US"/>
              </w:rPr>
              <w:t xml:space="preserve"> ratio: OR=1.06; LDH: OR=1.002; bilirubin: OR=1.15</w:t>
            </w:r>
          </w:p>
        </w:tc>
        <w:tc>
          <w:tcPr>
            <w:tcW w:w="1180" w:type="dxa"/>
            <w:shd w:val="clear" w:color="auto" w:fill="auto"/>
          </w:tcPr>
          <w:p w14:paraId="1D026789" w14:textId="77777777" w:rsidR="00077B68" w:rsidRPr="001D3AC3" w:rsidRDefault="00077B68" w:rsidP="00D90B1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vertAlign w:val="superscript"/>
                <w:lang w:val="en-US"/>
              </w:rPr>
            </w:pPr>
            <w:r w:rsidRPr="00EE42BE">
              <w:rPr>
                <w:rFonts w:ascii="Times New Roman" w:eastAsia="Times New Roman" w:hAnsi="Times New Roman" w:cs="Times New Roman"/>
                <w:color w:val="000000"/>
                <w:sz w:val="18"/>
                <w:szCs w:val="18"/>
                <w:lang w:val="en-US"/>
              </w:rPr>
              <w:t>Liang et al., 2020</w:t>
            </w:r>
            <w:r w:rsidRPr="001D3AC3">
              <w:rPr>
                <w:rFonts w:ascii="Times New Roman" w:eastAsia="Times New Roman" w:hAnsi="Times New Roman" w:cs="Times New Roman"/>
                <w:color w:val="000000"/>
                <w:sz w:val="18"/>
                <w:szCs w:val="18"/>
                <w:lang w:val="en-US"/>
              </w:rPr>
              <w:t xml:space="preserve"> </w:t>
            </w:r>
            <w:r>
              <w:rPr>
                <w:rFonts w:ascii="Times New Roman" w:eastAsia="Times New Roman" w:hAnsi="Times New Roman" w:cs="Times New Roman"/>
                <w:color w:val="000000"/>
                <w:sz w:val="18"/>
                <w:szCs w:val="18"/>
                <w:lang w:val="en-US"/>
              </w:rPr>
              <w:fldChar w:fldCharType="begin" w:fldLock="1"/>
            </w:r>
            <w:r>
              <w:rPr>
                <w:rFonts w:ascii="Times New Roman" w:eastAsia="Times New Roman" w:hAnsi="Times New Roman" w:cs="Times New Roman"/>
                <w:color w:val="000000"/>
                <w:sz w:val="18"/>
                <w:szCs w:val="18"/>
                <w:lang w:val="en-US"/>
              </w:rPr>
              <w:instrText>ADDIN CSL_CITATION {"citationItems":[{"id":"ITEM-1","itemData":{"DOI":"10.1001/jamainternmed.2020.2033","ISSN":"21686114","PMID":"32396163","abstract":"Importance: Early identification of patients with novel coronavirus disease 2019 (COVID-19) who may develop critical illness is of great importance and may aid in delivering proper treatment and optimizing use of resources. Objective: To develop and validate a clinical score at hospital admission for predicting which patients with COVID-19 will develop critical illness based on a nationwide cohort in China. Design, Setting, and Participants: Collaborating with the National Health Commission of China, we established a retrospective cohort of patients with COVID-19 from 575 hospitals in 31 provincial administrative regions as of January 31, 2020. Epidemiological, clinical, laboratory, and imaging variables ascertained at hospital admission were screened using Least Absolute Shrinkage and Selection Operator (LASSO) and logistic regression to construct a predictive risk score (COVID-GRAM). The score provides an estimate of the risk that a hospitalized patient with COVID-19 will develop critical illness. Accuracy of the score was measured by the area under the receiver operating characteristic curve (AUC). Data from 4 additional cohorts in China hospitalized with COVID-19 were used to validate the score. Data were analyzed between February 20, 2020 and March 17, 2020. Main Outcomes and Measures: Among patients with COVID-19 admitted to the hospital, critical illness was defined as the composite measure of admission to the intensive care unit, invasive ventilation, or death. Results: The development cohort included 1590 patients. the mean (SD) age of patients in the cohort was 48.9 (15.7) years; 904 (57.3%) were men. The validation cohort included 710 patients with a mean (SD) age of 48.2 (15.2) years, and 382 (53.8%) were men and 172 (24.2%). From 72 potential predictors, 10 variables were independent predictive factors and were included in the risk score: chest radiographic abnormality (OR, 3.39; 95% CI, 2.14-5.38), age (OR, 1.03; 95% CI, 1.01-1.05), hemoptysis (OR, 4.53; 95% CI, 1.36-15.15), dyspnea (OR, 1.88; 95% CI, 1.18-3.01), unconsciousness (OR, 4.71; 95% CI, 1.39-15.98), number of comorbidities (OR, 1.60; 95% CI, 1.27-2.00), cancer history (OR, 4.07; 95% CI, 1.23-13.43), neutrophil-to-lymphocyte ratio (OR, 1.06; 95% CI, 1.02-1.10), lactate dehydrogenase (OR, 1.002; 95% CI, 1.001-1.004) and direct bilirubin (OR, 1.15; 95% CI, 1.06-1.24). The mean AUC in the development cohort was 0.88 (95% CI, 0.85-0.91) and the AUC in the validation cohort was 0.88 (…","author":[{"dropping-particle":"","family":"Liang","given":"Wenhua","non-dropping-particle":"","parse-names":false,"suffix":""},{"dropping-particle":"","family":"Liang","given":"Hengrui","non-dropping-particle":"","parse-names":false,"suffix":""},{"dropping-particle":"","family":"Ou","given":"Limin","non-dropping-particle":"","parse-names":false,"suffix":""},{"dropping-particle":"","family":"Chen","given":"Binfeng","non-dropping-particle":"","parse-names":false,"suffix":""},{"dropping-particle":"","family":"Chen","given":"Ailan","non-dropping-particle":"","parse-names":false,"suffix":""},{"dropping-particle":"","family":"Li","given":"Caichen","non-dropping-particle":"","parse-names":false,"suffix":""},{"dropping-particle":"","family":"Li","given":"Yimin","non-dropping-particle":"","parse-names":false,"suffix":""},{"dropping-particle":"","family":"Guan","given":"Weijie","non-dropping-particle":"","parse-names":false,"suffix":""},{"dropping-particle":"","family":"Sang","given":"Ling","non-dropping-particle":"","parse-names":false,"suffix":""},{"dropping-particle":"","family":"Lu","given":"Jiatao","non-dropping-particle":"","parse-names":false,"suffix":""},{"dropping-particle":"","family":"Xu","given":"Yuanda","non-dropping-particle":"","parse-names":false,"suffix":""},{"dropping-particle":"","family":"Chen","given":"Guoqiang","non-dropping-particle":"","parse-names":false,"suffix":""},{"dropping-particle":"","family":"Guo","given":"Haiyan","non-dropping-particle":"","parse-names":false,"suffix":""},{"dropping-particle":"","family":"Guo","given":"Jun","non-dropping-particle":"","parse-names":false,"suffix":""},{"dropping-particle":"","family":"Chen","given":"Zisheng","non-dropping-particle":"","parse-names":false,"suffix":""},{"dropping-particle":"","family":"Zhao","given":"Yi","non-dropping-particle":"","parse-names":false,"suffix":""},{"dropping-particle":"","family":"Li","given":"Shiyue","non-dropping-particle":"","parse-names":false,"suffix":""},{"dropping-particle":"","family":"Zhang","given":"Nuofu","non-dropping-particle":"","parse-names":false,"suffix":""},{"dropping-particle":"","family":"Zhong","given":"Nanshan","non-dropping-particle":"","parse-names":false,"suffix":""},{"dropping-particle":"","family":"He","given":"Jianxing","non-dropping-particle":"","parse-names":false,"suffix":""}],"container-title":"JAMA Internal Medicine","id":"ITEM-1","issue":"8","issued":{"date-parts":[["2020"]]},"page":"1081-1089","title":"Development and validation of a clinical risk score to predict the occurrence of critical illness in hospitalized patients with COVID-19","type":"article-journal","volume":"180"},"uris":["http://www.mendeley.com/documents/?uuid=03a971a9-62d9-4c86-afa8-8349175454a3"]}],"mendeley":{"formattedCitation":"&lt;sup&gt;4&lt;/sup&gt;","plainTextFormattedCitation":"4","previouslyFormattedCitation":"&lt;sup&gt;4&lt;/sup&gt;"},"properties":{"noteIndex":0},"schema":"https://github.com/citation-style-language/schema/raw/master/csl-citation.json"}</w:instrText>
            </w:r>
            <w:r>
              <w:rPr>
                <w:rFonts w:ascii="Times New Roman" w:eastAsia="Times New Roman" w:hAnsi="Times New Roman" w:cs="Times New Roman"/>
                <w:color w:val="000000"/>
                <w:sz w:val="18"/>
                <w:szCs w:val="18"/>
                <w:lang w:val="en-US"/>
              </w:rPr>
              <w:fldChar w:fldCharType="separate"/>
            </w:r>
            <w:r w:rsidRPr="001D3AC3">
              <w:rPr>
                <w:rFonts w:ascii="Times New Roman" w:eastAsia="Times New Roman" w:hAnsi="Times New Roman" w:cs="Times New Roman"/>
                <w:noProof/>
                <w:color w:val="000000"/>
                <w:sz w:val="18"/>
                <w:szCs w:val="18"/>
                <w:vertAlign w:val="superscript"/>
                <w:lang w:val="en-US"/>
              </w:rPr>
              <w:t>4</w:t>
            </w:r>
            <w:r>
              <w:rPr>
                <w:rFonts w:ascii="Times New Roman" w:eastAsia="Times New Roman" w:hAnsi="Times New Roman" w:cs="Times New Roman"/>
                <w:color w:val="000000"/>
                <w:sz w:val="18"/>
                <w:szCs w:val="18"/>
                <w:lang w:val="en-US"/>
              </w:rPr>
              <w:fldChar w:fldCharType="end"/>
            </w:r>
          </w:p>
        </w:tc>
      </w:tr>
      <w:tr w:rsidR="00077B68" w:rsidRPr="009142E7" w14:paraId="62D01413" w14:textId="77777777" w:rsidTr="00D90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4C739E11" w14:textId="77777777" w:rsidR="00077B68" w:rsidRPr="00123BC6" w:rsidRDefault="00077B68" w:rsidP="00D90B12">
            <w:pPr>
              <w:spacing w:before="120" w:after="120" w:line="276" w:lineRule="auto"/>
              <w:jc w:val="center"/>
              <w:rPr>
                <w:rFonts w:ascii="Times New Roman" w:hAnsi="Times New Roman" w:cs="Times New Roman"/>
                <w:b w:val="0"/>
                <w:bCs w:val="0"/>
                <w:sz w:val="18"/>
                <w:szCs w:val="18"/>
                <w:lang w:val="en-US"/>
              </w:rPr>
            </w:pPr>
            <w:r w:rsidRPr="00EE42BE">
              <w:rPr>
                <w:rFonts w:ascii="Times New Roman" w:eastAsia="Times New Roman" w:hAnsi="Times New Roman" w:cs="Times New Roman"/>
                <w:b w:val="0"/>
                <w:bCs w:val="0"/>
                <w:color w:val="000000"/>
                <w:sz w:val="18"/>
                <w:szCs w:val="18"/>
                <w:lang w:val="en-US"/>
              </w:rPr>
              <w:t xml:space="preserve">CD4+ T cell count, D-dimer, </w:t>
            </w:r>
            <w:proofErr w:type="gramStart"/>
            <w:r w:rsidRPr="00EE42BE">
              <w:rPr>
                <w:rFonts w:ascii="Times New Roman" w:eastAsia="Times New Roman" w:hAnsi="Times New Roman" w:cs="Times New Roman"/>
                <w:b w:val="0"/>
                <w:bCs w:val="0"/>
                <w:color w:val="000000"/>
                <w:sz w:val="18"/>
                <w:szCs w:val="18"/>
                <w:lang w:val="en-US"/>
              </w:rPr>
              <w:t>and  neutrophil</w:t>
            </w:r>
            <w:proofErr w:type="gramEnd"/>
            <w:r w:rsidRPr="00EE42BE">
              <w:rPr>
                <w:rFonts w:ascii="Times New Roman" w:eastAsia="Times New Roman" w:hAnsi="Times New Roman" w:cs="Times New Roman"/>
                <w:b w:val="0"/>
                <w:bCs w:val="0"/>
                <w:color w:val="000000"/>
                <w:sz w:val="18"/>
                <w:szCs w:val="18"/>
                <w:lang w:val="en-US"/>
              </w:rPr>
              <w:t>:</w:t>
            </w:r>
            <w:r w:rsidRPr="00123BC6">
              <w:rPr>
                <w:rFonts w:ascii="Times New Roman" w:eastAsia="Times New Roman" w:hAnsi="Times New Roman" w:cs="Times New Roman"/>
                <w:b w:val="0"/>
                <w:bCs w:val="0"/>
                <w:color w:val="000000"/>
                <w:sz w:val="18"/>
                <w:szCs w:val="18"/>
                <w:lang w:val="en-US"/>
              </w:rPr>
              <w:t xml:space="preserve"> </w:t>
            </w:r>
            <w:r w:rsidRPr="00EE42BE">
              <w:rPr>
                <w:rFonts w:ascii="Times New Roman" w:eastAsia="Times New Roman" w:hAnsi="Times New Roman" w:cs="Times New Roman"/>
                <w:b w:val="0"/>
                <w:bCs w:val="0"/>
                <w:color w:val="000000"/>
                <w:sz w:val="18"/>
                <w:szCs w:val="18"/>
                <w:lang w:val="en-US"/>
              </w:rPr>
              <w:t>lymphocyte ratio (NLR)</w:t>
            </w:r>
          </w:p>
        </w:tc>
        <w:tc>
          <w:tcPr>
            <w:tcW w:w="1275" w:type="dxa"/>
            <w:shd w:val="clear" w:color="auto" w:fill="auto"/>
          </w:tcPr>
          <w:p w14:paraId="0A83BDB5" w14:textId="77777777" w:rsidR="00077B68" w:rsidRPr="009142E7" w:rsidRDefault="00077B68" w:rsidP="00D90B12">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EE42BE">
              <w:rPr>
                <w:rFonts w:ascii="Times New Roman" w:eastAsia="Times New Roman" w:hAnsi="Times New Roman" w:cs="Times New Roman"/>
                <w:color w:val="000000"/>
                <w:sz w:val="18"/>
                <w:szCs w:val="18"/>
                <w:lang w:val="en-US"/>
              </w:rPr>
              <w:t>79 patients from Zhejiang, China</w:t>
            </w:r>
          </w:p>
        </w:tc>
        <w:tc>
          <w:tcPr>
            <w:tcW w:w="1134" w:type="dxa"/>
            <w:shd w:val="clear" w:color="auto" w:fill="auto"/>
          </w:tcPr>
          <w:p w14:paraId="7B118E36" w14:textId="77777777" w:rsidR="00077B68" w:rsidRPr="009142E7" w:rsidRDefault="00077B68" w:rsidP="00D90B12">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EE42BE">
              <w:rPr>
                <w:rFonts w:ascii="Times New Roman" w:eastAsia="Times New Roman" w:hAnsi="Times New Roman" w:cs="Times New Roman"/>
                <w:color w:val="000000"/>
                <w:sz w:val="18"/>
                <w:szCs w:val="18"/>
                <w:lang w:val="en-US"/>
              </w:rPr>
              <w:t>COVID-19 severity</w:t>
            </w:r>
          </w:p>
        </w:tc>
        <w:tc>
          <w:tcPr>
            <w:tcW w:w="1276" w:type="dxa"/>
            <w:shd w:val="clear" w:color="auto" w:fill="auto"/>
          </w:tcPr>
          <w:p w14:paraId="6B899611" w14:textId="77777777" w:rsidR="00077B68" w:rsidRPr="009142E7" w:rsidRDefault="00077B68" w:rsidP="00D90B12">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EE42BE">
              <w:rPr>
                <w:rFonts w:ascii="Times New Roman" w:eastAsia="Times New Roman" w:hAnsi="Times New Roman" w:cs="Times New Roman"/>
                <w:color w:val="000000"/>
                <w:sz w:val="18"/>
                <w:szCs w:val="18"/>
                <w:lang w:val="en-US"/>
              </w:rPr>
              <w:t>Prediction model (logistic regression and AUROC analyses)</w:t>
            </w:r>
          </w:p>
        </w:tc>
        <w:tc>
          <w:tcPr>
            <w:tcW w:w="2552" w:type="dxa"/>
            <w:shd w:val="clear" w:color="auto" w:fill="auto"/>
          </w:tcPr>
          <w:p w14:paraId="184EEC1C" w14:textId="77777777" w:rsidR="00077B68" w:rsidRPr="009142E7" w:rsidRDefault="00077B68" w:rsidP="00D90B12">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EE42BE">
              <w:rPr>
                <w:rFonts w:ascii="Times New Roman" w:eastAsia="Times New Roman" w:hAnsi="Times New Roman" w:cs="Times New Roman"/>
                <w:color w:val="000000"/>
                <w:sz w:val="18"/>
                <w:szCs w:val="18"/>
                <w:lang w:val="en-US"/>
              </w:rPr>
              <w:t>CD4+ T cell count, D-dimer, and NLR combined AUC: 0.865; CD4+ T cell counts: OR=0.995</w:t>
            </w:r>
          </w:p>
        </w:tc>
        <w:tc>
          <w:tcPr>
            <w:tcW w:w="1180" w:type="dxa"/>
            <w:shd w:val="clear" w:color="auto" w:fill="auto"/>
          </w:tcPr>
          <w:p w14:paraId="26C4B13C" w14:textId="77777777" w:rsidR="00077B68" w:rsidRPr="001D3AC3" w:rsidRDefault="00077B68" w:rsidP="00D90B12">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vertAlign w:val="superscript"/>
                <w:lang w:val="en-US"/>
              </w:rPr>
            </w:pPr>
            <w:r w:rsidRPr="00EE42BE">
              <w:rPr>
                <w:rFonts w:ascii="Times New Roman" w:eastAsia="Times New Roman" w:hAnsi="Times New Roman" w:cs="Times New Roman"/>
                <w:color w:val="000000"/>
                <w:sz w:val="18"/>
                <w:szCs w:val="18"/>
                <w:lang w:val="en-US"/>
              </w:rPr>
              <w:t>Song et al., 2020</w:t>
            </w:r>
            <w:r w:rsidRPr="001D3AC3">
              <w:rPr>
                <w:rFonts w:ascii="Times New Roman" w:eastAsia="Times New Roman" w:hAnsi="Times New Roman" w:cs="Times New Roman"/>
                <w:color w:val="000000"/>
                <w:sz w:val="18"/>
                <w:szCs w:val="18"/>
                <w:lang w:val="en-US"/>
              </w:rPr>
              <w:t xml:space="preserve"> </w:t>
            </w:r>
            <w:r>
              <w:rPr>
                <w:rFonts w:ascii="Times New Roman" w:eastAsia="Times New Roman" w:hAnsi="Times New Roman" w:cs="Times New Roman"/>
                <w:color w:val="000000"/>
                <w:sz w:val="18"/>
                <w:szCs w:val="18"/>
                <w:lang w:val="en-US"/>
              </w:rPr>
              <w:fldChar w:fldCharType="begin" w:fldLock="1"/>
            </w:r>
            <w:r>
              <w:rPr>
                <w:rFonts w:ascii="Times New Roman" w:eastAsia="Times New Roman" w:hAnsi="Times New Roman" w:cs="Times New Roman"/>
                <w:color w:val="000000"/>
                <w:sz w:val="18"/>
                <w:szCs w:val="18"/>
                <w:lang w:val="en-US"/>
              </w:rPr>
              <w:instrText>ADDIN CSL_CITATION {"citationItems":[{"id":"ITEM-1","itemData":{"DOI":"10.1038/s41598-020-72718-9","ISBN":"4159802072718","ISSN":"20452322","PMID":"32985562","abstract":"The coronavirus disease 2019 (COVID-19) has been spreading worldwide. Severe cases quickly progressed with unfavorable outcomes. We aim to investigate the clinical features of COVID-19 and identify the risk factors associated with its progression. Data of confirmed SARS-CoV-2-infected patients and healthy participants were collected. Thirty-seven healthy people and 79 confirmed patients, which include 48 severe patients and 31 mild patients, were recruited. COVID-19 patients presented with dysregulated immune response (decreased T, B, and NK cells and increased inflammatory cytokines). Also, they were found to have increased levels of white blood cell, neutrophil count, and D-dimer in severe cases. Moreover, lymphocyte, CD4+ T cell, CD8+ T cell, NK cell, and B cell counts were lower in the severe group. Multivariate logistic regression analysis showed that CD4+ cell count, neutrophil-to-lymphocyte ratio (NLR) and D-dimer were risk factors for severe cases. Both CT score and clinical pulmonary infection score (CPIS) were associated with disease severity. The receiver operating characteristic (ROC) curve analysis has shown that all these parameters and scores had quite a high predictive value. Immune dysfunction plays critical roles in disease progression. Early and constant surveillance of complete blood cell count, T lymphocyte subsets, coagulation function, CT scan and CPIS was recommended for early screening of severe cases.","author":[{"dropping-particle":"","family":"Song","given":"Cong Ying","non-dropping-particle":"","parse-names":false,"suffix":""},{"dropping-particle":"","family":"Xu","given":"Jia","non-dropping-particle":"","parse-names":false,"suffix":""},{"dropping-particle":"","family":"He","given":"Jian Qin","non-dropping-particle":"","parse-names":false,"suffix":""},{"dropping-particle":"","family":"Lu","given":"Yuan Qiang","non-dropping-particle":"","parse-names":false,"suffix":""}],"container-title":"Scientific Reports","id":"ITEM-1","issue":"1","issued":{"date-parts":[["2020"]]},"page":"1-11","publisher":"Nature Publishing Group UK","title":"Immune dysfunction following COVID-19, especially in severe patients","type":"article-journal","volume":"10"},"uris":["http://www.mendeley.com/documents/?uuid=a7d55525-e3b1-4d9a-bfc0-24ba48b17f7d"]}],"mendeley":{"formattedCitation":"&lt;sup&gt;5&lt;/sup&gt;","plainTextFormattedCitation":"5","previouslyFormattedCitation":"&lt;sup&gt;5&lt;/sup&gt;"},"properties":{"noteIndex":0},"schema":"https://github.com/citation-style-language/schema/raw/master/csl-citation.json"}</w:instrText>
            </w:r>
            <w:r>
              <w:rPr>
                <w:rFonts w:ascii="Times New Roman" w:eastAsia="Times New Roman" w:hAnsi="Times New Roman" w:cs="Times New Roman"/>
                <w:color w:val="000000"/>
                <w:sz w:val="18"/>
                <w:szCs w:val="18"/>
                <w:lang w:val="en-US"/>
              </w:rPr>
              <w:fldChar w:fldCharType="separate"/>
            </w:r>
            <w:r w:rsidRPr="001D3AC3">
              <w:rPr>
                <w:rFonts w:ascii="Times New Roman" w:eastAsia="Times New Roman" w:hAnsi="Times New Roman" w:cs="Times New Roman"/>
                <w:noProof/>
                <w:color w:val="000000"/>
                <w:sz w:val="18"/>
                <w:szCs w:val="18"/>
                <w:vertAlign w:val="superscript"/>
                <w:lang w:val="en-US"/>
              </w:rPr>
              <w:t>5</w:t>
            </w:r>
            <w:r>
              <w:rPr>
                <w:rFonts w:ascii="Times New Roman" w:eastAsia="Times New Roman" w:hAnsi="Times New Roman" w:cs="Times New Roman"/>
                <w:color w:val="000000"/>
                <w:sz w:val="18"/>
                <w:szCs w:val="18"/>
                <w:lang w:val="en-US"/>
              </w:rPr>
              <w:fldChar w:fldCharType="end"/>
            </w:r>
          </w:p>
        </w:tc>
      </w:tr>
      <w:tr w:rsidR="00077B68" w:rsidRPr="00361352" w14:paraId="504941B5" w14:textId="77777777" w:rsidTr="00D90B12">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639F0F77" w14:textId="77777777" w:rsidR="00077B68" w:rsidRPr="00123BC6" w:rsidRDefault="00077B68" w:rsidP="00D90B12">
            <w:pPr>
              <w:spacing w:before="120" w:after="120" w:line="276" w:lineRule="auto"/>
              <w:jc w:val="center"/>
              <w:rPr>
                <w:rFonts w:ascii="Times New Roman" w:hAnsi="Times New Roman" w:cs="Times New Roman"/>
                <w:b w:val="0"/>
                <w:bCs w:val="0"/>
                <w:sz w:val="18"/>
                <w:szCs w:val="18"/>
                <w:lang w:val="en-US"/>
              </w:rPr>
            </w:pPr>
            <w:r w:rsidRPr="00123BC6">
              <w:rPr>
                <w:rFonts w:ascii="Times New Roman" w:eastAsia="Times New Roman" w:hAnsi="Times New Roman" w:cs="Times New Roman"/>
                <w:b w:val="0"/>
                <w:bCs w:val="0"/>
                <w:color w:val="000000"/>
                <w:sz w:val="18"/>
                <w:szCs w:val="18"/>
              </w:rPr>
              <w:t xml:space="preserve">Serum IL-6, IL-8 </w:t>
            </w:r>
            <w:proofErr w:type="spellStart"/>
            <w:r w:rsidRPr="00123BC6">
              <w:rPr>
                <w:rFonts w:ascii="Times New Roman" w:eastAsia="Times New Roman" w:hAnsi="Times New Roman" w:cs="Times New Roman"/>
                <w:b w:val="0"/>
                <w:bCs w:val="0"/>
                <w:color w:val="000000"/>
                <w:sz w:val="18"/>
                <w:szCs w:val="18"/>
              </w:rPr>
              <w:t>and</w:t>
            </w:r>
            <w:proofErr w:type="spellEnd"/>
            <w:r w:rsidRPr="00123BC6">
              <w:rPr>
                <w:rFonts w:ascii="Times New Roman" w:eastAsia="Times New Roman" w:hAnsi="Times New Roman" w:cs="Times New Roman"/>
                <w:b w:val="0"/>
                <w:bCs w:val="0"/>
                <w:color w:val="000000"/>
                <w:sz w:val="18"/>
                <w:szCs w:val="18"/>
              </w:rPr>
              <w:t xml:space="preserve"> TNF-α</w:t>
            </w:r>
          </w:p>
        </w:tc>
        <w:tc>
          <w:tcPr>
            <w:tcW w:w="1275" w:type="dxa"/>
            <w:shd w:val="clear" w:color="auto" w:fill="auto"/>
          </w:tcPr>
          <w:p w14:paraId="68213E04" w14:textId="77777777" w:rsidR="00077B68" w:rsidRPr="009142E7" w:rsidRDefault="00077B68" w:rsidP="00D90B1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EE42BE">
              <w:rPr>
                <w:rFonts w:ascii="Times New Roman" w:eastAsia="Times New Roman" w:hAnsi="Times New Roman" w:cs="Times New Roman"/>
                <w:color w:val="000000"/>
                <w:sz w:val="18"/>
                <w:szCs w:val="18"/>
                <w:lang w:val="en-US"/>
              </w:rPr>
              <w:t>1484 patients, Mount Sinai Health System hospital, New York City</w:t>
            </w:r>
          </w:p>
        </w:tc>
        <w:tc>
          <w:tcPr>
            <w:tcW w:w="1134" w:type="dxa"/>
            <w:shd w:val="clear" w:color="auto" w:fill="auto"/>
          </w:tcPr>
          <w:p w14:paraId="5E550DF9" w14:textId="77777777" w:rsidR="00077B68" w:rsidRPr="009142E7" w:rsidRDefault="00077B68" w:rsidP="00D90B1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9142E7">
              <w:rPr>
                <w:rFonts w:ascii="Times New Roman" w:eastAsia="Times New Roman" w:hAnsi="Times New Roman" w:cs="Times New Roman"/>
                <w:color w:val="000000"/>
                <w:sz w:val="18"/>
                <w:szCs w:val="18"/>
              </w:rPr>
              <w:t xml:space="preserve">COVID-19 </w:t>
            </w:r>
            <w:proofErr w:type="spellStart"/>
            <w:r w:rsidRPr="009142E7">
              <w:rPr>
                <w:rFonts w:ascii="Times New Roman" w:eastAsia="Times New Roman" w:hAnsi="Times New Roman" w:cs="Times New Roman"/>
                <w:color w:val="000000"/>
                <w:sz w:val="18"/>
                <w:szCs w:val="18"/>
              </w:rPr>
              <w:t>severity</w:t>
            </w:r>
            <w:proofErr w:type="spellEnd"/>
            <w:r w:rsidRPr="009142E7">
              <w:rPr>
                <w:rFonts w:ascii="Times New Roman" w:eastAsia="Times New Roman" w:hAnsi="Times New Roman" w:cs="Times New Roman"/>
                <w:color w:val="000000"/>
                <w:sz w:val="18"/>
                <w:szCs w:val="18"/>
              </w:rPr>
              <w:t xml:space="preserve"> </w:t>
            </w:r>
            <w:proofErr w:type="spellStart"/>
            <w:r w:rsidRPr="009142E7">
              <w:rPr>
                <w:rFonts w:ascii="Times New Roman" w:eastAsia="Times New Roman" w:hAnsi="Times New Roman" w:cs="Times New Roman"/>
                <w:color w:val="000000"/>
                <w:sz w:val="18"/>
                <w:szCs w:val="18"/>
              </w:rPr>
              <w:t>and</w:t>
            </w:r>
            <w:proofErr w:type="spellEnd"/>
            <w:r w:rsidRPr="009142E7">
              <w:rPr>
                <w:rFonts w:ascii="Times New Roman" w:eastAsia="Times New Roman" w:hAnsi="Times New Roman" w:cs="Times New Roman"/>
                <w:color w:val="000000"/>
                <w:sz w:val="18"/>
                <w:szCs w:val="18"/>
              </w:rPr>
              <w:t xml:space="preserve"> </w:t>
            </w:r>
            <w:proofErr w:type="spellStart"/>
            <w:r w:rsidRPr="009142E7">
              <w:rPr>
                <w:rFonts w:ascii="Times New Roman" w:eastAsia="Times New Roman" w:hAnsi="Times New Roman" w:cs="Times New Roman"/>
                <w:color w:val="000000"/>
                <w:sz w:val="18"/>
                <w:szCs w:val="18"/>
              </w:rPr>
              <w:t>mortality</w:t>
            </w:r>
            <w:proofErr w:type="spellEnd"/>
          </w:p>
        </w:tc>
        <w:tc>
          <w:tcPr>
            <w:tcW w:w="1276" w:type="dxa"/>
            <w:shd w:val="clear" w:color="auto" w:fill="auto"/>
          </w:tcPr>
          <w:p w14:paraId="0005E03A" w14:textId="77777777" w:rsidR="00077B68" w:rsidRPr="009142E7" w:rsidRDefault="00077B68" w:rsidP="00D90B1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EE42BE">
              <w:rPr>
                <w:rFonts w:ascii="Times New Roman" w:eastAsia="Times New Roman" w:hAnsi="Times New Roman" w:cs="Times New Roman"/>
                <w:color w:val="000000"/>
                <w:sz w:val="18"/>
                <w:szCs w:val="18"/>
                <w:lang w:val="en-US"/>
              </w:rPr>
              <w:t>Prediction model (Cox proportional hazards models)</w:t>
            </w:r>
          </w:p>
        </w:tc>
        <w:tc>
          <w:tcPr>
            <w:tcW w:w="2552" w:type="dxa"/>
            <w:shd w:val="clear" w:color="auto" w:fill="auto"/>
          </w:tcPr>
          <w:p w14:paraId="7C77D195" w14:textId="77777777" w:rsidR="00077B68" w:rsidRPr="009142E7" w:rsidRDefault="00077B68" w:rsidP="00D90B1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EE42BE">
              <w:rPr>
                <w:rFonts w:ascii="Times New Roman" w:eastAsia="Times New Roman" w:hAnsi="Times New Roman" w:cs="Times New Roman"/>
                <w:color w:val="000000"/>
                <w:sz w:val="18"/>
                <w:szCs w:val="18"/>
                <w:lang w:val="en-US"/>
              </w:rPr>
              <w:t>IL-6: hazard ratio (HR)=2.23; IL-8 HR=1.41; TNF-</w:t>
            </w:r>
            <w:r w:rsidRPr="009142E7">
              <w:rPr>
                <w:rFonts w:ascii="Times New Roman" w:eastAsia="Times New Roman" w:hAnsi="Times New Roman" w:cs="Times New Roman"/>
                <w:color w:val="000000"/>
                <w:sz w:val="18"/>
                <w:szCs w:val="18"/>
              </w:rPr>
              <w:t>α</w:t>
            </w:r>
            <w:r w:rsidRPr="00EE42BE">
              <w:rPr>
                <w:rFonts w:ascii="Times New Roman" w:eastAsia="Times New Roman" w:hAnsi="Times New Roman" w:cs="Times New Roman"/>
                <w:color w:val="000000"/>
                <w:sz w:val="18"/>
                <w:szCs w:val="18"/>
                <w:lang w:val="en-US"/>
              </w:rPr>
              <w:t xml:space="preserve"> HR=1.50</w:t>
            </w:r>
          </w:p>
        </w:tc>
        <w:tc>
          <w:tcPr>
            <w:tcW w:w="1180" w:type="dxa"/>
            <w:shd w:val="clear" w:color="auto" w:fill="auto"/>
          </w:tcPr>
          <w:p w14:paraId="1BB02A08" w14:textId="77777777" w:rsidR="00077B68" w:rsidRPr="001D3AC3" w:rsidRDefault="00077B68" w:rsidP="00D90B1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vertAlign w:val="superscript"/>
                <w:lang w:val="en-US"/>
              </w:rPr>
            </w:pPr>
            <w:r w:rsidRPr="009142E7">
              <w:rPr>
                <w:rFonts w:ascii="Times New Roman" w:eastAsia="Times New Roman" w:hAnsi="Times New Roman" w:cs="Times New Roman"/>
                <w:color w:val="000000"/>
                <w:sz w:val="18"/>
                <w:szCs w:val="18"/>
              </w:rPr>
              <w:t>Del Valle et al., 2020</w:t>
            </w:r>
            <w:r w:rsidRPr="001D3AC3">
              <w:rPr>
                <w:rFonts w:ascii="Times New Roman" w:eastAsia="Times New Roman" w:hAnsi="Times New Roman" w:cs="Times New Roman"/>
                <w:color w:val="000000"/>
                <w:sz w:val="18"/>
                <w:szCs w:val="18"/>
                <w:lang w:val="en-US"/>
              </w:rPr>
              <w:t xml:space="preserve"> </w:t>
            </w:r>
            <w:r>
              <w:rPr>
                <w:rFonts w:ascii="Times New Roman" w:eastAsia="Times New Roman" w:hAnsi="Times New Roman" w:cs="Times New Roman"/>
                <w:color w:val="000000"/>
                <w:sz w:val="18"/>
                <w:szCs w:val="18"/>
                <w:lang w:val="en-US"/>
              </w:rPr>
              <w:fldChar w:fldCharType="begin" w:fldLock="1"/>
            </w:r>
            <w:r>
              <w:rPr>
                <w:rFonts w:ascii="Times New Roman" w:eastAsia="Times New Roman" w:hAnsi="Times New Roman" w:cs="Times New Roman"/>
                <w:color w:val="000000"/>
                <w:sz w:val="18"/>
                <w:szCs w:val="18"/>
                <w:lang w:val="en-US"/>
              </w:rPr>
              <w:instrText>ADDIN CSL_CITATION {"citationItems":[{"id":"ITEM-1","itemData":{"DOI":"10.1038/s41591-020-1051-9","ISBN":"4159102010519","ISSN":"1546170X","abstract":"Several studies have revealed that the hyper-inflammatory response induced by severe acute respiratory syndrome coronavirus 2 (SARS-CoV-2) is a major cause of disease severity and death. However, predictive biomarkers of pathogenic inflammation to help guide targetable immune pathways are critically lacking. We implemented a rapid multiplex cytokine assay to measure serum interleukin (IL)-6, IL-8, tumor necrosis factor (TNF)-α and IL-1β in hospitalized patients with coronavirus disease 2019 (COVID-19) upon admission to the Mount Sinai Health System in New York. Patients (n = 1,484) were followed up to 41 d after admission (median, 8 d), and clinical information, laboratory test results and patient outcomes were collected. We found that high serum IL-6, IL-8 and TNF-α levels at the time of hospitalization were strong and independent predictors of patient survival (P &lt; 0.0001, P = 0.0205 and P = 0.0140, respectively). Notably, when adjusting for disease severity, common laboratory inflammation markers, hypoxia and other vitals, demographics, and a range of comorbidities, IL-6 and TNF-α serum levels remained independent and significant predictors of disease severity and death. These findings were validated in a second cohort of patients (n = 231). We propose that serum IL-6 and TNF-α levels should be considered in the management and treatment of patients with COVID-19 to stratify prospective clinical trials, guide resource allocation and inform therapeutic options.","author":[{"dropping-particle":"","family":"Valle","given":"Diane Marie","non-dropping-particle":"Del","parse-names":false,"suffix":""},{"dropping-particle":"","family":"Kim-Schulze","given":"Seunghee","non-dropping-particle":"","parse-names":false,"suffix":""},{"dropping-particle":"","family":"Huang","given":"Hsin Hui","non-dropping-particle":"","parse-names":false,"suffix":""},{"dropping-particle":"","family":"Beckmann","given":"Noam D.","non-dropping-particle":"","parse-names":false,"suffix":""},{"dropping-particle":"","family":"Nirenberg","given":"Sharon","non-dropping-particle":"","parse-names":false,"suffix":""},{"dropping-particle":"","family":"Wang","given":"Bo","non-dropping-particle":"","parse-names":false,"suffix":""},{"dropping-particle":"","family":"Lavin","given":"Yonit","non-dropping-particle":"","parse-names":false,"suffix":""},{"dropping-particle":"","family":"Swartz","given":"Talia H.","non-dropping-particle":"","parse-names":false,"suffix":""},{"dropping-particle":"","family":"Madduri","given":"Deepu","non-dropping-particle":"","parse-names":false,"suffix":""},{"dropping-particle":"","family":"Stock","given":"Aryeh","non-dropping-particle":"","parse-names":false,"suffix":""},{"dropping-particle":"","family":"Marron","given":"Thomas U.","non-dropping-particle":"","parse-names":false,"suffix":""},{"dropping-particle":"","family":"Xie","given":"Hui","non-dropping-particle":"","parse-names":false,"suffix":""},{"dropping-particle":"","family":"Patel","given":"Manishkumar","non-dropping-particle":"","parse-names":false,"suffix":""},{"dropping-particle":"","family":"Tuballes","given":"Kevin","non-dropping-particle":"","parse-names":false,"suffix":""},{"dropping-particle":"","family":"Oekelen","given":"Oliver","non-dropping-particle":"Van","parse-names":false,"suffix":""},{"dropping-particle":"","family":"Rahman","given":"Adeeb","non-dropping-particle":"","parse-names":false,"suffix":""},{"dropping-particle":"","family":"Kovatch","given":"Patricia","non-dropping-particle":"","parse-names":false,"suffix":""},{"dropping-particle":"","family":"Aberg","given":"Judith A.","non-dropping-particle":"","parse-names":false,"suffix":""},{"dropping-particle":"","family":"Schadt","given":"Eric","non-dropping-particle":"","parse-names":false,"suffix":""},{"dropping-particle":"","family":"Jagannath","given":"Sundar","non-dropping-particle":"","parse-names":false,"suffix":""},{"dropping-particle":"","family":"Mazumdar","given":"Madhu","non-dropping-particle":"","parse-names":false,"suffix":""},{"dropping-particle":"","family":"Charney","given":"Alexander W.","non-dropping-particle":"","parse-names":false,"suffix":""},{"dropping-particle":"","family":"Firpo-Betancourt","given":"Adolfo","non-dropping-particle":"","parse-names":false,"suffix":""},{"dropping-particle":"","family":"Mendu","given":"Damodara Rao","non-dropping-particle":"","parse-names":false,"suffix":""},{"dropping-particle":"","family":"Jhang","given":"Jeffrey","non-dropping-particle":"","parse-names":false,"suffix":""},{"dropping-particle":"","family":"Reich","given":"David","non-dropping-particle":"","parse-names":false,"suffix":""},{"dropping-particle":"","family":"Sigel","given":"Keith","non-dropping-particle":"","parse-names":false,"suffix":""},{"dropping-particle":"","family":"Cordon-Cardo","given":"Carlos","non-dropping-particle":"","parse-names":false,"suffix":""},{"dropping-particle":"","family":"Feldmann","given":"Marc","non-dropping-particle":"","parse-names":false,"suffix":""},{"dropping-particle":"","family":"Parekh","given":"Samir","non-dropping-particle":"","parse-names":false,"suffix":""},{"dropping-particle":"","family":"Merad","given":"Miriam","non-dropping-particle":"","parse-names":false,"suffix":""},{"dropping-particle":"","family":"Gnjatic","given":"Sacha","non-dropping-particle":"","parse-names":false,"suffix":""}],"container-title":"Nature Medicine","id":"ITEM-1","issue":"October","issued":{"date-parts":[["2020"]]},"publisher":"Springer US","title":"An inflammatory cytokine signature predicts COVID-19 severity and survival","type":"article-journal","volume":"26"},"uris":["http://www.mendeley.com/documents/?uuid=37a0fd9b-c7ce-4206-a339-eedadf28c1b4"]}],"mendeley":{"formattedCitation":"&lt;sup&gt;6&lt;/sup&gt;","plainTextFormattedCitation":"6","previouslyFormattedCitation":"&lt;sup&gt;6&lt;/sup&gt;"},"properties":{"noteIndex":0},"schema":"https://github.com/citation-style-language/schema/raw/master/csl-citation.json"}</w:instrText>
            </w:r>
            <w:r>
              <w:rPr>
                <w:rFonts w:ascii="Times New Roman" w:eastAsia="Times New Roman" w:hAnsi="Times New Roman" w:cs="Times New Roman"/>
                <w:color w:val="000000"/>
                <w:sz w:val="18"/>
                <w:szCs w:val="18"/>
                <w:lang w:val="en-US"/>
              </w:rPr>
              <w:fldChar w:fldCharType="separate"/>
            </w:r>
            <w:r w:rsidRPr="001D3AC3">
              <w:rPr>
                <w:rFonts w:ascii="Times New Roman" w:eastAsia="Times New Roman" w:hAnsi="Times New Roman" w:cs="Times New Roman"/>
                <w:noProof/>
                <w:color w:val="000000"/>
                <w:sz w:val="18"/>
                <w:szCs w:val="18"/>
                <w:vertAlign w:val="superscript"/>
                <w:lang w:val="en-US"/>
              </w:rPr>
              <w:t>6</w:t>
            </w:r>
            <w:r>
              <w:rPr>
                <w:rFonts w:ascii="Times New Roman" w:eastAsia="Times New Roman" w:hAnsi="Times New Roman" w:cs="Times New Roman"/>
                <w:color w:val="000000"/>
                <w:sz w:val="18"/>
                <w:szCs w:val="18"/>
                <w:lang w:val="en-US"/>
              </w:rPr>
              <w:fldChar w:fldCharType="end"/>
            </w:r>
          </w:p>
        </w:tc>
      </w:tr>
      <w:tr w:rsidR="00077B68" w:rsidRPr="00361352" w14:paraId="01190B75" w14:textId="77777777" w:rsidTr="00D90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256A9D90" w14:textId="77777777" w:rsidR="00077B68" w:rsidRPr="00123BC6" w:rsidRDefault="00077B68" w:rsidP="00D90B12">
            <w:pPr>
              <w:spacing w:before="120" w:after="120" w:line="276" w:lineRule="auto"/>
              <w:jc w:val="center"/>
              <w:rPr>
                <w:rFonts w:ascii="Times New Roman" w:hAnsi="Times New Roman" w:cs="Times New Roman"/>
                <w:b w:val="0"/>
                <w:bCs w:val="0"/>
                <w:sz w:val="18"/>
                <w:szCs w:val="18"/>
                <w:lang w:val="en-US"/>
              </w:rPr>
            </w:pPr>
            <w:proofErr w:type="gramStart"/>
            <w:r w:rsidRPr="00EE42BE">
              <w:rPr>
                <w:rFonts w:ascii="Times New Roman" w:eastAsia="Times New Roman" w:hAnsi="Times New Roman" w:cs="Times New Roman"/>
                <w:b w:val="0"/>
                <w:bCs w:val="0"/>
                <w:color w:val="000000"/>
                <w:sz w:val="18"/>
                <w:szCs w:val="18"/>
                <w:lang w:val="en-US"/>
              </w:rPr>
              <w:t>Neutrophil:VD</w:t>
            </w:r>
            <w:proofErr w:type="gramEnd"/>
            <w:r w:rsidRPr="00EE42BE">
              <w:rPr>
                <w:rFonts w:ascii="Times New Roman" w:eastAsia="Times New Roman" w:hAnsi="Times New Roman" w:cs="Times New Roman"/>
                <w:b w:val="0"/>
                <w:bCs w:val="0"/>
                <w:color w:val="000000"/>
                <w:sz w:val="18"/>
                <w:szCs w:val="18"/>
                <w:lang w:val="en-US"/>
              </w:rPr>
              <w:t>2 T-cell ratio</w:t>
            </w:r>
          </w:p>
        </w:tc>
        <w:tc>
          <w:tcPr>
            <w:tcW w:w="1275" w:type="dxa"/>
            <w:shd w:val="clear" w:color="auto" w:fill="auto"/>
          </w:tcPr>
          <w:p w14:paraId="062B6ADE" w14:textId="77777777" w:rsidR="00077B68" w:rsidRPr="009142E7" w:rsidRDefault="00077B68" w:rsidP="00D90B12">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EE42BE">
              <w:rPr>
                <w:rFonts w:ascii="Times New Roman" w:eastAsia="Times New Roman" w:hAnsi="Times New Roman" w:cs="Times New Roman"/>
                <w:color w:val="000000"/>
                <w:sz w:val="18"/>
                <w:szCs w:val="18"/>
                <w:lang w:val="en-US"/>
              </w:rPr>
              <w:t>54 patients, National Centre for Infectious Diseases (NCID), Singapore</w:t>
            </w:r>
          </w:p>
        </w:tc>
        <w:tc>
          <w:tcPr>
            <w:tcW w:w="1134" w:type="dxa"/>
            <w:shd w:val="clear" w:color="auto" w:fill="auto"/>
          </w:tcPr>
          <w:p w14:paraId="4AAF7A0D" w14:textId="77777777" w:rsidR="00077B68" w:rsidRPr="009142E7" w:rsidRDefault="00077B68" w:rsidP="00D90B12">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EE42BE">
              <w:rPr>
                <w:rFonts w:ascii="Times New Roman" w:eastAsia="Times New Roman" w:hAnsi="Times New Roman" w:cs="Times New Roman"/>
                <w:color w:val="000000"/>
                <w:sz w:val="18"/>
                <w:szCs w:val="18"/>
                <w:lang w:val="en-US"/>
              </w:rPr>
              <w:t>COVID-19 mortality</w:t>
            </w:r>
          </w:p>
        </w:tc>
        <w:tc>
          <w:tcPr>
            <w:tcW w:w="1276" w:type="dxa"/>
            <w:shd w:val="clear" w:color="auto" w:fill="auto"/>
          </w:tcPr>
          <w:p w14:paraId="48EA0F6D" w14:textId="77777777" w:rsidR="00077B68" w:rsidRPr="009142E7" w:rsidRDefault="00077B68" w:rsidP="00D90B12">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EE42BE">
              <w:rPr>
                <w:rFonts w:ascii="Times New Roman" w:eastAsia="Times New Roman" w:hAnsi="Times New Roman" w:cs="Times New Roman"/>
                <w:color w:val="000000"/>
                <w:sz w:val="18"/>
                <w:szCs w:val="18"/>
                <w:lang w:val="en-US"/>
              </w:rPr>
              <w:t>Prediction by receiver operating curve (ROC) analysis</w:t>
            </w:r>
          </w:p>
        </w:tc>
        <w:tc>
          <w:tcPr>
            <w:tcW w:w="2552" w:type="dxa"/>
            <w:shd w:val="clear" w:color="auto" w:fill="auto"/>
          </w:tcPr>
          <w:p w14:paraId="565EA61B" w14:textId="77777777" w:rsidR="00077B68" w:rsidRPr="009142E7" w:rsidRDefault="00077B68" w:rsidP="00D90B12">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roofErr w:type="gramStart"/>
            <w:r w:rsidRPr="00EE42BE">
              <w:rPr>
                <w:rFonts w:ascii="Times New Roman" w:eastAsia="Times New Roman" w:hAnsi="Times New Roman" w:cs="Times New Roman"/>
                <w:color w:val="000000"/>
                <w:sz w:val="18"/>
                <w:szCs w:val="18"/>
                <w:lang w:val="en-US"/>
              </w:rPr>
              <w:t>Neutrophils:VD</w:t>
            </w:r>
            <w:proofErr w:type="gramEnd"/>
            <w:r w:rsidRPr="00EE42BE">
              <w:rPr>
                <w:rFonts w:ascii="Times New Roman" w:eastAsia="Times New Roman" w:hAnsi="Times New Roman" w:cs="Times New Roman"/>
                <w:color w:val="000000"/>
                <w:sz w:val="18"/>
                <w:szCs w:val="18"/>
                <w:lang w:val="en-US"/>
              </w:rPr>
              <w:t>2 T-cells in patients with pneumonia: AUC: 0.845; and with hypoxia: AUC: 0.911</w:t>
            </w:r>
          </w:p>
        </w:tc>
        <w:tc>
          <w:tcPr>
            <w:tcW w:w="1180" w:type="dxa"/>
            <w:shd w:val="clear" w:color="auto" w:fill="auto"/>
          </w:tcPr>
          <w:p w14:paraId="08174E07" w14:textId="77777777" w:rsidR="00077B68" w:rsidRPr="001D3AC3" w:rsidRDefault="00077B68" w:rsidP="00D90B12">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vertAlign w:val="superscript"/>
                <w:lang w:val="en-US"/>
              </w:rPr>
            </w:pPr>
            <w:proofErr w:type="spellStart"/>
            <w:r w:rsidRPr="00EE42BE">
              <w:rPr>
                <w:rFonts w:ascii="Times New Roman" w:eastAsia="Times New Roman" w:hAnsi="Times New Roman" w:cs="Times New Roman"/>
                <w:color w:val="000000"/>
                <w:sz w:val="18"/>
                <w:szCs w:val="18"/>
                <w:lang w:val="en-US"/>
              </w:rPr>
              <w:t>Carissimo</w:t>
            </w:r>
            <w:proofErr w:type="spellEnd"/>
            <w:r w:rsidRPr="00EE42BE">
              <w:rPr>
                <w:rFonts w:ascii="Times New Roman" w:eastAsia="Times New Roman" w:hAnsi="Times New Roman" w:cs="Times New Roman"/>
                <w:color w:val="000000"/>
                <w:sz w:val="18"/>
                <w:szCs w:val="18"/>
                <w:lang w:val="en-US"/>
              </w:rPr>
              <w:t xml:space="preserve"> et al., 2020</w:t>
            </w:r>
            <w:r w:rsidRPr="001D3AC3">
              <w:rPr>
                <w:rFonts w:ascii="Times New Roman" w:eastAsia="Times New Roman" w:hAnsi="Times New Roman" w:cs="Times New Roman"/>
                <w:color w:val="000000"/>
                <w:sz w:val="18"/>
                <w:szCs w:val="18"/>
                <w:lang w:val="en-US"/>
              </w:rPr>
              <w:t xml:space="preserve"> </w:t>
            </w:r>
            <w:r>
              <w:rPr>
                <w:rFonts w:ascii="Times New Roman" w:eastAsia="Times New Roman" w:hAnsi="Times New Roman" w:cs="Times New Roman"/>
                <w:color w:val="000000"/>
                <w:sz w:val="18"/>
                <w:szCs w:val="18"/>
                <w:lang w:val="en-US"/>
              </w:rPr>
              <w:fldChar w:fldCharType="begin" w:fldLock="1"/>
            </w:r>
            <w:r>
              <w:rPr>
                <w:rFonts w:ascii="Times New Roman" w:eastAsia="Times New Roman" w:hAnsi="Times New Roman" w:cs="Times New Roman"/>
                <w:color w:val="000000"/>
                <w:sz w:val="18"/>
                <w:szCs w:val="18"/>
                <w:lang w:val="en-US"/>
              </w:rPr>
              <w:instrText>ADDIN CSL_CITATION {"citationItems":[{"id":"ITEM-1","itemData":{"DOI":"10.1038/s41467-020-19080-6","ISBN":"4146702019080","ISSN":"2041-1723","abstract":"SARS-CoV-2 is the novel coronavirus responsible for the current COVID-19 pandemic. Severe complications are observed only in a small proportion of infected patients but the cellular mechanisms underlying this progression are still unknown. Comprehensive flow cytometry of whole blood samples from 54 COVID-19 patients revealed a dramatic increase in the number of immature neutrophils. This increase strongly correlated with disease severity and was associated with elevated IL-6 and IP-10 levels, two key players in the cytokine storm. The most pronounced decrease in cell counts was observed for CD8 T-cells and VD2 gd T-cells, which both exhibited increased differentiation and activation. ROC analysis revealed that the count ratio of immature neutrophils to CD8 or VD2 T-cells predicts pneumonia onset (0.9071) as well as hypoxia onset (0.8908) with high sensitivity and specificity. It would thus be a useful prognostic marker for preventive patient management and improved healthcare resource management.\n\n### Competing Interest Statement\n\nThe authors have declared no competing interest.","author":[{"dropping-particle":"","family":"Carissimo","given":"Guillaume","non-dropping-particle":"","parse-names":false,"suffix":""},{"dropping-particle":"","family":"Xu","given":"Weili","non-dropping-particle":"","parse-names":false,"suffix":""},{"dropping-particle":"","family":"Kwok","given":"Immanuel","non-dropping-particle":"","parse-names":false,"suffix":""},{"dropping-particle":"","family":"Abdad","given":"Mohammad Yazid","non-dropping-particle":"","parse-names":false,"suffix":""},{"dropping-particle":"","family":"Chan","given":"Yi Hao","non-dropping-particle":"","parse-names":false,"suffix":""},{"dropping-particle":"","family":"Fong","given":"Siew Wai","non-dropping-particle":"","parse-names":false,"suffix":""},{"dropping-particle":"","family":"Puan","given":"Kia Joo","non-dropping-particle":"","parse-names":false,"suffix":""},{"dropping-particle":"","family":"Lee","given":"Cheryl Yi Pin","non-dropping-particle":"","parse-names":false,"suffix":""},{"dropping-particle":"","family":"Yeo","given":"Nicholas Kim-Wah","non-dropping-particle":"","parse-names":false,"suffix":""},{"dropping-particle":"","family":"Amrun","given":"Siti Naqiah","non-dropping-particle":"","parse-names":false,"suffix":""},{"dropping-particle":"","family":"Chee","given":"Rhonda Sin-Ling","non-dropping-particle":"","parse-names":false,"suffix":""},{"dropping-particle":"","family":"How","given":"Wilson","non-dropping-particle":"","parse-names":false,"suffix":""},{"dropping-particle":"","family":"Chan","given":"Stephrene","non-dropping-particle":"","parse-names":false,"suffix":""},{"dropping-particle":"","family":"Fan","given":"Eugene Bingwen","non-dropping-particle":"","parse-names":false,"suffix":""},{"dropping-particle":"","family":"Andiappan","given":"Anand","non-dropping-particle":"","parse-names":false,"suffix":""},{"dropping-particle":"","family":"Lee","given":"Bernett","non-dropping-particle":"","parse-names":false,"suffix":""},{"dropping-particle":"","family":"Rotzschke","given":"Olaf","non-dropping-particle":"","parse-names":false,"suffix":""},{"dropping-particle":"","family":"Young","given":"Barnaby Edward","non-dropping-particle":"","parse-names":false,"suffix":""},{"dropping-particle":"","family":"Leo","given":"Yee-Sin","non-dropping-particle":"","parse-names":false,"suffix":""},{"dropping-particle":"","family":"Lye","given":"David C","non-dropping-particle":"","parse-names":false,"suffix":""},{"dropping-particle":"","family":"Renia","given":"Laurent","non-dropping-particle":"","parse-names":false,"suffix":""},{"dropping-particle":"","family":"Ng","given":"Lai Guan","non-dropping-particle":"","parse-names":false,"suffix":""},{"dropping-particle":"","family":"Larbi","given":"Anis","non-dropping-particle":"","parse-names":false,"suffix":""},{"dropping-particle":"","family":"Ng","given":"Lisa FP","non-dropping-particle":"","parse-names":false,"suffix":""}],"container-title":"bioRxiv","id":"ITEM-1","issued":{"date-parts":[["2020"]]},"page":"2020.06.11.147389","publisher":"Springer US","title":"Whole blood immunophenotyping uncovers immature neutrophil-to-VD2 T-cell ratio as an early prognostic marker for severe COVID-19","type":"article-journal"},"uris":["http://www.mendeley.com/documents/?uuid=398d09bf-8f2c-40b8-a258-0ddef003f553"]}],"mendeley":{"formattedCitation":"&lt;sup&gt;7&lt;/sup&gt;","plainTextFormattedCitation":"7","previouslyFormattedCitation":"&lt;sup&gt;7&lt;/sup&gt;"},"properties":{"noteIndex":0},"schema":"https://github.com/citation-style-language/schema/raw/master/csl-citation.json"}</w:instrText>
            </w:r>
            <w:r>
              <w:rPr>
                <w:rFonts w:ascii="Times New Roman" w:eastAsia="Times New Roman" w:hAnsi="Times New Roman" w:cs="Times New Roman"/>
                <w:color w:val="000000"/>
                <w:sz w:val="18"/>
                <w:szCs w:val="18"/>
                <w:lang w:val="en-US"/>
              </w:rPr>
              <w:fldChar w:fldCharType="separate"/>
            </w:r>
            <w:r w:rsidRPr="001D3AC3">
              <w:rPr>
                <w:rFonts w:ascii="Times New Roman" w:eastAsia="Times New Roman" w:hAnsi="Times New Roman" w:cs="Times New Roman"/>
                <w:noProof/>
                <w:color w:val="000000"/>
                <w:sz w:val="18"/>
                <w:szCs w:val="18"/>
                <w:vertAlign w:val="superscript"/>
                <w:lang w:val="en-US"/>
              </w:rPr>
              <w:t>7</w:t>
            </w:r>
            <w:r>
              <w:rPr>
                <w:rFonts w:ascii="Times New Roman" w:eastAsia="Times New Roman" w:hAnsi="Times New Roman" w:cs="Times New Roman"/>
                <w:color w:val="000000"/>
                <w:sz w:val="18"/>
                <w:szCs w:val="18"/>
                <w:lang w:val="en-US"/>
              </w:rPr>
              <w:fldChar w:fldCharType="end"/>
            </w:r>
          </w:p>
        </w:tc>
      </w:tr>
      <w:tr w:rsidR="00077B68" w:rsidRPr="009142E7" w14:paraId="4D718B4C" w14:textId="77777777" w:rsidTr="00D90B12">
        <w:tc>
          <w:tcPr>
            <w:cnfStyle w:val="001000000000" w:firstRow="0" w:lastRow="0" w:firstColumn="1" w:lastColumn="0" w:oddVBand="0" w:evenVBand="0" w:oddHBand="0" w:evenHBand="0" w:firstRowFirstColumn="0" w:firstRowLastColumn="0" w:lastRowFirstColumn="0" w:lastRowLastColumn="0"/>
            <w:tcW w:w="1555" w:type="dxa"/>
            <w:shd w:val="clear" w:color="auto" w:fill="auto"/>
          </w:tcPr>
          <w:p w14:paraId="38D941B9" w14:textId="77777777" w:rsidR="00077B68" w:rsidRPr="00123BC6" w:rsidRDefault="00077B68" w:rsidP="00D90B12">
            <w:pPr>
              <w:spacing w:before="120" w:after="120" w:line="276" w:lineRule="auto"/>
              <w:jc w:val="center"/>
              <w:rPr>
                <w:rFonts w:ascii="Times New Roman" w:hAnsi="Times New Roman" w:cs="Times New Roman"/>
                <w:b w:val="0"/>
                <w:bCs w:val="0"/>
                <w:sz w:val="18"/>
                <w:szCs w:val="18"/>
                <w:lang w:val="en-US"/>
              </w:rPr>
            </w:pPr>
            <w:r w:rsidRPr="00EE42BE">
              <w:rPr>
                <w:rFonts w:ascii="Times New Roman" w:eastAsia="Times New Roman" w:hAnsi="Times New Roman" w:cs="Times New Roman"/>
                <w:b w:val="0"/>
                <w:bCs w:val="0"/>
                <w:color w:val="000000"/>
                <w:sz w:val="18"/>
                <w:szCs w:val="18"/>
                <w:lang w:val="en-US"/>
              </w:rPr>
              <w:lastRenderedPageBreak/>
              <w:t>Serum chemistry laboratory parameters</w:t>
            </w:r>
          </w:p>
        </w:tc>
        <w:tc>
          <w:tcPr>
            <w:tcW w:w="1275" w:type="dxa"/>
            <w:shd w:val="clear" w:color="auto" w:fill="auto"/>
          </w:tcPr>
          <w:p w14:paraId="01BB3539" w14:textId="77777777" w:rsidR="00077B68" w:rsidRPr="009142E7" w:rsidRDefault="00077B68" w:rsidP="00D90B1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EE42BE">
              <w:rPr>
                <w:rFonts w:ascii="Times New Roman" w:eastAsia="Times New Roman" w:hAnsi="Times New Roman" w:cs="Times New Roman"/>
                <w:color w:val="000000"/>
                <w:sz w:val="18"/>
                <w:szCs w:val="18"/>
                <w:lang w:val="en-US"/>
              </w:rPr>
              <w:t>398 patients, UTMB, Galveston</w:t>
            </w:r>
          </w:p>
        </w:tc>
        <w:tc>
          <w:tcPr>
            <w:tcW w:w="1134" w:type="dxa"/>
            <w:shd w:val="clear" w:color="auto" w:fill="auto"/>
          </w:tcPr>
          <w:p w14:paraId="05F57093" w14:textId="77777777" w:rsidR="00077B68" w:rsidRPr="009142E7" w:rsidRDefault="00077B68" w:rsidP="00D90B1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EE42BE">
              <w:rPr>
                <w:rFonts w:ascii="Times New Roman" w:eastAsia="Times New Roman" w:hAnsi="Times New Roman" w:cs="Times New Roman"/>
                <w:color w:val="000000"/>
                <w:sz w:val="18"/>
                <w:szCs w:val="18"/>
                <w:lang w:val="en-US"/>
              </w:rPr>
              <w:t>COVID-19 mortality</w:t>
            </w:r>
          </w:p>
        </w:tc>
        <w:tc>
          <w:tcPr>
            <w:tcW w:w="1276" w:type="dxa"/>
            <w:shd w:val="clear" w:color="auto" w:fill="auto"/>
          </w:tcPr>
          <w:p w14:paraId="33EC78F8" w14:textId="77777777" w:rsidR="00077B68" w:rsidRPr="009142E7" w:rsidRDefault="00077B68" w:rsidP="00D90B1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EE42BE">
              <w:rPr>
                <w:rFonts w:ascii="Times New Roman" w:eastAsia="Times New Roman" w:hAnsi="Times New Roman" w:cs="Times New Roman"/>
                <w:color w:val="000000"/>
                <w:sz w:val="18"/>
                <w:szCs w:val="18"/>
                <w:lang w:val="en-US"/>
              </w:rPr>
              <w:t>Prediction model (logistic regression classifier, SVM)</w:t>
            </w:r>
          </w:p>
        </w:tc>
        <w:tc>
          <w:tcPr>
            <w:tcW w:w="2552" w:type="dxa"/>
            <w:shd w:val="clear" w:color="auto" w:fill="auto"/>
          </w:tcPr>
          <w:p w14:paraId="11E98A18" w14:textId="77777777" w:rsidR="00077B68" w:rsidRPr="009142E7" w:rsidRDefault="00077B68" w:rsidP="00D90B1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EE42BE">
              <w:rPr>
                <w:rFonts w:ascii="Times New Roman" w:eastAsia="Times New Roman" w:hAnsi="Times New Roman" w:cs="Times New Roman"/>
                <w:color w:val="000000"/>
                <w:sz w:val="18"/>
                <w:szCs w:val="18"/>
                <w:lang w:val="en-US"/>
              </w:rPr>
              <w:t>CRP, blood urea nitrogen, serum calcium, albumin and lactic acid combined AUC: 0.93</w:t>
            </w:r>
          </w:p>
        </w:tc>
        <w:tc>
          <w:tcPr>
            <w:tcW w:w="1180" w:type="dxa"/>
            <w:shd w:val="clear" w:color="auto" w:fill="auto"/>
          </w:tcPr>
          <w:p w14:paraId="4763744D" w14:textId="77777777" w:rsidR="00077B68" w:rsidRPr="001D3AC3" w:rsidRDefault="00077B68" w:rsidP="00D90B1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vertAlign w:val="superscript"/>
                <w:lang w:val="en-US"/>
              </w:rPr>
            </w:pPr>
            <w:r w:rsidRPr="00EE42BE">
              <w:rPr>
                <w:rFonts w:ascii="Times New Roman" w:eastAsia="Times New Roman" w:hAnsi="Times New Roman" w:cs="Times New Roman"/>
                <w:color w:val="000000"/>
                <w:sz w:val="18"/>
                <w:szCs w:val="18"/>
                <w:lang w:val="en-US"/>
              </w:rPr>
              <w:t>Booth et al., 2020</w:t>
            </w:r>
            <w:r w:rsidRPr="001D3AC3">
              <w:rPr>
                <w:rFonts w:ascii="Times New Roman" w:eastAsia="Times New Roman" w:hAnsi="Times New Roman" w:cs="Times New Roman"/>
                <w:color w:val="000000"/>
                <w:sz w:val="18"/>
                <w:szCs w:val="18"/>
                <w:lang w:val="en-US"/>
              </w:rPr>
              <w:t xml:space="preserve"> </w:t>
            </w:r>
            <w:r>
              <w:rPr>
                <w:rFonts w:ascii="Times New Roman" w:eastAsia="Times New Roman" w:hAnsi="Times New Roman" w:cs="Times New Roman"/>
                <w:color w:val="000000"/>
                <w:sz w:val="18"/>
                <w:szCs w:val="18"/>
                <w:lang w:val="en-US"/>
              </w:rPr>
              <w:fldChar w:fldCharType="begin" w:fldLock="1"/>
            </w:r>
            <w:r>
              <w:rPr>
                <w:rFonts w:ascii="Times New Roman" w:eastAsia="Times New Roman" w:hAnsi="Times New Roman" w:cs="Times New Roman"/>
                <w:color w:val="000000"/>
                <w:sz w:val="18"/>
                <w:szCs w:val="18"/>
                <w:lang w:val="en-US"/>
              </w:rPr>
              <w:instrText>ADDIN CSL_CITATION {"citationItems":[{"id":"ITEM-1","itemData":{"DOI":"10.1038/s41379-020-00700-x","ISSN":"1530-0285","PMID":"33067522","abstract":"Coronavirus disease 2019 (COVID-19) is a novel disease resulting from infection with severe acute respiratory syndrome coronavirus 2 (SARS-CoV-2), which has quickly risen since the beginning of 2020 to become a global pandemic. As a result of the rapid growth of COVID-19, hospitals are tasked with managing an increasing volume of these cases with neither a known effective therapy, an existing vaccine, nor well-established guidelines for clinical management. The need for actionable knowledge amidst the COVID-19 pandemic is dire and yet, given the urgency of this illness and the speed with which the healthcare workforce must devise useful policies for its management, there is insufficient time to await the conclusions of detailed, controlled, prospective clinical research. Thus, we present a retrospective study evaluating laboratory data and mortality from patients with positive RT-PCR assay results for SARS-CoV-2. The objective of this study is to identify prognostic serum biomarkers in patients at greatest risk of mortality. To this end, we develop a machine learning model using five serum chemistry laboratory parameters (c-reactive protein, blood urea nitrogen, serum calcium, serum albumin, and lactic acid) from 398 patients (43 expired and 355 non-expired) for the prediction of death up to 48 h prior to patient expiration. The resulting support vector machine model achieved 91% sensitivity and 91% specificity (AUC 0.93) for predicting patient expiration status on held-out testing data. Finally, we examine the impact of each feature and feature combination in light of different model predictions, highlighting important patterns of laboratory values that impact outcomes in SARS-CoV-2 infection.","author":[{"dropping-particle":"","family":"Booth","given":"Adam L","non-dropping-particle":"","parse-names":false,"suffix":""},{"dropping-particle":"","family":"Abels","given":"Elizabeth","non-dropping-particle":"","parse-names":false,"suffix":""},{"dropping-particle":"","family":"McCaffrey","given":"Peter","non-dropping-particle":"","parse-names":false,"suffix":""}],"container-title":"Modern pathology : an official journal of the United States and Canadian Academy of Pathology, Inc","id":"ITEM-1","issued":{"date-parts":[["2020"]]},"publisher":"Springer US","title":"Development of a prognostic model for mortality in COVID-19 infection using machine learning.","type":"article-journal"},"uris":["http://www.mendeley.com/documents/?uuid=aca5c788-19ef-4bf6-a9c8-bb25e3004a48"]}],"mendeley":{"formattedCitation":"&lt;sup&gt;8&lt;/sup&gt;","plainTextFormattedCitation":"8","previouslyFormattedCitation":"&lt;sup&gt;8&lt;/sup&gt;"},"properties":{"noteIndex":0},"schema":"https://github.com/citation-style-language/schema/raw/master/csl-citation.json"}</w:instrText>
            </w:r>
            <w:r>
              <w:rPr>
                <w:rFonts w:ascii="Times New Roman" w:eastAsia="Times New Roman" w:hAnsi="Times New Roman" w:cs="Times New Roman"/>
                <w:color w:val="000000"/>
                <w:sz w:val="18"/>
                <w:szCs w:val="18"/>
                <w:lang w:val="en-US"/>
              </w:rPr>
              <w:fldChar w:fldCharType="separate"/>
            </w:r>
            <w:r w:rsidRPr="001D3AC3">
              <w:rPr>
                <w:rFonts w:ascii="Times New Roman" w:eastAsia="Times New Roman" w:hAnsi="Times New Roman" w:cs="Times New Roman"/>
                <w:noProof/>
                <w:color w:val="000000"/>
                <w:sz w:val="18"/>
                <w:szCs w:val="18"/>
                <w:vertAlign w:val="superscript"/>
                <w:lang w:val="en-US"/>
              </w:rPr>
              <w:t>8</w:t>
            </w:r>
            <w:r>
              <w:rPr>
                <w:rFonts w:ascii="Times New Roman" w:eastAsia="Times New Roman" w:hAnsi="Times New Roman" w:cs="Times New Roman"/>
                <w:color w:val="000000"/>
                <w:sz w:val="18"/>
                <w:szCs w:val="18"/>
                <w:lang w:val="en-US"/>
              </w:rPr>
              <w:fldChar w:fldCharType="end"/>
            </w:r>
          </w:p>
        </w:tc>
      </w:tr>
      <w:tr w:rsidR="00077B68" w:rsidRPr="00361352" w14:paraId="19F80A51" w14:textId="77777777" w:rsidTr="00D90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bottom w:val="single" w:sz="4" w:space="0" w:color="000000" w:themeColor="text1"/>
            </w:tcBorders>
            <w:shd w:val="clear" w:color="auto" w:fill="auto"/>
          </w:tcPr>
          <w:p w14:paraId="17F9B230" w14:textId="77777777" w:rsidR="00077B68" w:rsidRPr="00123BC6" w:rsidRDefault="00077B68" w:rsidP="00D90B12">
            <w:pPr>
              <w:spacing w:before="120" w:after="120" w:line="276" w:lineRule="auto"/>
              <w:jc w:val="center"/>
              <w:rPr>
                <w:rFonts w:ascii="Times New Roman" w:hAnsi="Times New Roman" w:cs="Times New Roman"/>
                <w:b w:val="0"/>
                <w:bCs w:val="0"/>
                <w:sz w:val="18"/>
                <w:szCs w:val="18"/>
                <w:lang w:val="en-US"/>
              </w:rPr>
            </w:pPr>
            <w:r w:rsidRPr="00123BC6">
              <w:rPr>
                <w:rFonts w:ascii="Times New Roman" w:eastAsia="Times New Roman" w:hAnsi="Times New Roman" w:cs="Times New Roman"/>
                <w:b w:val="0"/>
                <w:bCs w:val="0"/>
                <w:color w:val="000000"/>
                <w:sz w:val="18"/>
                <w:szCs w:val="18"/>
              </w:rPr>
              <w:t xml:space="preserve">Serum </w:t>
            </w:r>
            <w:proofErr w:type="spellStart"/>
            <w:r w:rsidRPr="00123BC6">
              <w:rPr>
                <w:rFonts w:ascii="Times New Roman" w:eastAsia="Times New Roman" w:hAnsi="Times New Roman" w:cs="Times New Roman"/>
                <w:b w:val="0"/>
                <w:bCs w:val="0"/>
                <w:color w:val="000000"/>
                <w:sz w:val="18"/>
                <w:szCs w:val="18"/>
              </w:rPr>
              <w:t>proteoms</w:t>
            </w:r>
            <w:proofErr w:type="spellEnd"/>
            <w:r w:rsidRPr="00123BC6">
              <w:rPr>
                <w:rFonts w:ascii="Times New Roman" w:eastAsia="Times New Roman" w:hAnsi="Times New Roman" w:cs="Times New Roman"/>
                <w:b w:val="0"/>
                <w:bCs w:val="0"/>
                <w:color w:val="000000"/>
                <w:sz w:val="18"/>
                <w:szCs w:val="18"/>
              </w:rPr>
              <w:t xml:space="preserve"> </w:t>
            </w:r>
            <w:proofErr w:type="spellStart"/>
            <w:r w:rsidRPr="00123BC6">
              <w:rPr>
                <w:rFonts w:ascii="Times New Roman" w:eastAsia="Times New Roman" w:hAnsi="Times New Roman" w:cs="Times New Roman"/>
                <w:b w:val="0"/>
                <w:bCs w:val="0"/>
                <w:color w:val="000000"/>
                <w:sz w:val="18"/>
                <w:szCs w:val="18"/>
              </w:rPr>
              <w:t>and</w:t>
            </w:r>
            <w:proofErr w:type="spellEnd"/>
            <w:r w:rsidRPr="00123BC6">
              <w:rPr>
                <w:rFonts w:ascii="Times New Roman" w:eastAsia="Times New Roman" w:hAnsi="Times New Roman" w:cs="Times New Roman"/>
                <w:b w:val="0"/>
                <w:bCs w:val="0"/>
                <w:color w:val="000000"/>
                <w:sz w:val="18"/>
                <w:szCs w:val="18"/>
              </w:rPr>
              <w:t xml:space="preserve"> </w:t>
            </w:r>
            <w:proofErr w:type="spellStart"/>
            <w:r w:rsidRPr="00123BC6">
              <w:rPr>
                <w:rFonts w:ascii="Times New Roman" w:eastAsia="Times New Roman" w:hAnsi="Times New Roman" w:cs="Times New Roman"/>
                <w:b w:val="0"/>
                <w:bCs w:val="0"/>
                <w:color w:val="000000"/>
                <w:sz w:val="18"/>
                <w:szCs w:val="18"/>
              </w:rPr>
              <w:t>metaboloms</w:t>
            </w:r>
            <w:proofErr w:type="spellEnd"/>
          </w:p>
        </w:tc>
        <w:tc>
          <w:tcPr>
            <w:tcW w:w="1275" w:type="dxa"/>
            <w:tcBorders>
              <w:bottom w:val="single" w:sz="4" w:space="0" w:color="000000" w:themeColor="text1"/>
            </w:tcBorders>
            <w:shd w:val="clear" w:color="auto" w:fill="auto"/>
          </w:tcPr>
          <w:p w14:paraId="61358B2A" w14:textId="77777777" w:rsidR="00077B68" w:rsidRPr="009142E7" w:rsidRDefault="00077B68" w:rsidP="00D90B12">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9142E7">
              <w:rPr>
                <w:rFonts w:ascii="Times New Roman" w:eastAsia="Times New Roman" w:hAnsi="Times New Roman" w:cs="Times New Roman"/>
                <w:color w:val="000000"/>
                <w:sz w:val="18"/>
                <w:szCs w:val="18"/>
              </w:rPr>
              <w:t xml:space="preserve">46 </w:t>
            </w:r>
            <w:proofErr w:type="spellStart"/>
            <w:r w:rsidRPr="009142E7">
              <w:rPr>
                <w:rFonts w:ascii="Times New Roman" w:eastAsia="Times New Roman" w:hAnsi="Times New Roman" w:cs="Times New Roman"/>
                <w:color w:val="000000"/>
                <w:sz w:val="18"/>
                <w:szCs w:val="18"/>
              </w:rPr>
              <w:t>patients</w:t>
            </w:r>
            <w:proofErr w:type="spellEnd"/>
            <w:r w:rsidRPr="009142E7">
              <w:rPr>
                <w:rFonts w:ascii="Times New Roman" w:eastAsia="Times New Roman" w:hAnsi="Times New Roman" w:cs="Times New Roman"/>
                <w:color w:val="000000"/>
                <w:sz w:val="18"/>
                <w:szCs w:val="18"/>
              </w:rPr>
              <w:t xml:space="preserve">, Taizhou </w:t>
            </w:r>
            <w:proofErr w:type="spellStart"/>
            <w:r w:rsidRPr="009142E7">
              <w:rPr>
                <w:rFonts w:ascii="Times New Roman" w:eastAsia="Times New Roman" w:hAnsi="Times New Roman" w:cs="Times New Roman"/>
                <w:color w:val="000000"/>
                <w:sz w:val="18"/>
                <w:szCs w:val="18"/>
              </w:rPr>
              <w:t>hospital</w:t>
            </w:r>
            <w:proofErr w:type="spellEnd"/>
            <w:r w:rsidRPr="009142E7">
              <w:rPr>
                <w:rFonts w:ascii="Times New Roman" w:eastAsia="Times New Roman" w:hAnsi="Times New Roman" w:cs="Times New Roman"/>
                <w:color w:val="000000"/>
                <w:sz w:val="18"/>
                <w:szCs w:val="18"/>
              </w:rPr>
              <w:t>, China</w:t>
            </w:r>
          </w:p>
        </w:tc>
        <w:tc>
          <w:tcPr>
            <w:tcW w:w="1134" w:type="dxa"/>
            <w:tcBorders>
              <w:bottom w:val="single" w:sz="4" w:space="0" w:color="000000" w:themeColor="text1"/>
            </w:tcBorders>
            <w:shd w:val="clear" w:color="auto" w:fill="auto"/>
          </w:tcPr>
          <w:p w14:paraId="5E28BF25" w14:textId="77777777" w:rsidR="00077B68" w:rsidRPr="0088145B" w:rsidRDefault="00077B68" w:rsidP="00D90B12">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eastAsia="Times New Roman" w:hAnsi="Times New Roman" w:cs="Times New Roman"/>
                <w:color w:val="000000"/>
                <w:sz w:val="18"/>
                <w:szCs w:val="18"/>
                <w:lang w:val="en-US"/>
              </w:rPr>
              <w:t>COVID-19</w:t>
            </w:r>
            <w:r>
              <w:rPr>
                <w:rFonts w:ascii="Times New Roman" w:eastAsia="Times New Roman" w:hAnsi="Times New Roman" w:cs="Times New Roman"/>
                <w:color w:val="000000"/>
                <w:sz w:val="18"/>
                <w:szCs w:val="18"/>
                <w:lang w:val="en-US"/>
              </w:rPr>
              <w:br/>
              <w:t>severity</w:t>
            </w:r>
          </w:p>
        </w:tc>
        <w:tc>
          <w:tcPr>
            <w:tcW w:w="1276" w:type="dxa"/>
            <w:tcBorders>
              <w:bottom w:val="single" w:sz="4" w:space="0" w:color="000000" w:themeColor="text1"/>
            </w:tcBorders>
            <w:shd w:val="clear" w:color="auto" w:fill="auto"/>
          </w:tcPr>
          <w:p w14:paraId="5C39D611" w14:textId="77777777" w:rsidR="00077B68" w:rsidRPr="009142E7" w:rsidRDefault="00077B68" w:rsidP="00D90B12">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B20EE4">
              <w:rPr>
                <w:rFonts w:ascii="Times New Roman" w:eastAsia="Times New Roman" w:hAnsi="Times New Roman" w:cs="Times New Roman"/>
                <w:color w:val="000000"/>
                <w:sz w:val="18"/>
                <w:szCs w:val="18"/>
                <w:lang w:val="en-US"/>
              </w:rPr>
              <w:t>Prediction by random forest model to build ROCs</w:t>
            </w:r>
          </w:p>
        </w:tc>
        <w:tc>
          <w:tcPr>
            <w:tcW w:w="2552" w:type="dxa"/>
            <w:tcBorders>
              <w:bottom w:val="single" w:sz="4" w:space="0" w:color="000000" w:themeColor="text1"/>
            </w:tcBorders>
            <w:shd w:val="clear" w:color="auto" w:fill="auto"/>
          </w:tcPr>
          <w:p w14:paraId="31D62C09" w14:textId="77777777" w:rsidR="00077B68" w:rsidRPr="009142E7" w:rsidRDefault="00077B68" w:rsidP="00D90B12">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B20EE4">
              <w:rPr>
                <w:rFonts w:ascii="Times New Roman" w:eastAsia="Times New Roman" w:hAnsi="Times New Roman" w:cs="Times New Roman"/>
                <w:color w:val="000000"/>
                <w:sz w:val="18"/>
                <w:szCs w:val="18"/>
                <w:lang w:val="en-US"/>
              </w:rPr>
              <w:t>22 proteins and 7 metabolites combined: AUC: 0.957</w:t>
            </w:r>
          </w:p>
        </w:tc>
        <w:tc>
          <w:tcPr>
            <w:tcW w:w="1180" w:type="dxa"/>
            <w:tcBorders>
              <w:bottom w:val="single" w:sz="4" w:space="0" w:color="000000" w:themeColor="text1"/>
            </w:tcBorders>
            <w:shd w:val="clear" w:color="auto" w:fill="auto"/>
          </w:tcPr>
          <w:p w14:paraId="0064114B" w14:textId="77777777" w:rsidR="00077B68" w:rsidRPr="001D3AC3" w:rsidRDefault="00077B68" w:rsidP="00D90B12">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vertAlign w:val="superscript"/>
                <w:lang w:val="en-US"/>
              </w:rPr>
            </w:pPr>
            <w:proofErr w:type="spellStart"/>
            <w:r w:rsidRPr="009142E7">
              <w:rPr>
                <w:rFonts w:ascii="Times New Roman" w:eastAsia="Times New Roman" w:hAnsi="Times New Roman" w:cs="Times New Roman"/>
                <w:color w:val="000000"/>
                <w:sz w:val="18"/>
                <w:szCs w:val="18"/>
              </w:rPr>
              <w:t>Shen</w:t>
            </w:r>
            <w:proofErr w:type="spellEnd"/>
            <w:r w:rsidRPr="009142E7">
              <w:rPr>
                <w:rFonts w:ascii="Times New Roman" w:eastAsia="Times New Roman" w:hAnsi="Times New Roman" w:cs="Times New Roman"/>
                <w:color w:val="000000"/>
                <w:sz w:val="18"/>
                <w:szCs w:val="18"/>
              </w:rPr>
              <w:t xml:space="preserve"> et al., 2020</w:t>
            </w:r>
            <w:r w:rsidRPr="001D3AC3">
              <w:rPr>
                <w:rFonts w:ascii="Times New Roman" w:eastAsia="Times New Roman" w:hAnsi="Times New Roman" w:cs="Times New Roman"/>
                <w:color w:val="000000"/>
                <w:sz w:val="18"/>
                <w:szCs w:val="18"/>
                <w:lang w:val="en-US"/>
              </w:rPr>
              <w:t xml:space="preserve"> </w:t>
            </w:r>
            <w:r>
              <w:rPr>
                <w:rFonts w:ascii="Times New Roman" w:eastAsia="Times New Roman" w:hAnsi="Times New Roman" w:cs="Times New Roman"/>
                <w:color w:val="000000"/>
                <w:sz w:val="18"/>
                <w:szCs w:val="18"/>
                <w:lang w:val="en-US"/>
              </w:rPr>
              <w:fldChar w:fldCharType="begin" w:fldLock="1"/>
            </w:r>
            <w:r>
              <w:rPr>
                <w:rFonts w:ascii="Times New Roman" w:eastAsia="Times New Roman" w:hAnsi="Times New Roman" w:cs="Times New Roman"/>
                <w:color w:val="000000"/>
                <w:sz w:val="18"/>
                <w:szCs w:val="18"/>
                <w:lang w:val="en-US"/>
              </w:rPr>
              <w:instrText>ADDIN CSL_CITATION {"citationItems":[{"id":"ITEM-1","itemData":{"DOI":"10.1016/j.cell.2020.05.032","ISSN":"10974172","PMID":"32492406","abstract":"Early detection and effective treatment of severe COVID-19 patients remain major challenges. Here, we performed proteomic and metabolomic profiling of sera from 46 COVID-19 and 53 control individuals. We then trained a machine learning model using proteomic and metabolomic measurements from a training cohort of 18 non-severe and 13 severe patients. The model was validated using 10 independent patients, 7 of which were correctly classified. Targeted proteomics and metabolomics assays were employed to further validate this molecular classifier in a second test cohort of 19 COVID-19 patients, leading to 16 correct assignments. We identified molecular changes in the sera of COVID-19 patients compared to other groups implicating dysregulation of macrophage, platelet degranulation, complement system pathways, and massive metabolic suppression. This study revealed characteristic protein and metabolite changes in the sera of severe COVID-19 patients, which might be used in selection of potential blood biomarkers for severity evaluation.","author":[{"dropping-particle":"","family":"Shen","given":"Bo","non-dropping-particle":"","parse-names":false,"suffix":""},{"dropping-particle":"","family":"Yi","given":"Xiao","non-dropping-particle":"","parse-names":false,"suffix":""},{"dropping-particle":"","family":"Sun","given":"Yaoting","non-dropping-particle":"","parse-names":false,"suffix":""},{"dropping-particle":"","family":"Bi","given":"Xiaojie","non-dropping-particle":"","parse-names":false,"suffix":""},{"dropping-particle":"","family":"Du","given":"Juping","non-dropping-particle":"","parse-names":false,"suffix":""},{"dropping-particle":"","family":"Zhang","given":"Chao","non-dropping-particle":"","parse-names":false,"suffix":""},{"dropping-particle":"","family":"Quan","given":"Sheng","non-dropping-particle":"","parse-names":false,"suffix":""},{"dropping-particle":"","family":"Zhang","given":"Fangfei","non-dropping-particle":"","parse-names":false,"suffix":""},{"dropping-particle":"","family":"Sun","given":"Rui","non-dropping-particle":"","parse-names":false,"suffix":""},{"dropping-particle":"","family":"Qian","given":"Liujia","non-dropping-particle":"","parse-names":false,"suffix":""},{"dropping-particle":"","family":"Ge","given":"Weigang","non-dropping-particle":"","parse-names":false,"suffix":""},{"dropping-particle":"","family":"Liu","given":"Wei","non-dropping-particle":"","parse-names":false,"suffix":""},{"dropping-particle":"","family":"Liang","given":"Shuang","non-dropping-particle":"","parse-names":false,"suffix":""},{"dropping-particle":"","family":"Chen","given":"Hao","non-dropping-particle":"","parse-names":false,"suffix":""},{"dropping-particle":"","family":"Zhang","given":"Ying","non-dropping-particle":"","parse-names":false,"suffix":""},{"dropping-particle":"","family":"Li","given":"Jun","non-dropping-particle":"","parse-names":false,"suffix":""},{"dropping-particle":"","family":"Xu","given":"Jiaqin","non-dropping-particle":"","parse-names":false,"suffix":""},{"dropping-particle":"","family":"He","given":"Zebao","non-dropping-particle":"","parse-names":false,"suffix":""},{"dropping-particle":"","family":"Chen","given":"Baofu","non-dropping-particle":"","parse-names":false,"suffix":""},{"dropping-particle":"","family":"Wang","given":"Jing","non-dropping-particle":"","parse-names":false,"suffix":""},{"dropping-particle":"","family":"Yan","given":"Haixi","non-dropping-particle":"","parse-names":false,"suffix":""},{"dropping-particle":"","family":"Zheng","given":"Yufen","non-dropping-particle":"","parse-names":false,"suffix":""},{"dropping-particle":"","family":"Wang","given":"Donglian","non-dropping-particle":"","parse-names":false,"suffix":""},{"dropping-particle":"","family":"Zhu","given":"Jiansheng","non-dropping-particle":"","parse-names":false,"suffix":""},{"dropping-particle":"","family":"Kong","given":"Ziqing","non-dropping-particle":"","parse-names":false,"suffix":""},{"dropping-particle":"","family":"Kang","given":"Zhouyang","non-dropping-particle":"","parse-names":false,"suffix":""},{"dropping-particle":"","family":"Liang","given":"Xiao","non-dropping-particle":"","parse-names":false,"suffix":""},{"dropping-particle":"","family":"Ding","given":"Xuan","non-dropping-particle":"","parse-names":false,"suffix":""},{"dropping-particle":"","family":"Ruan","given":"Guan","non-dropping-particle":"","parse-names":false,"suffix":""},{"dropping-particle":"","family":"Xiang","given":"Nan","non-dropping-particle":"","parse-names":false,"suffix":""},{"dropping-particle":"","family":"Cai","given":"Xue","non-dropping-particle":"","parse-names":false,"suffix":""},{"dropping-particle":"","family":"Gao","given":"Huanhuan","non-dropping-particle":"","parse-names":false,"suffix":""},{"dropping-particle":"","family":"Li","given":"Lu","non-dropping-particle":"","parse-names":false,"suffix":""},{"dropping-particle":"","family":"Li","given":"Sainan","non-dropping-particle":"","parse-names":false,"suffix":""},{"dropping-particle":"","family":"Xiao","given":"Qi","non-dropping-particle":"","parse-names":false,"suffix":""},{"dropping-particle":"","family":"Lu","given":"Tian","non-dropping-particle":"","parse-names":false,"suffix":""},{"dropping-particle":"","family":"Zhu","given":"Yi","non-dropping-particle":"","parse-names":false,"suffix":""},{"dropping-particle":"","family":"Liu","given":"Huafen","non-dropping-particle":"","parse-names":false,"suffix":""},{"dropping-particle":"","family":"Chen","given":"Haixiao","non-dropping-particle":"","parse-names":false,"suffix":""},{"dropping-particle":"","family":"Guo","given":"Tiannan","non-dropping-particle":"","parse-names":false,"suffix":""}],"container-title":"Cell","id":"ITEM-1","issue":"1","issued":{"date-parts":[["2020"]]},"page":"59-72.e15","title":"Proteomic and Metabolomic Characterization of COVID-19 Patient Sera","type":"article-journal","volume":"182"},"uris":["http://www.mendeley.com/documents/?uuid=360fd7a2-c09f-4b66-90e0-7d8d8093ffcd"]}],"mendeley":{"formattedCitation":"&lt;sup&gt;9&lt;/sup&gt;","plainTextFormattedCitation":"9","previouslyFormattedCitation":"&lt;sup&gt;9&lt;/sup&gt;"},"properties":{"noteIndex":0},"schema":"https://github.com/citation-style-language/schema/raw/master/csl-citation.json"}</w:instrText>
            </w:r>
            <w:r>
              <w:rPr>
                <w:rFonts w:ascii="Times New Roman" w:eastAsia="Times New Roman" w:hAnsi="Times New Roman" w:cs="Times New Roman"/>
                <w:color w:val="000000"/>
                <w:sz w:val="18"/>
                <w:szCs w:val="18"/>
                <w:lang w:val="en-US"/>
              </w:rPr>
              <w:fldChar w:fldCharType="separate"/>
            </w:r>
            <w:r w:rsidRPr="001D3AC3">
              <w:rPr>
                <w:rFonts w:ascii="Times New Roman" w:eastAsia="Times New Roman" w:hAnsi="Times New Roman" w:cs="Times New Roman"/>
                <w:noProof/>
                <w:color w:val="000000"/>
                <w:sz w:val="18"/>
                <w:szCs w:val="18"/>
                <w:vertAlign w:val="superscript"/>
                <w:lang w:val="en-US"/>
              </w:rPr>
              <w:t>9</w:t>
            </w:r>
            <w:r>
              <w:rPr>
                <w:rFonts w:ascii="Times New Roman" w:eastAsia="Times New Roman" w:hAnsi="Times New Roman" w:cs="Times New Roman"/>
                <w:color w:val="000000"/>
                <w:sz w:val="18"/>
                <w:szCs w:val="18"/>
                <w:lang w:val="en-US"/>
              </w:rPr>
              <w:fldChar w:fldCharType="end"/>
            </w:r>
          </w:p>
        </w:tc>
      </w:tr>
    </w:tbl>
    <w:p w14:paraId="54A564D2" w14:textId="6819B483" w:rsidR="00077B68" w:rsidRDefault="00077B68" w:rsidP="00497401">
      <w:pPr>
        <w:jc w:val="both"/>
        <w:rPr>
          <w:rFonts w:ascii="Times New Roman" w:hAnsi="Times New Roman" w:cs="Times New Roman"/>
          <w:sz w:val="20"/>
          <w:szCs w:val="20"/>
          <w:lang w:val="en-US"/>
        </w:rPr>
      </w:pPr>
    </w:p>
    <w:p w14:paraId="6EA1DB66" w14:textId="310F1780" w:rsidR="009B17C1" w:rsidRPr="005B27D7" w:rsidRDefault="00AE2D18" w:rsidP="009B17C1">
      <w:pPr>
        <w:jc w:val="both"/>
        <w:rPr>
          <w:rFonts w:ascii="Times New Roman" w:hAnsi="Times New Roman" w:cs="Times New Roman"/>
          <w:sz w:val="20"/>
          <w:szCs w:val="20"/>
          <w:lang w:val="en-US"/>
        </w:rPr>
      </w:pPr>
      <w:r>
        <w:rPr>
          <w:rFonts w:ascii="Times New Roman" w:hAnsi="Times New Roman" w:cs="Times New Roman"/>
          <w:b/>
          <w:sz w:val="20"/>
          <w:szCs w:val="20"/>
          <w:lang w:val="en-US"/>
        </w:rPr>
        <w:t>Extended Data Fig. 12</w:t>
      </w:r>
      <w:r w:rsidR="009B17C1" w:rsidRPr="005B27D7">
        <w:rPr>
          <w:rFonts w:ascii="Times New Roman" w:hAnsi="Times New Roman" w:cs="Times New Roman"/>
          <w:b/>
          <w:sz w:val="20"/>
          <w:szCs w:val="20"/>
          <w:lang w:val="en-US"/>
        </w:rPr>
        <w:t>.</w:t>
      </w:r>
      <w:r w:rsidR="009B17C1" w:rsidRPr="005B27D7">
        <w:rPr>
          <w:rFonts w:ascii="Times New Roman" w:hAnsi="Times New Roman" w:cs="Times New Roman"/>
          <w:sz w:val="20"/>
          <w:szCs w:val="20"/>
          <w:lang w:val="en-US"/>
        </w:rPr>
        <w:t xml:space="preserve"> Summary of clinical studies using immune cell counts and serum parameters as predictors of COVID-19 severity and mortality. Abbreviations: LDH, lactic dehydrogenase; CRP, C-reactive protein; PCT, procalcitonin; NLR, </w:t>
      </w:r>
      <w:proofErr w:type="spellStart"/>
      <w:r w:rsidR="009B17C1" w:rsidRPr="005B27D7">
        <w:rPr>
          <w:rFonts w:ascii="Times New Roman" w:hAnsi="Times New Roman" w:cs="Times New Roman"/>
          <w:sz w:val="20"/>
          <w:szCs w:val="20"/>
          <w:lang w:val="en-US"/>
        </w:rPr>
        <w:t>neutrophil:lymphocyte</w:t>
      </w:r>
      <w:proofErr w:type="spellEnd"/>
      <w:r w:rsidR="009B17C1" w:rsidRPr="005B27D7">
        <w:rPr>
          <w:rFonts w:ascii="Times New Roman" w:hAnsi="Times New Roman" w:cs="Times New Roman"/>
          <w:sz w:val="20"/>
          <w:szCs w:val="20"/>
          <w:lang w:val="en-US"/>
        </w:rPr>
        <w:t xml:space="preserve"> ratio; LASSO, least absolute shrinkage and selection operator; AUROC, area under the receiver operating characteristic; ROC: receiver operating characteristic; AUC, area under curve; SVM, support vector machine; OR, odds ratio; HR, hazard ratio.</w:t>
      </w:r>
    </w:p>
    <w:p w14:paraId="3D2EF8D4" w14:textId="77777777" w:rsidR="00077B68" w:rsidRDefault="00077B68" w:rsidP="00497401">
      <w:pPr>
        <w:jc w:val="both"/>
        <w:rPr>
          <w:rFonts w:ascii="Times New Roman" w:hAnsi="Times New Roman" w:cs="Times New Roman"/>
          <w:sz w:val="20"/>
          <w:szCs w:val="20"/>
          <w:lang w:val="en-US"/>
        </w:rPr>
      </w:pPr>
    </w:p>
    <w:p w14:paraId="5D7084EF" w14:textId="77777777" w:rsidR="00285868" w:rsidRDefault="00285868" w:rsidP="00497401">
      <w:pPr>
        <w:jc w:val="both"/>
        <w:rPr>
          <w:rFonts w:ascii="Times New Roman" w:hAnsi="Times New Roman" w:cs="Times New Roman"/>
          <w:sz w:val="20"/>
          <w:szCs w:val="20"/>
          <w:lang w:val="en-US"/>
        </w:rPr>
      </w:pPr>
    </w:p>
    <w:p w14:paraId="4F574C42" w14:textId="52A3A856" w:rsidR="00252544" w:rsidRDefault="0080169C" w:rsidP="008F7A22">
      <w:pPr>
        <w:rPr>
          <w:rFonts w:ascii="Times New Roman" w:hAnsi="Times New Roman" w:cs="Times New Roman"/>
          <w:sz w:val="20"/>
          <w:szCs w:val="20"/>
          <w:lang w:val="en-US"/>
        </w:rPr>
      </w:pPr>
      <w:r>
        <w:rPr>
          <w:rFonts w:ascii="Times New Roman" w:hAnsi="Times New Roman" w:cs="Times New Roman"/>
          <w:sz w:val="20"/>
          <w:szCs w:val="20"/>
          <w:lang w:val="en-US"/>
        </w:rPr>
        <w:br w:type="page"/>
      </w:r>
    </w:p>
    <w:p w14:paraId="31D95894" w14:textId="2D454C8C" w:rsidR="000F0531" w:rsidRPr="00AB2599" w:rsidRDefault="00904EFF" w:rsidP="00497401">
      <w:pPr>
        <w:jc w:val="both"/>
        <w:rPr>
          <w:rFonts w:ascii="Times New Roman" w:hAnsi="Times New Roman" w:cs="Times New Roman"/>
          <w:b/>
          <w:sz w:val="20"/>
          <w:szCs w:val="20"/>
          <w:lang w:val="en-US"/>
        </w:rPr>
      </w:pPr>
      <w:r w:rsidRPr="00AB2599">
        <w:rPr>
          <w:rFonts w:ascii="Times New Roman" w:hAnsi="Times New Roman" w:cs="Times New Roman"/>
          <w:b/>
          <w:sz w:val="20"/>
          <w:szCs w:val="20"/>
          <w:lang w:val="en-US"/>
        </w:rPr>
        <w:lastRenderedPageBreak/>
        <w:t>References</w:t>
      </w:r>
    </w:p>
    <w:p w14:paraId="7A2802C0" w14:textId="77777777" w:rsidR="000F0531" w:rsidRPr="00AB2599" w:rsidRDefault="000F0531" w:rsidP="00497401">
      <w:pPr>
        <w:jc w:val="both"/>
        <w:rPr>
          <w:rFonts w:ascii="Times New Roman" w:hAnsi="Times New Roman" w:cs="Times New Roman"/>
          <w:sz w:val="20"/>
          <w:szCs w:val="20"/>
          <w:lang w:val="en-US"/>
        </w:rPr>
      </w:pPr>
    </w:p>
    <w:p w14:paraId="42F24256" w14:textId="0A1F85F5" w:rsidR="000C0382" w:rsidRPr="003351AA" w:rsidRDefault="00E95410" w:rsidP="003242D3">
      <w:pPr>
        <w:ind w:left="640" w:hanging="640"/>
        <w:rPr>
          <w:rFonts w:ascii="Times New Roman" w:hAnsi="Times New Roman" w:cs="Times New Roman"/>
          <w:noProof/>
          <w:sz w:val="22"/>
          <w:szCs w:val="22"/>
          <w:lang w:val="en-US"/>
        </w:rPr>
      </w:pPr>
      <w:r w:rsidRPr="00275027">
        <w:rPr>
          <w:rFonts w:ascii="Times New Roman" w:hAnsi="Times New Roman" w:cs="Times New Roman"/>
          <w:sz w:val="22"/>
          <w:szCs w:val="22"/>
        </w:rPr>
        <w:fldChar w:fldCharType="begin"/>
      </w:r>
      <w:r w:rsidRPr="00B251A6">
        <w:rPr>
          <w:rFonts w:ascii="Times New Roman" w:hAnsi="Times New Roman" w:cs="Times New Roman"/>
          <w:sz w:val="22"/>
          <w:szCs w:val="22"/>
          <w:lang w:val="en-US"/>
        </w:rPr>
        <w:instrText xml:space="preserve"> ADDIN EN.REFLIST </w:instrText>
      </w:r>
      <w:r w:rsidRPr="00275027">
        <w:rPr>
          <w:rFonts w:ascii="Times New Roman" w:hAnsi="Times New Roman" w:cs="Times New Roman"/>
          <w:sz w:val="22"/>
          <w:szCs w:val="22"/>
        </w:rPr>
        <w:fldChar w:fldCharType="end"/>
      </w:r>
      <w:r w:rsidR="000C0382">
        <w:rPr>
          <w:rFonts w:ascii="Times New Roman" w:hAnsi="Times New Roman" w:cs="Times New Roman"/>
          <w:lang w:val="en-US"/>
        </w:rPr>
        <w:fldChar w:fldCharType="begin" w:fldLock="1"/>
      </w:r>
      <w:r w:rsidR="000C0382">
        <w:rPr>
          <w:rFonts w:ascii="Times New Roman" w:hAnsi="Times New Roman" w:cs="Times New Roman"/>
          <w:lang w:val="en-US"/>
        </w:rPr>
        <w:instrText xml:space="preserve">ADDIN Mendeley Bibliography CSL_BIBLIOGRAPHY </w:instrText>
      </w:r>
      <w:r w:rsidR="000C0382">
        <w:rPr>
          <w:rFonts w:ascii="Times New Roman" w:hAnsi="Times New Roman" w:cs="Times New Roman"/>
          <w:lang w:val="en-US"/>
        </w:rPr>
        <w:fldChar w:fldCharType="separate"/>
      </w:r>
      <w:r w:rsidR="000C0382" w:rsidRPr="001D3AC3">
        <w:rPr>
          <w:rFonts w:ascii="Times New Roman" w:hAnsi="Times New Roman" w:cs="Times New Roman"/>
          <w:noProof/>
          <w:lang w:val="en-US"/>
        </w:rPr>
        <w:t>1</w:t>
      </w:r>
      <w:r w:rsidR="000C0382" w:rsidRPr="003351AA">
        <w:rPr>
          <w:rFonts w:ascii="Times New Roman" w:hAnsi="Times New Roman" w:cs="Times New Roman"/>
          <w:noProof/>
          <w:sz w:val="22"/>
          <w:szCs w:val="22"/>
          <w:lang w:val="en-US"/>
        </w:rPr>
        <w:t>.</w:t>
      </w:r>
      <w:r w:rsidR="000C0382" w:rsidRPr="003351AA">
        <w:rPr>
          <w:rFonts w:ascii="Times New Roman" w:hAnsi="Times New Roman" w:cs="Times New Roman"/>
          <w:noProof/>
          <w:sz w:val="22"/>
          <w:szCs w:val="22"/>
          <w:lang w:val="en-US"/>
        </w:rPr>
        <w:tab/>
        <w:t xml:space="preserve">Yan, L. </w:t>
      </w:r>
      <w:r w:rsidR="000C0382" w:rsidRPr="003351AA">
        <w:rPr>
          <w:rFonts w:ascii="Times New Roman" w:hAnsi="Times New Roman" w:cs="Times New Roman"/>
          <w:i/>
          <w:iCs/>
          <w:noProof/>
          <w:sz w:val="22"/>
          <w:szCs w:val="22"/>
          <w:lang w:val="en-US"/>
        </w:rPr>
        <w:t>et al.</w:t>
      </w:r>
      <w:r w:rsidR="000C0382" w:rsidRPr="003351AA">
        <w:rPr>
          <w:rFonts w:ascii="Times New Roman" w:hAnsi="Times New Roman" w:cs="Times New Roman"/>
          <w:noProof/>
          <w:sz w:val="22"/>
          <w:szCs w:val="22"/>
          <w:lang w:val="en-US"/>
        </w:rPr>
        <w:t xml:space="preserve"> An interpretable mortality prediction model for COVID-19 patients. </w:t>
      </w:r>
      <w:r w:rsidR="000C0382" w:rsidRPr="003351AA">
        <w:rPr>
          <w:rFonts w:ascii="Times New Roman" w:hAnsi="Times New Roman" w:cs="Times New Roman"/>
          <w:i/>
          <w:iCs/>
          <w:noProof/>
          <w:sz w:val="22"/>
          <w:szCs w:val="22"/>
          <w:lang w:val="en-US"/>
        </w:rPr>
        <w:t>Nat. Mach. Intell.</w:t>
      </w:r>
      <w:r w:rsidR="000C0382" w:rsidRPr="003351AA">
        <w:rPr>
          <w:rFonts w:ascii="Times New Roman" w:hAnsi="Times New Roman" w:cs="Times New Roman"/>
          <w:noProof/>
          <w:sz w:val="22"/>
          <w:szCs w:val="22"/>
          <w:lang w:val="en-US"/>
        </w:rPr>
        <w:t xml:space="preserve"> </w:t>
      </w:r>
      <w:r w:rsidR="000C0382" w:rsidRPr="003351AA">
        <w:rPr>
          <w:rFonts w:ascii="Times New Roman" w:hAnsi="Times New Roman" w:cs="Times New Roman"/>
          <w:b/>
          <w:bCs/>
          <w:noProof/>
          <w:sz w:val="22"/>
          <w:szCs w:val="22"/>
          <w:lang w:val="en-US"/>
        </w:rPr>
        <w:t>2</w:t>
      </w:r>
      <w:r w:rsidR="000C0382" w:rsidRPr="003351AA">
        <w:rPr>
          <w:rFonts w:ascii="Times New Roman" w:hAnsi="Times New Roman" w:cs="Times New Roman"/>
          <w:noProof/>
          <w:sz w:val="22"/>
          <w:szCs w:val="22"/>
          <w:lang w:val="en-US"/>
        </w:rPr>
        <w:t>, 283–288 (2020).</w:t>
      </w:r>
    </w:p>
    <w:p w14:paraId="62E7B38F" w14:textId="77777777" w:rsidR="000C0382" w:rsidRPr="003351AA" w:rsidRDefault="000C0382" w:rsidP="000C0382">
      <w:pPr>
        <w:widowControl w:val="0"/>
        <w:autoSpaceDE w:val="0"/>
        <w:autoSpaceDN w:val="0"/>
        <w:adjustRightInd w:val="0"/>
        <w:ind w:left="640" w:hanging="640"/>
        <w:rPr>
          <w:rFonts w:ascii="Times New Roman" w:hAnsi="Times New Roman" w:cs="Times New Roman"/>
          <w:noProof/>
          <w:sz w:val="22"/>
          <w:szCs w:val="22"/>
          <w:lang w:val="en-US"/>
        </w:rPr>
      </w:pPr>
      <w:r w:rsidRPr="003351AA">
        <w:rPr>
          <w:rFonts w:ascii="Times New Roman" w:hAnsi="Times New Roman" w:cs="Times New Roman"/>
          <w:noProof/>
          <w:sz w:val="22"/>
          <w:szCs w:val="22"/>
          <w:lang w:val="en-US"/>
        </w:rPr>
        <w:t>2.</w:t>
      </w:r>
      <w:r w:rsidRPr="003351AA">
        <w:rPr>
          <w:rFonts w:ascii="Times New Roman" w:hAnsi="Times New Roman" w:cs="Times New Roman"/>
          <w:noProof/>
          <w:sz w:val="22"/>
          <w:szCs w:val="22"/>
          <w:lang w:val="en-US"/>
        </w:rPr>
        <w:tab/>
        <w:t xml:space="preserve">Xiao, L. shan </w:t>
      </w:r>
      <w:r w:rsidRPr="003351AA">
        <w:rPr>
          <w:rFonts w:ascii="Times New Roman" w:hAnsi="Times New Roman" w:cs="Times New Roman"/>
          <w:i/>
          <w:iCs/>
          <w:noProof/>
          <w:sz w:val="22"/>
          <w:szCs w:val="22"/>
          <w:lang w:val="en-US"/>
        </w:rPr>
        <w:t>et al.</w:t>
      </w:r>
      <w:r w:rsidRPr="003351AA">
        <w:rPr>
          <w:rFonts w:ascii="Times New Roman" w:hAnsi="Times New Roman" w:cs="Times New Roman"/>
          <w:noProof/>
          <w:sz w:val="22"/>
          <w:szCs w:val="22"/>
          <w:lang w:val="en-US"/>
        </w:rPr>
        <w:t xml:space="preserve"> Development and validation of the HNC-LL score for predicting the severity of coronavirus disease 2019. </w:t>
      </w:r>
      <w:r w:rsidRPr="003351AA">
        <w:rPr>
          <w:rFonts w:ascii="Times New Roman" w:hAnsi="Times New Roman" w:cs="Times New Roman"/>
          <w:i/>
          <w:iCs/>
          <w:noProof/>
          <w:sz w:val="22"/>
          <w:szCs w:val="22"/>
          <w:lang w:val="en-US"/>
        </w:rPr>
        <w:t>EBioMedicine</w:t>
      </w:r>
      <w:r w:rsidRPr="003351AA">
        <w:rPr>
          <w:rFonts w:ascii="Times New Roman" w:hAnsi="Times New Roman" w:cs="Times New Roman"/>
          <w:noProof/>
          <w:sz w:val="22"/>
          <w:szCs w:val="22"/>
          <w:lang w:val="en-US"/>
        </w:rPr>
        <w:t xml:space="preserve"> </w:t>
      </w:r>
      <w:r w:rsidRPr="003351AA">
        <w:rPr>
          <w:rFonts w:ascii="Times New Roman" w:hAnsi="Times New Roman" w:cs="Times New Roman"/>
          <w:b/>
          <w:bCs/>
          <w:noProof/>
          <w:sz w:val="22"/>
          <w:szCs w:val="22"/>
          <w:lang w:val="en-US"/>
        </w:rPr>
        <w:t>57</w:t>
      </w:r>
      <w:r w:rsidRPr="003351AA">
        <w:rPr>
          <w:rFonts w:ascii="Times New Roman" w:hAnsi="Times New Roman" w:cs="Times New Roman"/>
          <w:noProof/>
          <w:sz w:val="22"/>
          <w:szCs w:val="22"/>
          <w:lang w:val="en-US"/>
        </w:rPr>
        <w:t>, 102880 (2020).</w:t>
      </w:r>
    </w:p>
    <w:p w14:paraId="6DE05860" w14:textId="77777777" w:rsidR="000C0382" w:rsidRPr="003351AA" w:rsidRDefault="000C0382" w:rsidP="000C0382">
      <w:pPr>
        <w:widowControl w:val="0"/>
        <w:autoSpaceDE w:val="0"/>
        <w:autoSpaceDN w:val="0"/>
        <w:adjustRightInd w:val="0"/>
        <w:ind w:left="640" w:hanging="640"/>
        <w:rPr>
          <w:rFonts w:ascii="Times New Roman" w:hAnsi="Times New Roman" w:cs="Times New Roman"/>
          <w:noProof/>
          <w:sz w:val="22"/>
          <w:szCs w:val="22"/>
          <w:lang w:val="en-US"/>
        </w:rPr>
      </w:pPr>
      <w:r w:rsidRPr="003351AA">
        <w:rPr>
          <w:rFonts w:ascii="Times New Roman" w:hAnsi="Times New Roman" w:cs="Times New Roman"/>
          <w:noProof/>
          <w:sz w:val="22"/>
          <w:szCs w:val="22"/>
          <w:lang w:val="en-US"/>
        </w:rPr>
        <w:t>3.</w:t>
      </w:r>
      <w:r w:rsidRPr="003351AA">
        <w:rPr>
          <w:rFonts w:ascii="Times New Roman" w:hAnsi="Times New Roman" w:cs="Times New Roman"/>
          <w:noProof/>
          <w:sz w:val="22"/>
          <w:szCs w:val="22"/>
          <w:lang w:val="en-US"/>
        </w:rPr>
        <w:tab/>
        <w:t xml:space="preserve">Shang, Y. </w:t>
      </w:r>
      <w:r w:rsidRPr="003351AA">
        <w:rPr>
          <w:rFonts w:ascii="Times New Roman" w:hAnsi="Times New Roman" w:cs="Times New Roman"/>
          <w:i/>
          <w:iCs/>
          <w:noProof/>
          <w:sz w:val="22"/>
          <w:szCs w:val="22"/>
          <w:lang w:val="en-US"/>
        </w:rPr>
        <w:t>et al.</w:t>
      </w:r>
      <w:r w:rsidRPr="003351AA">
        <w:rPr>
          <w:rFonts w:ascii="Times New Roman" w:hAnsi="Times New Roman" w:cs="Times New Roman"/>
          <w:noProof/>
          <w:sz w:val="22"/>
          <w:szCs w:val="22"/>
          <w:lang w:val="en-US"/>
        </w:rPr>
        <w:t xml:space="preserve"> Scoring systems for predicting mortality for severe patients with COVID-19. </w:t>
      </w:r>
      <w:r w:rsidRPr="003351AA">
        <w:rPr>
          <w:rFonts w:ascii="Times New Roman" w:hAnsi="Times New Roman" w:cs="Times New Roman"/>
          <w:i/>
          <w:iCs/>
          <w:noProof/>
          <w:sz w:val="22"/>
          <w:szCs w:val="22"/>
          <w:lang w:val="en-US"/>
        </w:rPr>
        <w:t>EClinicalMedicine</w:t>
      </w:r>
      <w:r w:rsidRPr="003351AA">
        <w:rPr>
          <w:rFonts w:ascii="Times New Roman" w:hAnsi="Times New Roman" w:cs="Times New Roman"/>
          <w:noProof/>
          <w:sz w:val="22"/>
          <w:szCs w:val="22"/>
          <w:lang w:val="en-US"/>
        </w:rPr>
        <w:t xml:space="preserve"> </w:t>
      </w:r>
      <w:r w:rsidRPr="003351AA">
        <w:rPr>
          <w:rFonts w:ascii="Times New Roman" w:hAnsi="Times New Roman" w:cs="Times New Roman"/>
          <w:b/>
          <w:bCs/>
          <w:noProof/>
          <w:sz w:val="22"/>
          <w:szCs w:val="22"/>
          <w:lang w:val="en-US"/>
        </w:rPr>
        <w:t>24</w:t>
      </w:r>
      <w:r w:rsidRPr="003351AA">
        <w:rPr>
          <w:rFonts w:ascii="Times New Roman" w:hAnsi="Times New Roman" w:cs="Times New Roman"/>
          <w:noProof/>
          <w:sz w:val="22"/>
          <w:szCs w:val="22"/>
          <w:lang w:val="en-US"/>
        </w:rPr>
        <w:t>, 100426 (2020).</w:t>
      </w:r>
    </w:p>
    <w:p w14:paraId="52AB5C80" w14:textId="77777777" w:rsidR="000C0382" w:rsidRPr="003351AA" w:rsidRDefault="000C0382" w:rsidP="000C0382">
      <w:pPr>
        <w:widowControl w:val="0"/>
        <w:autoSpaceDE w:val="0"/>
        <w:autoSpaceDN w:val="0"/>
        <w:adjustRightInd w:val="0"/>
        <w:ind w:left="640" w:hanging="640"/>
        <w:rPr>
          <w:rFonts w:ascii="Times New Roman" w:hAnsi="Times New Roman" w:cs="Times New Roman"/>
          <w:noProof/>
          <w:sz w:val="22"/>
          <w:szCs w:val="22"/>
          <w:lang w:val="en-US"/>
        </w:rPr>
      </w:pPr>
      <w:r w:rsidRPr="003351AA">
        <w:rPr>
          <w:rFonts w:ascii="Times New Roman" w:hAnsi="Times New Roman" w:cs="Times New Roman"/>
          <w:noProof/>
          <w:sz w:val="22"/>
          <w:szCs w:val="22"/>
          <w:lang w:val="en-US"/>
        </w:rPr>
        <w:t>4.</w:t>
      </w:r>
      <w:r w:rsidRPr="003351AA">
        <w:rPr>
          <w:rFonts w:ascii="Times New Roman" w:hAnsi="Times New Roman" w:cs="Times New Roman"/>
          <w:noProof/>
          <w:sz w:val="22"/>
          <w:szCs w:val="22"/>
          <w:lang w:val="en-US"/>
        </w:rPr>
        <w:tab/>
        <w:t xml:space="preserve">Liang, W. </w:t>
      </w:r>
      <w:r w:rsidRPr="003351AA">
        <w:rPr>
          <w:rFonts w:ascii="Times New Roman" w:hAnsi="Times New Roman" w:cs="Times New Roman"/>
          <w:i/>
          <w:iCs/>
          <w:noProof/>
          <w:sz w:val="22"/>
          <w:szCs w:val="22"/>
          <w:lang w:val="en-US"/>
        </w:rPr>
        <w:t>et al.</w:t>
      </w:r>
      <w:r w:rsidRPr="003351AA">
        <w:rPr>
          <w:rFonts w:ascii="Times New Roman" w:hAnsi="Times New Roman" w:cs="Times New Roman"/>
          <w:noProof/>
          <w:sz w:val="22"/>
          <w:szCs w:val="22"/>
          <w:lang w:val="en-US"/>
        </w:rPr>
        <w:t xml:space="preserve"> Development and validation of a clinical risk score to predict the occurrence of critical illness in hospitalized patients with COVID-19. </w:t>
      </w:r>
      <w:r w:rsidRPr="003351AA">
        <w:rPr>
          <w:rFonts w:ascii="Times New Roman" w:hAnsi="Times New Roman" w:cs="Times New Roman"/>
          <w:i/>
          <w:iCs/>
          <w:noProof/>
          <w:sz w:val="22"/>
          <w:szCs w:val="22"/>
          <w:lang w:val="en-US"/>
        </w:rPr>
        <w:t>JAMA Intern. Med.</w:t>
      </w:r>
      <w:r w:rsidRPr="003351AA">
        <w:rPr>
          <w:rFonts w:ascii="Times New Roman" w:hAnsi="Times New Roman" w:cs="Times New Roman"/>
          <w:noProof/>
          <w:sz w:val="22"/>
          <w:szCs w:val="22"/>
          <w:lang w:val="en-US"/>
        </w:rPr>
        <w:t xml:space="preserve"> </w:t>
      </w:r>
      <w:r w:rsidRPr="003351AA">
        <w:rPr>
          <w:rFonts w:ascii="Times New Roman" w:hAnsi="Times New Roman" w:cs="Times New Roman"/>
          <w:b/>
          <w:bCs/>
          <w:noProof/>
          <w:sz w:val="22"/>
          <w:szCs w:val="22"/>
          <w:lang w:val="en-US"/>
        </w:rPr>
        <w:t>180</w:t>
      </w:r>
      <w:r w:rsidRPr="003351AA">
        <w:rPr>
          <w:rFonts w:ascii="Times New Roman" w:hAnsi="Times New Roman" w:cs="Times New Roman"/>
          <w:noProof/>
          <w:sz w:val="22"/>
          <w:szCs w:val="22"/>
          <w:lang w:val="en-US"/>
        </w:rPr>
        <w:t>, 1081–1089 (2020).</w:t>
      </w:r>
    </w:p>
    <w:p w14:paraId="13087DA2" w14:textId="77777777" w:rsidR="000C0382" w:rsidRPr="003351AA" w:rsidRDefault="000C0382" w:rsidP="000C0382">
      <w:pPr>
        <w:widowControl w:val="0"/>
        <w:autoSpaceDE w:val="0"/>
        <w:autoSpaceDN w:val="0"/>
        <w:adjustRightInd w:val="0"/>
        <w:ind w:left="640" w:hanging="640"/>
        <w:rPr>
          <w:rFonts w:ascii="Times New Roman" w:hAnsi="Times New Roman" w:cs="Times New Roman"/>
          <w:noProof/>
          <w:sz w:val="22"/>
          <w:szCs w:val="22"/>
          <w:lang w:val="en-US"/>
        </w:rPr>
      </w:pPr>
      <w:r w:rsidRPr="003351AA">
        <w:rPr>
          <w:rFonts w:ascii="Times New Roman" w:hAnsi="Times New Roman" w:cs="Times New Roman"/>
          <w:noProof/>
          <w:sz w:val="22"/>
          <w:szCs w:val="22"/>
          <w:lang w:val="en-US"/>
        </w:rPr>
        <w:t>5.</w:t>
      </w:r>
      <w:r w:rsidRPr="003351AA">
        <w:rPr>
          <w:rFonts w:ascii="Times New Roman" w:hAnsi="Times New Roman" w:cs="Times New Roman"/>
          <w:noProof/>
          <w:sz w:val="22"/>
          <w:szCs w:val="22"/>
          <w:lang w:val="en-US"/>
        </w:rPr>
        <w:tab/>
        <w:t xml:space="preserve">Song, C. Y., Xu, J., He, J. Q. &amp; Lu, Y. Q. Immune dysfunction following COVID-19, especially in severe patients. </w:t>
      </w:r>
      <w:r w:rsidRPr="003351AA">
        <w:rPr>
          <w:rFonts w:ascii="Times New Roman" w:hAnsi="Times New Roman" w:cs="Times New Roman"/>
          <w:i/>
          <w:iCs/>
          <w:noProof/>
          <w:sz w:val="22"/>
          <w:szCs w:val="22"/>
          <w:lang w:val="en-US"/>
        </w:rPr>
        <w:t>Sci. Rep.</w:t>
      </w:r>
      <w:r w:rsidRPr="003351AA">
        <w:rPr>
          <w:rFonts w:ascii="Times New Roman" w:hAnsi="Times New Roman" w:cs="Times New Roman"/>
          <w:noProof/>
          <w:sz w:val="22"/>
          <w:szCs w:val="22"/>
          <w:lang w:val="en-US"/>
        </w:rPr>
        <w:t xml:space="preserve"> </w:t>
      </w:r>
      <w:r w:rsidRPr="003351AA">
        <w:rPr>
          <w:rFonts w:ascii="Times New Roman" w:hAnsi="Times New Roman" w:cs="Times New Roman"/>
          <w:b/>
          <w:bCs/>
          <w:noProof/>
          <w:sz w:val="22"/>
          <w:szCs w:val="22"/>
          <w:lang w:val="en-US"/>
        </w:rPr>
        <w:t>10</w:t>
      </w:r>
      <w:r w:rsidRPr="003351AA">
        <w:rPr>
          <w:rFonts w:ascii="Times New Roman" w:hAnsi="Times New Roman" w:cs="Times New Roman"/>
          <w:noProof/>
          <w:sz w:val="22"/>
          <w:szCs w:val="22"/>
          <w:lang w:val="en-US"/>
        </w:rPr>
        <w:t>, 1–11 (2020).</w:t>
      </w:r>
    </w:p>
    <w:p w14:paraId="47C86F3E" w14:textId="77777777" w:rsidR="000C0382" w:rsidRPr="003351AA" w:rsidRDefault="000C0382" w:rsidP="000C0382">
      <w:pPr>
        <w:widowControl w:val="0"/>
        <w:autoSpaceDE w:val="0"/>
        <w:autoSpaceDN w:val="0"/>
        <w:adjustRightInd w:val="0"/>
        <w:ind w:left="640" w:hanging="640"/>
        <w:rPr>
          <w:rFonts w:ascii="Times New Roman" w:hAnsi="Times New Roman" w:cs="Times New Roman"/>
          <w:noProof/>
          <w:sz w:val="22"/>
          <w:szCs w:val="22"/>
          <w:lang w:val="en-US"/>
        </w:rPr>
      </w:pPr>
      <w:r w:rsidRPr="003351AA">
        <w:rPr>
          <w:rFonts w:ascii="Times New Roman" w:hAnsi="Times New Roman" w:cs="Times New Roman"/>
          <w:noProof/>
          <w:sz w:val="22"/>
          <w:szCs w:val="22"/>
          <w:lang w:val="en-US"/>
        </w:rPr>
        <w:t>6.</w:t>
      </w:r>
      <w:r w:rsidRPr="003351AA">
        <w:rPr>
          <w:rFonts w:ascii="Times New Roman" w:hAnsi="Times New Roman" w:cs="Times New Roman"/>
          <w:noProof/>
          <w:sz w:val="22"/>
          <w:szCs w:val="22"/>
          <w:lang w:val="en-US"/>
        </w:rPr>
        <w:tab/>
        <w:t xml:space="preserve">Del Valle, D. M. </w:t>
      </w:r>
      <w:r w:rsidRPr="003351AA">
        <w:rPr>
          <w:rFonts w:ascii="Times New Roman" w:hAnsi="Times New Roman" w:cs="Times New Roman"/>
          <w:i/>
          <w:iCs/>
          <w:noProof/>
          <w:sz w:val="22"/>
          <w:szCs w:val="22"/>
          <w:lang w:val="en-US"/>
        </w:rPr>
        <w:t>et al.</w:t>
      </w:r>
      <w:r w:rsidRPr="003351AA">
        <w:rPr>
          <w:rFonts w:ascii="Times New Roman" w:hAnsi="Times New Roman" w:cs="Times New Roman"/>
          <w:noProof/>
          <w:sz w:val="22"/>
          <w:szCs w:val="22"/>
          <w:lang w:val="en-US"/>
        </w:rPr>
        <w:t xml:space="preserve"> An inflammatory cytokine signature predicts COVID-19 severity and survival. </w:t>
      </w:r>
      <w:r w:rsidRPr="003351AA">
        <w:rPr>
          <w:rFonts w:ascii="Times New Roman" w:hAnsi="Times New Roman" w:cs="Times New Roman"/>
          <w:i/>
          <w:iCs/>
          <w:noProof/>
          <w:sz w:val="22"/>
          <w:szCs w:val="22"/>
          <w:lang w:val="en-US"/>
        </w:rPr>
        <w:t>Nat. Med.</w:t>
      </w:r>
      <w:r w:rsidRPr="003351AA">
        <w:rPr>
          <w:rFonts w:ascii="Times New Roman" w:hAnsi="Times New Roman" w:cs="Times New Roman"/>
          <w:noProof/>
          <w:sz w:val="22"/>
          <w:szCs w:val="22"/>
          <w:lang w:val="en-US"/>
        </w:rPr>
        <w:t xml:space="preserve"> </w:t>
      </w:r>
      <w:r w:rsidRPr="003351AA">
        <w:rPr>
          <w:rFonts w:ascii="Times New Roman" w:hAnsi="Times New Roman" w:cs="Times New Roman"/>
          <w:b/>
          <w:bCs/>
          <w:noProof/>
          <w:sz w:val="22"/>
          <w:szCs w:val="22"/>
          <w:lang w:val="en-US"/>
        </w:rPr>
        <w:t>26</w:t>
      </w:r>
      <w:r w:rsidRPr="003351AA">
        <w:rPr>
          <w:rFonts w:ascii="Times New Roman" w:hAnsi="Times New Roman" w:cs="Times New Roman"/>
          <w:noProof/>
          <w:sz w:val="22"/>
          <w:szCs w:val="22"/>
          <w:lang w:val="en-US"/>
        </w:rPr>
        <w:t>, (2020).</w:t>
      </w:r>
    </w:p>
    <w:p w14:paraId="6F606A9F" w14:textId="77777777" w:rsidR="000C0382" w:rsidRPr="003351AA" w:rsidRDefault="000C0382" w:rsidP="000C0382">
      <w:pPr>
        <w:widowControl w:val="0"/>
        <w:autoSpaceDE w:val="0"/>
        <w:autoSpaceDN w:val="0"/>
        <w:adjustRightInd w:val="0"/>
        <w:ind w:left="640" w:hanging="640"/>
        <w:rPr>
          <w:rFonts w:ascii="Times New Roman" w:hAnsi="Times New Roman" w:cs="Times New Roman"/>
          <w:noProof/>
          <w:sz w:val="22"/>
          <w:szCs w:val="22"/>
          <w:lang w:val="en-US"/>
        </w:rPr>
      </w:pPr>
      <w:r w:rsidRPr="003351AA">
        <w:rPr>
          <w:rFonts w:ascii="Times New Roman" w:hAnsi="Times New Roman" w:cs="Times New Roman"/>
          <w:noProof/>
          <w:sz w:val="22"/>
          <w:szCs w:val="22"/>
          <w:lang w:val="en-US"/>
        </w:rPr>
        <w:t>7.</w:t>
      </w:r>
      <w:r w:rsidRPr="003351AA">
        <w:rPr>
          <w:rFonts w:ascii="Times New Roman" w:hAnsi="Times New Roman" w:cs="Times New Roman"/>
          <w:noProof/>
          <w:sz w:val="22"/>
          <w:szCs w:val="22"/>
          <w:lang w:val="en-US"/>
        </w:rPr>
        <w:tab/>
        <w:t xml:space="preserve">Carissimo, G. </w:t>
      </w:r>
      <w:r w:rsidRPr="003351AA">
        <w:rPr>
          <w:rFonts w:ascii="Times New Roman" w:hAnsi="Times New Roman" w:cs="Times New Roman"/>
          <w:i/>
          <w:iCs/>
          <w:noProof/>
          <w:sz w:val="22"/>
          <w:szCs w:val="22"/>
          <w:lang w:val="en-US"/>
        </w:rPr>
        <w:t>et al.</w:t>
      </w:r>
      <w:r w:rsidRPr="003351AA">
        <w:rPr>
          <w:rFonts w:ascii="Times New Roman" w:hAnsi="Times New Roman" w:cs="Times New Roman"/>
          <w:noProof/>
          <w:sz w:val="22"/>
          <w:szCs w:val="22"/>
          <w:lang w:val="en-US"/>
        </w:rPr>
        <w:t xml:space="preserve"> Whole blood immunophenotyping uncovers immature neutrophil-to-VD2 T-cell ratio as an early prognostic marker for severe COVID-19. </w:t>
      </w:r>
      <w:r w:rsidRPr="003351AA">
        <w:rPr>
          <w:rFonts w:ascii="Times New Roman" w:eastAsia="Times New Roman" w:hAnsi="Times New Roman" w:cs="Times New Roman"/>
          <w:i/>
          <w:iCs/>
          <w:color w:val="222222"/>
          <w:sz w:val="22"/>
          <w:szCs w:val="22"/>
          <w:lang w:val="en-US"/>
        </w:rPr>
        <w:t>Nat Commun</w:t>
      </w:r>
      <w:r w:rsidRPr="003351AA">
        <w:rPr>
          <w:rFonts w:ascii="Times New Roman" w:eastAsia="Times New Roman" w:hAnsi="Times New Roman" w:cs="Times New Roman"/>
          <w:color w:val="222222"/>
          <w:sz w:val="22"/>
          <w:szCs w:val="22"/>
          <w:shd w:val="clear" w:color="auto" w:fill="FFFFFF"/>
          <w:lang w:val="en-US"/>
        </w:rPr>
        <w:t> </w:t>
      </w:r>
      <w:r w:rsidRPr="003351AA">
        <w:rPr>
          <w:rFonts w:ascii="Times New Roman" w:eastAsia="Times New Roman" w:hAnsi="Times New Roman" w:cs="Times New Roman"/>
          <w:b/>
          <w:bCs/>
          <w:color w:val="222222"/>
          <w:sz w:val="22"/>
          <w:szCs w:val="22"/>
          <w:lang w:val="en-US"/>
        </w:rPr>
        <w:t>11, </w:t>
      </w:r>
      <w:r w:rsidRPr="003351AA">
        <w:rPr>
          <w:rFonts w:ascii="Times New Roman" w:eastAsia="Times New Roman" w:hAnsi="Times New Roman" w:cs="Times New Roman"/>
          <w:color w:val="222222"/>
          <w:sz w:val="22"/>
          <w:szCs w:val="22"/>
          <w:shd w:val="clear" w:color="auto" w:fill="FFFFFF"/>
          <w:lang w:val="en-US"/>
        </w:rPr>
        <w:t>5243 (2020).</w:t>
      </w:r>
    </w:p>
    <w:p w14:paraId="60E75271" w14:textId="77777777" w:rsidR="000C0382" w:rsidRPr="003351AA" w:rsidRDefault="000C0382" w:rsidP="000C0382">
      <w:pPr>
        <w:widowControl w:val="0"/>
        <w:autoSpaceDE w:val="0"/>
        <w:autoSpaceDN w:val="0"/>
        <w:adjustRightInd w:val="0"/>
        <w:ind w:left="640" w:hanging="640"/>
        <w:rPr>
          <w:rFonts w:ascii="Times New Roman" w:hAnsi="Times New Roman" w:cs="Times New Roman"/>
          <w:noProof/>
          <w:sz w:val="22"/>
          <w:szCs w:val="22"/>
          <w:lang w:val="en-US"/>
        </w:rPr>
      </w:pPr>
      <w:r w:rsidRPr="003351AA">
        <w:rPr>
          <w:rFonts w:ascii="Times New Roman" w:hAnsi="Times New Roman" w:cs="Times New Roman"/>
          <w:noProof/>
          <w:sz w:val="22"/>
          <w:szCs w:val="22"/>
          <w:lang w:val="en-US"/>
        </w:rPr>
        <w:t>8.</w:t>
      </w:r>
      <w:r w:rsidRPr="003351AA">
        <w:rPr>
          <w:rFonts w:ascii="Times New Roman" w:hAnsi="Times New Roman" w:cs="Times New Roman"/>
          <w:noProof/>
          <w:sz w:val="22"/>
          <w:szCs w:val="22"/>
          <w:lang w:val="en-US"/>
        </w:rPr>
        <w:tab/>
        <w:t xml:space="preserve">Booth, A. L., Abels, E. &amp; McCaffrey, P. Development of a prognostic model for mortality in COVID-19 infection using machine learning. </w:t>
      </w:r>
      <w:r w:rsidRPr="003351AA">
        <w:rPr>
          <w:rFonts w:ascii="Times New Roman" w:hAnsi="Times New Roman" w:cs="Times New Roman"/>
          <w:i/>
          <w:iCs/>
          <w:noProof/>
          <w:sz w:val="22"/>
          <w:szCs w:val="22"/>
          <w:lang w:val="en-US"/>
        </w:rPr>
        <w:t>Mod. Pathol.</w:t>
      </w:r>
      <w:r w:rsidRPr="003351AA">
        <w:rPr>
          <w:rFonts w:ascii="Times New Roman" w:hAnsi="Times New Roman" w:cs="Times New Roman"/>
          <w:noProof/>
          <w:sz w:val="22"/>
          <w:szCs w:val="22"/>
          <w:lang w:val="en-US"/>
        </w:rPr>
        <w:t xml:space="preserve"> (2020).</w:t>
      </w:r>
    </w:p>
    <w:p w14:paraId="25529C7C" w14:textId="77777777" w:rsidR="000C0382" w:rsidRPr="003351AA" w:rsidRDefault="000C0382" w:rsidP="000C0382">
      <w:pPr>
        <w:widowControl w:val="0"/>
        <w:autoSpaceDE w:val="0"/>
        <w:autoSpaceDN w:val="0"/>
        <w:adjustRightInd w:val="0"/>
        <w:ind w:left="640" w:hanging="640"/>
        <w:rPr>
          <w:rFonts w:ascii="Times New Roman" w:hAnsi="Times New Roman" w:cs="Times New Roman"/>
          <w:noProof/>
          <w:sz w:val="22"/>
          <w:szCs w:val="22"/>
        </w:rPr>
      </w:pPr>
      <w:r w:rsidRPr="003351AA">
        <w:rPr>
          <w:rFonts w:ascii="Times New Roman" w:hAnsi="Times New Roman" w:cs="Times New Roman"/>
          <w:noProof/>
          <w:sz w:val="22"/>
          <w:szCs w:val="22"/>
          <w:lang w:val="en-US"/>
        </w:rPr>
        <w:t>9.</w:t>
      </w:r>
      <w:r w:rsidRPr="003351AA">
        <w:rPr>
          <w:rFonts w:ascii="Times New Roman" w:hAnsi="Times New Roman" w:cs="Times New Roman"/>
          <w:noProof/>
          <w:sz w:val="22"/>
          <w:szCs w:val="22"/>
          <w:lang w:val="en-US"/>
        </w:rPr>
        <w:tab/>
        <w:t xml:space="preserve">Shen, B. </w:t>
      </w:r>
      <w:r w:rsidRPr="003351AA">
        <w:rPr>
          <w:rFonts w:ascii="Times New Roman" w:hAnsi="Times New Roman" w:cs="Times New Roman"/>
          <w:i/>
          <w:iCs/>
          <w:noProof/>
          <w:sz w:val="22"/>
          <w:szCs w:val="22"/>
          <w:lang w:val="en-US"/>
        </w:rPr>
        <w:t>et al.</w:t>
      </w:r>
      <w:r w:rsidRPr="003351AA">
        <w:rPr>
          <w:rFonts w:ascii="Times New Roman" w:hAnsi="Times New Roman" w:cs="Times New Roman"/>
          <w:noProof/>
          <w:sz w:val="22"/>
          <w:szCs w:val="22"/>
          <w:lang w:val="en-US"/>
        </w:rPr>
        <w:t xml:space="preserve"> Proteomic and Metabolomic Characterization of COVID-19 Patient Sera. </w:t>
      </w:r>
      <w:r w:rsidRPr="003351AA">
        <w:rPr>
          <w:rFonts w:ascii="Times New Roman" w:hAnsi="Times New Roman" w:cs="Times New Roman"/>
          <w:i/>
          <w:iCs/>
          <w:noProof/>
          <w:sz w:val="22"/>
          <w:szCs w:val="22"/>
          <w:lang w:val="en-US"/>
        </w:rPr>
        <w:t>Cell</w:t>
      </w:r>
      <w:r w:rsidRPr="003351AA">
        <w:rPr>
          <w:rFonts w:ascii="Times New Roman" w:hAnsi="Times New Roman" w:cs="Times New Roman"/>
          <w:noProof/>
          <w:sz w:val="22"/>
          <w:szCs w:val="22"/>
          <w:lang w:val="en-US"/>
        </w:rPr>
        <w:t xml:space="preserve"> </w:t>
      </w:r>
      <w:r w:rsidRPr="003351AA">
        <w:rPr>
          <w:rFonts w:ascii="Times New Roman" w:hAnsi="Times New Roman" w:cs="Times New Roman"/>
          <w:b/>
          <w:bCs/>
          <w:noProof/>
          <w:sz w:val="22"/>
          <w:szCs w:val="22"/>
          <w:lang w:val="en-US"/>
        </w:rPr>
        <w:t>182</w:t>
      </w:r>
      <w:r w:rsidRPr="003351AA">
        <w:rPr>
          <w:rFonts w:ascii="Times New Roman" w:hAnsi="Times New Roman" w:cs="Times New Roman"/>
          <w:noProof/>
          <w:sz w:val="22"/>
          <w:szCs w:val="22"/>
          <w:lang w:val="en-US"/>
        </w:rPr>
        <w:t>, 59-72.e15 (2020).</w:t>
      </w:r>
    </w:p>
    <w:p w14:paraId="1DA984D1" w14:textId="612957F0" w:rsidR="000F0531" w:rsidRPr="000F0531" w:rsidRDefault="000C0382" w:rsidP="000C0382">
      <w:pPr>
        <w:jc w:val="both"/>
        <w:rPr>
          <w:rFonts w:ascii="Times New Roman" w:hAnsi="Times New Roman" w:cs="Times New Roman"/>
          <w:sz w:val="20"/>
          <w:szCs w:val="20"/>
          <w:lang w:val="en-US"/>
        </w:rPr>
      </w:pPr>
      <w:r>
        <w:rPr>
          <w:rFonts w:ascii="Times New Roman" w:hAnsi="Times New Roman" w:cs="Times New Roman"/>
          <w:lang w:val="en-US"/>
        </w:rPr>
        <w:fldChar w:fldCharType="end"/>
      </w:r>
    </w:p>
    <w:sectPr w:rsidR="000F0531" w:rsidRPr="000F0531" w:rsidSect="00681C14">
      <w:footerReference w:type="even" r:id="rId19"/>
      <w:footerReference w:type="default" r:id="rId2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E89A7F" w14:textId="77777777" w:rsidR="00E137FA" w:rsidRDefault="00E137FA" w:rsidP="00775E12">
      <w:r>
        <w:separator/>
      </w:r>
    </w:p>
  </w:endnote>
  <w:endnote w:type="continuationSeparator" w:id="0">
    <w:p w14:paraId="6BDCF069" w14:textId="77777777" w:rsidR="00E137FA" w:rsidRDefault="00E137FA" w:rsidP="00775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54861356"/>
      <w:docPartObj>
        <w:docPartGallery w:val="Page Numbers (Bottom of Page)"/>
        <w:docPartUnique/>
      </w:docPartObj>
    </w:sdtPr>
    <w:sdtEndPr>
      <w:rPr>
        <w:rStyle w:val="PageNumber"/>
      </w:rPr>
    </w:sdtEndPr>
    <w:sdtContent>
      <w:p w14:paraId="1D2B4067" w14:textId="77777777" w:rsidR="00775E12" w:rsidRDefault="00775E12" w:rsidP="0081232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527B23" w14:textId="77777777" w:rsidR="00775E12" w:rsidRDefault="00775E12" w:rsidP="00775E1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74893541"/>
      <w:docPartObj>
        <w:docPartGallery w:val="Page Numbers (Bottom of Page)"/>
        <w:docPartUnique/>
      </w:docPartObj>
    </w:sdtPr>
    <w:sdtEndPr>
      <w:rPr>
        <w:rStyle w:val="PageNumber"/>
      </w:rPr>
    </w:sdtEndPr>
    <w:sdtContent>
      <w:p w14:paraId="5C5D134E" w14:textId="77777777" w:rsidR="00775E12" w:rsidRDefault="00775E12" w:rsidP="0081232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9BA6BB4" w14:textId="77777777" w:rsidR="00775E12" w:rsidRDefault="00775E12" w:rsidP="00775E1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A18047" w14:textId="77777777" w:rsidR="00E137FA" w:rsidRDefault="00E137FA" w:rsidP="00775E12">
      <w:r>
        <w:separator/>
      </w:r>
    </w:p>
  </w:footnote>
  <w:footnote w:type="continuationSeparator" w:id="0">
    <w:p w14:paraId="0F3E44E4" w14:textId="77777777" w:rsidR="00E137FA" w:rsidRDefault="00E137FA" w:rsidP="00775E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4209E3"/>
    <w:multiLevelType w:val="multilevel"/>
    <w:tmpl w:val="DDF0D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9"/>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ell&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item db-id=&quot;5vfx9sxwrspxvoed5zbxpfaatfxv0zprf25p&quot;&gt;My EndNote Library-Converted&lt;record-ids&gt;&lt;item&gt;1250&lt;/item&gt;&lt;item&gt;1351&lt;/item&gt;&lt;item&gt;1374&lt;/item&gt;&lt;item&gt;1379&lt;/item&gt;&lt;item&gt;1380&lt;/item&gt;&lt;item&gt;1381&lt;/item&gt;&lt;item&gt;1382&lt;/item&gt;&lt;item&gt;1383&lt;/item&gt;&lt;item&gt;1408&lt;/item&gt;&lt;item&gt;1409&lt;/item&gt;&lt;/record-ids&gt;&lt;/item&gt;&lt;/Libraries&gt;"/>
  </w:docVars>
  <w:rsids>
    <w:rsidRoot w:val="00775E12"/>
    <w:rsid w:val="000017A0"/>
    <w:rsid w:val="0002017D"/>
    <w:rsid w:val="00023F00"/>
    <w:rsid w:val="0002531B"/>
    <w:rsid w:val="00030E9F"/>
    <w:rsid w:val="00036105"/>
    <w:rsid w:val="00056212"/>
    <w:rsid w:val="00062413"/>
    <w:rsid w:val="00077B68"/>
    <w:rsid w:val="000840EE"/>
    <w:rsid w:val="00097BE0"/>
    <w:rsid w:val="000A500F"/>
    <w:rsid w:val="000C0382"/>
    <w:rsid w:val="000C05B8"/>
    <w:rsid w:val="000C1F75"/>
    <w:rsid w:val="000E6102"/>
    <w:rsid w:val="000F0531"/>
    <w:rsid w:val="00104607"/>
    <w:rsid w:val="00106CA2"/>
    <w:rsid w:val="00122E0E"/>
    <w:rsid w:val="0016021F"/>
    <w:rsid w:val="00166562"/>
    <w:rsid w:val="00170F26"/>
    <w:rsid w:val="0017711F"/>
    <w:rsid w:val="001928B7"/>
    <w:rsid w:val="00197B03"/>
    <w:rsid w:val="001A6B56"/>
    <w:rsid w:val="001B4631"/>
    <w:rsid w:val="001C3F61"/>
    <w:rsid w:val="001F5551"/>
    <w:rsid w:val="00220946"/>
    <w:rsid w:val="002265E3"/>
    <w:rsid w:val="00227994"/>
    <w:rsid w:val="00230142"/>
    <w:rsid w:val="00252544"/>
    <w:rsid w:val="00267A83"/>
    <w:rsid w:val="00267CF3"/>
    <w:rsid w:val="00270C08"/>
    <w:rsid w:val="00275027"/>
    <w:rsid w:val="00285868"/>
    <w:rsid w:val="0028623F"/>
    <w:rsid w:val="00294443"/>
    <w:rsid w:val="002A1CC1"/>
    <w:rsid w:val="002B3D18"/>
    <w:rsid w:val="002B7BE3"/>
    <w:rsid w:val="002C2522"/>
    <w:rsid w:val="002D2D78"/>
    <w:rsid w:val="002D36FA"/>
    <w:rsid w:val="002F30DA"/>
    <w:rsid w:val="0030149F"/>
    <w:rsid w:val="0030496A"/>
    <w:rsid w:val="003075E7"/>
    <w:rsid w:val="00315361"/>
    <w:rsid w:val="003242D3"/>
    <w:rsid w:val="00327B27"/>
    <w:rsid w:val="003339C6"/>
    <w:rsid w:val="00341444"/>
    <w:rsid w:val="00347E24"/>
    <w:rsid w:val="00352476"/>
    <w:rsid w:val="00361352"/>
    <w:rsid w:val="003639A8"/>
    <w:rsid w:val="00365D76"/>
    <w:rsid w:val="003A2577"/>
    <w:rsid w:val="003B0F96"/>
    <w:rsid w:val="003D130C"/>
    <w:rsid w:val="003E6C3E"/>
    <w:rsid w:val="00427E1C"/>
    <w:rsid w:val="00427F89"/>
    <w:rsid w:val="004431A8"/>
    <w:rsid w:val="0047439A"/>
    <w:rsid w:val="00475071"/>
    <w:rsid w:val="004946F2"/>
    <w:rsid w:val="00497401"/>
    <w:rsid w:val="004A015F"/>
    <w:rsid w:val="004A0719"/>
    <w:rsid w:val="004A7671"/>
    <w:rsid w:val="004B6ABE"/>
    <w:rsid w:val="004C6F78"/>
    <w:rsid w:val="004D0578"/>
    <w:rsid w:val="004D339B"/>
    <w:rsid w:val="004F0807"/>
    <w:rsid w:val="00507698"/>
    <w:rsid w:val="00514A26"/>
    <w:rsid w:val="0052515B"/>
    <w:rsid w:val="00536F57"/>
    <w:rsid w:val="00577ACF"/>
    <w:rsid w:val="005911ED"/>
    <w:rsid w:val="00591957"/>
    <w:rsid w:val="005941F3"/>
    <w:rsid w:val="005B6FA8"/>
    <w:rsid w:val="005C208A"/>
    <w:rsid w:val="005C7EB5"/>
    <w:rsid w:val="005D310F"/>
    <w:rsid w:val="005D648B"/>
    <w:rsid w:val="005E31B8"/>
    <w:rsid w:val="005F373C"/>
    <w:rsid w:val="00601BE9"/>
    <w:rsid w:val="00610C0F"/>
    <w:rsid w:val="00615F37"/>
    <w:rsid w:val="006162BD"/>
    <w:rsid w:val="00640C16"/>
    <w:rsid w:val="00641E89"/>
    <w:rsid w:val="006530C1"/>
    <w:rsid w:val="00665904"/>
    <w:rsid w:val="00666339"/>
    <w:rsid w:val="00667628"/>
    <w:rsid w:val="006705B7"/>
    <w:rsid w:val="00677622"/>
    <w:rsid w:val="0068187E"/>
    <w:rsid w:val="00681C14"/>
    <w:rsid w:val="00681D78"/>
    <w:rsid w:val="00686EA9"/>
    <w:rsid w:val="0069665D"/>
    <w:rsid w:val="00697BED"/>
    <w:rsid w:val="006A1D20"/>
    <w:rsid w:val="006A1EE9"/>
    <w:rsid w:val="006A4D3E"/>
    <w:rsid w:val="006A5524"/>
    <w:rsid w:val="006A5E5E"/>
    <w:rsid w:val="006B0E9B"/>
    <w:rsid w:val="006B260C"/>
    <w:rsid w:val="006B5C94"/>
    <w:rsid w:val="006C5803"/>
    <w:rsid w:val="006D155F"/>
    <w:rsid w:val="006D23BE"/>
    <w:rsid w:val="006D4BA9"/>
    <w:rsid w:val="006E64B0"/>
    <w:rsid w:val="006E73C5"/>
    <w:rsid w:val="006F306A"/>
    <w:rsid w:val="00746F57"/>
    <w:rsid w:val="00746F67"/>
    <w:rsid w:val="0076728B"/>
    <w:rsid w:val="0077146F"/>
    <w:rsid w:val="00775E12"/>
    <w:rsid w:val="007863D1"/>
    <w:rsid w:val="00794C0D"/>
    <w:rsid w:val="007D146C"/>
    <w:rsid w:val="007E0885"/>
    <w:rsid w:val="007E2A06"/>
    <w:rsid w:val="007F582A"/>
    <w:rsid w:val="0080169C"/>
    <w:rsid w:val="008072BD"/>
    <w:rsid w:val="00815C64"/>
    <w:rsid w:val="00827960"/>
    <w:rsid w:val="00836F1B"/>
    <w:rsid w:val="0084205D"/>
    <w:rsid w:val="0084527D"/>
    <w:rsid w:val="00852A5A"/>
    <w:rsid w:val="00872C98"/>
    <w:rsid w:val="008925E6"/>
    <w:rsid w:val="008A3B39"/>
    <w:rsid w:val="008B5A2A"/>
    <w:rsid w:val="008C00EA"/>
    <w:rsid w:val="008D7CE8"/>
    <w:rsid w:val="008E0E63"/>
    <w:rsid w:val="008E7FF5"/>
    <w:rsid w:val="008F7A22"/>
    <w:rsid w:val="00900CCD"/>
    <w:rsid w:val="00904EFF"/>
    <w:rsid w:val="009368C3"/>
    <w:rsid w:val="00937CAC"/>
    <w:rsid w:val="00940DFC"/>
    <w:rsid w:val="009450F7"/>
    <w:rsid w:val="00962578"/>
    <w:rsid w:val="00962715"/>
    <w:rsid w:val="009745DE"/>
    <w:rsid w:val="0098523A"/>
    <w:rsid w:val="00990877"/>
    <w:rsid w:val="0099639C"/>
    <w:rsid w:val="00996FC2"/>
    <w:rsid w:val="009A3F62"/>
    <w:rsid w:val="009B17C1"/>
    <w:rsid w:val="009C022C"/>
    <w:rsid w:val="009C517D"/>
    <w:rsid w:val="009C5CE0"/>
    <w:rsid w:val="009C7A09"/>
    <w:rsid w:val="009C7B9B"/>
    <w:rsid w:val="009D2724"/>
    <w:rsid w:val="009D5DCB"/>
    <w:rsid w:val="009E0751"/>
    <w:rsid w:val="00A028ED"/>
    <w:rsid w:val="00A26998"/>
    <w:rsid w:val="00A270BF"/>
    <w:rsid w:val="00A30C85"/>
    <w:rsid w:val="00A35934"/>
    <w:rsid w:val="00A3617D"/>
    <w:rsid w:val="00A43CBD"/>
    <w:rsid w:val="00A518E7"/>
    <w:rsid w:val="00A578D9"/>
    <w:rsid w:val="00A667B4"/>
    <w:rsid w:val="00A67EAE"/>
    <w:rsid w:val="00A772E6"/>
    <w:rsid w:val="00A83DD5"/>
    <w:rsid w:val="00A84A16"/>
    <w:rsid w:val="00A9056B"/>
    <w:rsid w:val="00AB0181"/>
    <w:rsid w:val="00AB14F4"/>
    <w:rsid w:val="00AB2599"/>
    <w:rsid w:val="00AB7A3E"/>
    <w:rsid w:val="00AC2BD3"/>
    <w:rsid w:val="00AC2C6E"/>
    <w:rsid w:val="00AC7CE9"/>
    <w:rsid w:val="00AE2C06"/>
    <w:rsid w:val="00AE2D18"/>
    <w:rsid w:val="00AE6BDC"/>
    <w:rsid w:val="00AF1788"/>
    <w:rsid w:val="00B04396"/>
    <w:rsid w:val="00B0729E"/>
    <w:rsid w:val="00B1137C"/>
    <w:rsid w:val="00B251A6"/>
    <w:rsid w:val="00B441D4"/>
    <w:rsid w:val="00B46574"/>
    <w:rsid w:val="00B51172"/>
    <w:rsid w:val="00B53B89"/>
    <w:rsid w:val="00B55F1F"/>
    <w:rsid w:val="00B646B9"/>
    <w:rsid w:val="00B651C8"/>
    <w:rsid w:val="00B65889"/>
    <w:rsid w:val="00B65918"/>
    <w:rsid w:val="00B67840"/>
    <w:rsid w:val="00B92906"/>
    <w:rsid w:val="00BC72D1"/>
    <w:rsid w:val="00BC7507"/>
    <w:rsid w:val="00BE0AD6"/>
    <w:rsid w:val="00BE1734"/>
    <w:rsid w:val="00BE3BD7"/>
    <w:rsid w:val="00BE50FA"/>
    <w:rsid w:val="00BE7865"/>
    <w:rsid w:val="00BF39A9"/>
    <w:rsid w:val="00C05170"/>
    <w:rsid w:val="00C15831"/>
    <w:rsid w:val="00C250F6"/>
    <w:rsid w:val="00C273E7"/>
    <w:rsid w:val="00C3419D"/>
    <w:rsid w:val="00C43996"/>
    <w:rsid w:val="00C445C3"/>
    <w:rsid w:val="00C71DCD"/>
    <w:rsid w:val="00C73A33"/>
    <w:rsid w:val="00C749B2"/>
    <w:rsid w:val="00C80745"/>
    <w:rsid w:val="00C80853"/>
    <w:rsid w:val="00C83400"/>
    <w:rsid w:val="00C85B04"/>
    <w:rsid w:val="00C9419E"/>
    <w:rsid w:val="00C95454"/>
    <w:rsid w:val="00C9545E"/>
    <w:rsid w:val="00CA1010"/>
    <w:rsid w:val="00CA1B44"/>
    <w:rsid w:val="00CB7398"/>
    <w:rsid w:val="00CC503A"/>
    <w:rsid w:val="00CC6BCF"/>
    <w:rsid w:val="00CC7444"/>
    <w:rsid w:val="00CE3003"/>
    <w:rsid w:val="00CF2CF4"/>
    <w:rsid w:val="00D012AF"/>
    <w:rsid w:val="00D0510D"/>
    <w:rsid w:val="00D052B7"/>
    <w:rsid w:val="00D146E3"/>
    <w:rsid w:val="00D14DD1"/>
    <w:rsid w:val="00D21628"/>
    <w:rsid w:val="00D237C7"/>
    <w:rsid w:val="00D24337"/>
    <w:rsid w:val="00D264CC"/>
    <w:rsid w:val="00D50DC5"/>
    <w:rsid w:val="00D52E8F"/>
    <w:rsid w:val="00D5510B"/>
    <w:rsid w:val="00D57024"/>
    <w:rsid w:val="00D67F40"/>
    <w:rsid w:val="00D8018E"/>
    <w:rsid w:val="00D8105B"/>
    <w:rsid w:val="00D827D9"/>
    <w:rsid w:val="00D83E11"/>
    <w:rsid w:val="00D92611"/>
    <w:rsid w:val="00D92A80"/>
    <w:rsid w:val="00D95EC1"/>
    <w:rsid w:val="00D9720F"/>
    <w:rsid w:val="00DB2B2A"/>
    <w:rsid w:val="00DB409F"/>
    <w:rsid w:val="00DC7900"/>
    <w:rsid w:val="00DD643C"/>
    <w:rsid w:val="00DD7A6E"/>
    <w:rsid w:val="00E052C3"/>
    <w:rsid w:val="00E05671"/>
    <w:rsid w:val="00E137FA"/>
    <w:rsid w:val="00E1634E"/>
    <w:rsid w:val="00E30C45"/>
    <w:rsid w:val="00E5654B"/>
    <w:rsid w:val="00E64B28"/>
    <w:rsid w:val="00E663D1"/>
    <w:rsid w:val="00E74151"/>
    <w:rsid w:val="00E74ACB"/>
    <w:rsid w:val="00E83FF7"/>
    <w:rsid w:val="00E92072"/>
    <w:rsid w:val="00E92D4C"/>
    <w:rsid w:val="00E95410"/>
    <w:rsid w:val="00E96B4A"/>
    <w:rsid w:val="00EB55AE"/>
    <w:rsid w:val="00EC6079"/>
    <w:rsid w:val="00EE2B09"/>
    <w:rsid w:val="00EE5B64"/>
    <w:rsid w:val="00F032C4"/>
    <w:rsid w:val="00F1007D"/>
    <w:rsid w:val="00F2230A"/>
    <w:rsid w:val="00F224E0"/>
    <w:rsid w:val="00F2516E"/>
    <w:rsid w:val="00F3085C"/>
    <w:rsid w:val="00F37502"/>
    <w:rsid w:val="00F55747"/>
    <w:rsid w:val="00F778B6"/>
    <w:rsid w:val="00F92F1F"/>
    <w:rsid w:val="00FA4E52"/>
    <w:rsid w:val="00FB121F"/>
    <w:rsid w:val="00FB15C0"/>
    <w:rsid w:val="00FC1E35"/>
    <w:rsid w:val="00FC5440"/>
    <w:rsid w:val="00FC620A"/>
    <w:rsid w:val="00FD1E74"/>
    <w:rsid w:val="00FD61B4"/>
    <w:rsid w:val="00FD6214"/>
    <w:rsid w:val="00FE7C8F"/>
    <w:rsid w:val="00FF0A45"/>
    <w:rsid w:val="00FF71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9FAF57"/>
  <w15:chartTrackingRefBased/>
  <w15:docId w15:val="{DF8461E1-741A-3B4C-BC7C-100BB6A4F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75E12"/>
    <w:pPr>
      <w:tabs>
        <w:tab w:val="center" w:pos="4703"/>
        <w:tab w:val="right" w:pos="9406"/>
      </w:tabs>
    </w:pPr>
  </w:style>
  <w:style w:type="character" w:customStyle="1" w:styleId="FooterChar">
    <w:name w:val="Footer Char"/>
    <w:basedOn w:val="DefaultParagraphFont"/>
    <w:link w:val="Footer"/>
    <w:uiPriority w:val="99"/>
    <w:rsid w:val="00775E12"/>
  </w:style>
  <w:style w:type="character" w:styleId="PageNumber">
    <w:name w:val="page number"/>
    <w:basedOn w:val="DefaultParagraphFont"/>
    <w:uiPriority w:val="99"/>
    <w:semiHidden/>
    <w:unhideWhenUsed/>
    <w:rsid w:val="00775E12"/>
  </w:style>
  <w:style w:type="paragraph" w:styleId="NormalWeb">
    <w:name w:val="Normal (Web)"/>
    <w:basedOn w:val="Normal"/>
    <w:uiPriority w:val="99"/>
    <w:semiHidden/>
    <w:unhideWhenUsed/>
    <w:rsid w:val="00475071"/>
    <w:pPr>
      <w:spacing w:before="100" w:beforeAutospacing="1" w:after="100" w:afterAutospacing="1"/>
    </w:pPr>
    <w:rPr>
      <w:rFonts w:ascii="Times New Roman" w:eastAsia="Times New Roman" w:hAnsi="Times New Roman" w:cs="Times New Roman"/>
    </w:rPr>
  </w:style>
  <w:style w:type="paragraph" w:customStyle="1" w:styleId="EndNoteBibliographyTitle">
    <w:name w:val="EndNote Bibliography Title"/>
    <w:basedOn w:val="Normal"/>
    <w:link w:val="EndNoteBibliographyTitleChar"/>
    <w:rsid w:val="00E95410"/>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E95410"/>
    <w:rPr>
      <w:rFonts w:ascii="Calibri" w:hAnsi="Calibri" w:cs="Calibri"/>
      <w:lang w:val="en-US"/>
    </w:rPr>
  </w:style>
  <w:style w:type="paragraph" w:customStyle="1" w:styleId="EndNoteBibliography">
    <w:name w:val="EndNote Bibliography"/>
    <w:basedOn w:val="Normal"/>
    <w:link w:val="EndNoteBibliographyChar"/>
    <w:rsid w:val="00E95410"/>
    <w:pPr>
      <w:jc w:val="both"/>
    </w:pPr>
    <w:rPr>
      <w:rFonts w:ascii="Calibri" w:hAnsi="Calibri" w:cs="Calibri"/>
      <w:lang w:val="en-US"/>
    </w:rPr>
  </w:style>
  <w:style w:type="character" w:customStyle="1" w:styleId="EndNoteBibliographyChar">
    <w:name w:val="EndNote Bibliography Char"/>
    <w:basedOn w:val="DefaultParagraphFont"/>
    <w:link w:val="EndNoteBibliography"/>
    <w:rsid w:val="00E95410"/>
    <w:rPr>
      <w:rFonts w:ascii="Calibri" w:hAnsi="Calibri" w:cs="Calibri"/>
      <w:lang w:val="en-US"/>
    </w:rPr>
  </w:style>
  <w:style w:type="character" w:styleId="Hyperlink">
    <w:name w:val="Hyperlink"/>
    <w:basedOn w:val="DefaultParagraphFont"/>
    <w:uiPriority w:val="99"/>
    <w:unhideWhenUsed/>
    <w:rsid w:val="000017A0"/>
    <w:rPr>
      <w:color w:val="0563C1" w:themeColor="hyperlink"/>
      <w:u w:val="single"/>
    </w:rPr>
  </w:style>
  <w:style w:type="character" w:styleId="UnresolvedMention">
    <w:name w:val="Unresolved Mention"/>
    <w:basedOn w:val="DefaultParagraphFont"/>
    <w:uiPriority w:val="99"/>
    <w:semiHidden/>
    <w:unhideWhenUsed/>
    <w:rsid w:val="000017A0"/>
    <w:rPr>
      <w:color w:val="605E5C"/>
      <w:shd w:val="clear" w:color="auto" w:fill="E1DFDD"/>
    </w:rPr>
  </w:style>
  <w:style w:type="table" w:styleId="ListTable6Colorful">
    <w:name w:val="List Table 6 Colorful"/>
    <w:basedOn w:val="TableNormal"/>
    <w:uiPriority w:val="51"/>
    <w:rsid w:val="00077B68"/>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E0567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0567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726425">
      <w:bodyDiv w:val="1"/>
      <w:marLeft w:val="0"/>
      <w:marRight w:val="0"/>
      <w:marTop w:val="0"/>
      <w:marBottom w:val="0"/>
      <w:divBdr>
        <w:top w:val="none" w:sz="0" w:space="0" w:color="auto"/>
        <w:left w:val="none" w:sz="0" w:space="0" w:color="auto"/>
        <w:bottom w:val="none" w:sz="0" w:space="0" w:color="auto"/>
        <w:right w:val="none" w:sz="0" w:space="0" w:color="auto"/>
      </w:divBdr>
      <w:divsChild>
        <w:div w:id="1428624182">
          <w:marLeft w:val="0"/>
          <w:marRight w:val="0"/>
          <w:marTop w:val="0"/>
          <w:marBottom w:val="0"/>
          <w:divBdr>
            <w:top w:val="none" w:sz="0" w:space="0" w:color="auto"/>
            <w:left w:val="none" w:sz="0" w:space="0" w:color="auto"/>
            <w:bottom w:val="none" w:sz="0" w:space="0" w:color="auto"/>
            <w:right w:val="none" w:sz="0" w:space="0" w:color="auto"/>
          </w:divBdr>
          <w:divsChild>
            <w:div w:id="1954551708">
              <w:marLeft w:val="0"/>
              <w:marRight w:val="0"/>
              <w:marTop w:val="0"/>
              <w:marBottom w:val="0"/>
              <w:divBdr>
                <w:top w:val="none" w:sz="0" w:space="0" w:color="auto"/>
                <w:left w:val="none" w:sz="0" w:space="0" w:color="auto"/>
                <w:bottom w:val="none" w:sz="0" w:space="0" w:color="auto"/>
                <w:right w:val="none" w:sz="0" w:space="0" w:color="auto"/>
              </w:divBdr>
              <w:divsChild>
                <w:div w:id="18259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421032">
      <w:bodyDiv w:val="1"/>
      <w:marLeft w:val="0"/>
      <w:marRight w:val="0"/>
      <w:marTop w:val="0"/>
      <w:marBottom w:val="0"/>
      <w:divBdr>
        <w:top w:val="none" w:sz="0" w:space="0" w:color="auto"/>
        <w:left w:val="none" w:sz="0" w:space="0" w:color="auto"/>
        <w:bottom w:val="none" w:sz="0" w:space="0" w:color="auto"/>
        <w:right w:val="none" w:sz="0" w:space="0" w:color="auto"/>
      </w:divBdr>
      <w:divsChild>
        <w:div w:id="1803228973">
          <w:marLeft w:val="0"/>
          <w:marRight w:val="0"/>
          <w:marTop w:val="0"/>
          <w:marBottom w:val="0"/>
          <w:divBdr>
            <w:top w:val="none" w:sz="0" w:space="0" w:color="auto"/>
            <w:left w:val="none" w:sz="0" w:space="0" w:color="auto"/>
            <w:bottom w:val="none" w:sz="0" w:space="0" w:color="auto"/>
            <w:right w:val="none" w:sz="0" w:space="0" w:color="auto"/>
          </w:divBdr>
          <w:divsChild>
            <w:div w:id="1985305272">
              <w:marLeft w:val="0"/>
              <w:marRight w:val="0"/>
              <w:marTop w:val="0"/>
              <w:marBottom w:val="0"/>
              <w:divBdr>
                <w:top w:val="none" w:sz="0" w:space="0" w:color="auto"/>
                <w:left w:val="none" w:sz="0" w:space="0" w:color="auto"/>
                <w:bottom w:val="none" w:sz="0" w:space="0" w:color="auto"/>
                <w:right w:val="none" w:sz="0" w:space="0" w:color="auto"/>
              </w:divBdr>
              <w:divsChild>
                <w:div w:id="1877573570">
                  <w:marLeft w:val="0"/>
                  <w:marRight w:val="0"/>
                  <w:marTop w:val="0"/>
                  <w:marBottom w:val="0"/>
                  <w:divBdr>
                    <w:top w:val="none" w:sz="0" w:space="0" w:color="auto"/>
                    <w:left w:val="none" w:sz="0" w:space="0" w:color="auto"/>
                    <w:bottom w:val="none" w:sz="0" w:space="0" w:color="auto"/>
                    <w:right w:val="none" w:sz="0" w:space="0" w:color="auto"/>
                  </w:divBdr>
                </w:div>
              </w:divsChild>
            </w:div>
            <w:div w:id="457989808">
              <w:marLeft w:val="0"/>
              <w:marRight w:val="0"/>
              <w:marTop w:val="0"/>
              <w:marBottom w:val="0"/>
              <w:divBdr>
                <w:top w:val="none" w:sz="0" w:space="0" w:color="auto"/>
                <w:left w:val="none" w:sz="0" w:space="0" w:color="auto"/>
                <w:bottom w:val="none" w:sz="0" w:space="0" w:color="auto"/>
                <w:right w:val="none" w:sz="0" w:space="0" w:color="auto"/>
              </w:divBdr>
              <w:divsChild>
                <w:div w:id="1785928343">
                  <w:marLeft w:val="0"/>
                  <w:marRight w:val="0"/>
                  <w:marTop w:val="0"/>
                  <w:marBottom w:val="0"/>
                  <w:divBdr>
                    <w:top w:val="none" w:sz="0" w:space="0" w:color="auto"/>
                    <w:left w:val="none" w:sz="0" w:space="0" w:color="auto"/>
                    <w:bottom w:val="none" w:sz="0" w:space="0" w:color="auto"/>
                    <w:right w:val="none" w:sz="0" w:space="0" w:color="auto"/>
                  </w:divBdr>
                </w:div>
              </w:divsChild>
            </w:div>
            <w:div w:id="1836416789">
              <w:marLeft w:val="0"/>
              <w:marRight w:val="0"/>
              <w:marTop w:val="0"/>
              <w:marBottom w:val="0"/>
              <w:divBdr>
                <w:top w:val="none" w:sz="0" w:space="0" w:color="auto"/>
                <w:left w:val="none" w:sz="0" w:space="0" w:color="auto"/>
                <w:bottom w:val="none" w:sz="0" w:space="0" w:color="auto"/>
                <w:right w:val="none" w:sz="0" w:space="0" w:color="auto"/>
              </w:divBdr>
              <w:divsChild>
                <w:div w:id="102867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8051">
      <w:bodyDiv w:val="1"/>
      <w:marLeft w:val="0"/>
      <w:marRight w:val="0"/>
      <w:marTop w:val="0"/>
      <w:marBottom w:val="0"/>
      <w:divBdr>
        <w:top w:val="none" w:sz="0" w:space="0" w:color="auto"/>
        <w:left w:val="none" w:sz="0" w:space="0" w:color="auto"/>
        <w:bottom w:val="none" w:sz="0" w:space="0" w:color="auto"/>
        <w:right w:val="none" w:sz="0" w:space="0" w:color="auto"/>
      </w:divBdr>
      <w:divsChild>
        <w:div w:id="1661346322">
          <w:marLeft w:val="0"/>
          <w:marRight w:val="0"/>
          <w:marTop w:val="0"/>
          <w:marBottom w:val="0"/>
          <w:divBdr>
            <w:top w:val="none" w:sz="0" w:space="0" w:color="auto"/>
            <w:left w:val="none" w:sz="0" w:space="0" w:color="auto"/>
            <w:bottom w:val="none" w:sz="0" w:space="0" w:color="auto"/>
            <w:right w:val="none" w:sz="0" w:space="0" w:color="auto"/>
          </w:divBdr>
          <w:divsChild>
            <w:div w:id="1452239628">
              <w:marLeft w:val="0"/>
              <w:marRight w:val="0"/>
              <w:marTop w:val="0"/>
              <w:marBottom w:val="0"/>
              <w:divBdr>
                <w:top w:val="none" w:sz="0" w:space="0" w:color="auto"/>
                <w:left w:val="none" w:sz="0" w:space="0" w:color="auto"/>
                <w:bottom w:val="none" w:sz="0" w:space="0" w:color="auto"/>
                <w:right w:val="none" w:sz="0" w:space="0" w:color="auto"/>
              </w:divBdr>
              <w:divsChild>
                <w:div w:id="1165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25454">
      <w:bodyDiv w:val="1"/>
      <w:marLeft w:val="0"/>
      <w:marRight w:val="0"/>
      <w:marTop w:val="0"/>
      <w:marBottom w:val="0"/>
      <w:divBdr>
        <w:top w:val="none" w:sz="0" w:space="0" w:color="auto"/>
        <w:left w:val="none" w:sz="0" w:space="0" w:color="auto"/>
        <w:bottom w:val="none" w:sz="0" w:space="0" w:color="auto"/>
        <w:right w:val="none" w:sz="0" w:space="0" w:color="auto"/>
      </w:divBdr>
    </w:div>
    <w:div w:id="965622913">
      <w:bodyDiv w:val="1"/>
      <w:marLeft w:val="0"/>
      <w:marRight w:val="0"/>
      <w:marTop w:val="0"/>
      <w:marBottom w:val="0"/>
      <w:divBdr>
        <w:top w:val="none" w:sz="0" w:space="0" w:color="auto"/>
        <w:left w:val="none" w:sz="0" w:space="0" w:color="auto"/>
        <w:bottom w:val="none" w:sz="0" w:space="0" w:color="auto"/>
        <w:right w:val="none" w:sz="0" w:space="0" w:color="auto"/>
      </w:divBdr>
    </w:div>
    <w:div w:id="1003095103">
      <w:bodyDiv w:val="1"/>
      <w:marLeft w:val="0"/>
      <w:marRight w:val="0"/>
      <w:marTop w:val="0"/>
      <w:marBottom w:val="0"/>
      <w:divBdr>
        <w:top w:val="none" w:sz="0" w:space="0" w:color="auto"/>
        <w:left w:val="none" w:sz="0" w:space="0" w:color="auto"/>
        <w:bottom w:val="none" w:sz="0" w:space="0" w:color="auto"/>
        <w:right w:val="none" w:sz="0" w:space="0" w:color="auto"/>
      </w:divBdr>
      <w:divsChild>
        <w:div w:id="1086539789">
          <w:marLeft w:val="0"/>
          <w:marRight w:val="0"/>
          <w:marTop w:val="0"/>
          <w:marBottom w:val="0"/>
          <w:divBdr>
            <w:top w:val="none" w:sz="0" w:space="0" w:color="auto"/>
            <w:left w:val="none" w:sz="0" w:space="0" w:color="auto"/>
            <w:bottom w:val="none" w:sz="0" w:space="0" w:color="auto"/>
            <w:right w:val="none" w:sz="0" w:space="0" w:color="auto"/>
          </w:divBdr>
          <w:divsChild>
            <w:div w:id="332412490">
              <w:marLeft w:val="0"/>
              <w:marRight w:val="0"/>
              <w:marTop w:val="0"/>
              <w:marBottom w:val="0"/>
              <w:divBdr>
                <w:top w:val="none" w:sz="0" w:space="0" w:color="auto"/>
                <w:left w:val="none" w:sz="0" w:space="0" w:color="auto"/>
                <w:bottom w:val="none" w:sz="0" w:space="0" w:color="auto"/>
                <w:right w:val="none" w:sz="0" w:space="0" w:color="auto"/>
              </w:divBdr>
              <w:divsChild>
                <w:div w:id="13612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0380">
      <w:bodyDiv w:val="1"/>
      <w:marLeft w:val="0"/>
      <w:marRight w:val="0"/>
      <w:marTop w:val="0"/>
      <w:marBottom w:val="0"/>
      <w:divBdr>
        <w:top w:val="none" w:sz="0" w:space="0" w:color="auto"/>
        <w:left w:val="none" w:sz="0" w:space="0" w:color="auto"/>
        <w:bottom w:val="none" w:sz="0" w:space="0" w:color="auto"/>
        <w:right w:val="none" w:sz="0" w:space="0" w:color="auto"/>
      </w:divBdr>
    </w:div>
    <w:div w:id="1044451336">
      <w:bodyDiv w:val="1"/>
      <w:marLeft w:val="0"/>
      <w:marRight w:val="0"/>
      <w:marTop w:val="0"/>
      <w:marBottom w:val="0"/>
      <w:divBdr>
        <w:top w:val="none" w:sz="0" w:space="0" w:color="auto"/>
        <w:left w:val="none" w:sz="0" w:space="0" w:color="auto"/>
        <w:bottom w:val="none" w:sz="0" w:space="0" w:color="auto"/>
        <w:right w:val="none" w:sz="0" w:space="0" w:color="auto"/>
      </w:divBdr>
      <w:divsChild>
        <w:div w:id="1948854580">
          <w:marLeft w:val="0"/>
          <w:marRight w:val="0"/>
          <w:marTop w:val="0"/>
          <w:marBottom w:val="0"/>
          <w:divBdr>
            <w:top w:val="none" w:sz="0" w:space="0" w:color="auto"/>
            <w:left w:val="none" w:sz="0" w:space="0" w:color="auto"/>
            <w:bottom w:val="none" w:sz="0" w:space="0" w:color="auto"/>
            <w:right w:val="none" w:sz="0" w:space="0" w:color="auto"/>
          </w:divBdr>
          <w:divsChild>
            <w:div w:id="1761222164">
              <w:marLeft w:val="0"/>
              <w:marRight w:val="0"/>
              <w:marTop w:val="0"/>
              <w:marBottom w:val="0"/>
              <w:divBdr>
                <w:top w:val="none" w:sz="0" w:space="0" w:color="auto"/>
                <w:left w:val="none" w:sz="0" w:space="0" w:color="auto"/>
                <w:bottom w:val="none" w:sz="0" w:space="0" w:color="auto"/>
                <w:right w:val="none" w:sz="0" w:space="0" w:color="auto"/>
              </w:divBdr>
              <w:divsChild>
                <w:div w:id="1384788988">
                  <w:marLeft w:val="0"/>
                  <w:marRight w:val="0"/>
                  <w:marTop w:val="0"/>
                  <w:marBottom w:val="0"/>
                  <w:divBdr>
                    <w:top w:val="none" w:sz="0" w:space="0" w:color="auto"/>
                    <w:left w:val="none" w:sz="0" w:space="0" w:color="auto"/>
                    <w:bottom w:val="none" w:sz="0" w:space="0" w:color="auto"/>
                    <w:right w:val="none" w:sz="0" w:space="0" w:color="auto"/>
                  </w:divBdr>
                  <w:divsChild>
                    <w:div w:id="1566720924">
                      <w:marLeft w:val="0"/>
                      <w:marRight w:val="0"/>
                      <w:marTop w:val="0"/>
                      <w:marBottom w:val="0"/>
                      <w:divBdr>
                        <w:top w:val="none" w:sz="0" w:space="0" w:color="auto"/>
                        <w:left w:val="none" w:sz="0" w:space="0" w:color="auto"/>
                        <w:bottom w:val="none" w:sz="0" w:space="0" w:color="auto"/>
                        <w:right w:val="none" w:sz="0" w:space="0" w:color="auto"/>
                      </w:divBdr>
                    </w:div>
                    <w:div w:id="146882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443406">
      <w:bodyDiv w:val="1"/>
      <w:marLeft w:val="0"/>
      <w:marRight w:val="0"/>
      <w:marTop w:val="0"/>
      <w:marBottom w:val="0"/>
      <w:divBdr>
        <w:top w:val="none" w:sz="0" w:space="0" w:color="auto"/>
        <w:left w:val="none" w:sz="0" w:space="0" w:color="auto"/>
        <w:bottom w:val="none" w:sz="0" w:space="0" w:color="auto"/>
        <w:right w:val="none" w:sz="0" w:space="0" w:color="auto"/>
      </w:divBdr>
    </w:div>
    <w:div w:id="1346439158">
      <w:bodyDiv w:val="1"/>
      <w:marLeft w:val="0"/>
      <w:marRight w:val="0"/>
      <w:marTop w:val="0"/>
      <w:marBottom w:val="0"/>
      <w:divBdr>
        <w:top w:val="none" w:sz="0" w:space="0" w:color="auto"/>
        <w:left w:val="none" w:sz="0" w:space="0" w:color="auto"/>
        <w:bottom w:val="none" w:sz="0" w:space="0" w:color="auto"/>
        <w:right w:val="none" w:sz="0" w:space="0" w:color="auto"/>
      </w:divBdr>
    </w:div>
    <w:div w:id="1468544945">
      <w:bodyDiv w:val="1"/>
      <w:marLeft w:val="0"/>
      <w:marRight w:val="0"/>
      <w:marTop w:val="0"/>
      <w:marBottom w:val="0"/>
      <w:divBdr>
        <w:top w:val="none" w:sz="0" w:space="0" w:color="auto"/>
        <w:left w:val="none" w:sz="0" w:space="0" w:color="auto"/>
        <w:bottom w:val="none" w:sz="0" w:space="0" w:color="auto"/>
        <w:right w:val="none" w:sz="0" w:space="0" w:color="auto"/>
      </w:divBdr>
    </w:div>
    <w:div w:id="1531337378">
      <w:bodyDiv w:val="1"/>
      <w:marLeft w:val="0"/>
      <w:marRight w:val="0"/>
      <w:marTop w:val="0"/>
      <w:marBottom w:val="0"/>
      <w:divBdr>
        <w:top w:val="none" w:sz="0" w:space="0" w:color="auto"/>
        <w:left w:val="none" w:sz="0" w:space="0" w:color="auto"/>
        <w:bottom w:val="none" w:sz="0" w:space="0" w:color="auto"/>
        <w:right w:val="none" w:sz="0" w:space="0" w:color="auto"/>
      </w:divBdr>
    </w:div>
    <w:div w:id="1558665768">
      <w:bodyDiv w:val="1"/>
      <w:marLeft w:val="0"/>
      <w:marRight w:val="0"/>
      <w:marTop w:val="0"/>
      <w:marBottom w:val="0"/>
      <w:divBdr>
        <w:top w:val="none" w:sz="0" w:space="0" w:color="auto"/>
        <w:left w:val="none" w:sz="0" w:space="0" w:color="auto"/>
        <w:bottom w:val="none" w:sz="0" w:space="0" w:color="auto"/>
        <w:right w:val="none" w:sz="0" w:space="0" w:color="auto"/>
      </w:divBdr>
      <w:divsChild>
        <w:div w:id="1759131481">
          <w:marLeft w:val="0"/>
          <w:marRight w:val="0"/>
          <w:marTop w:val="0"/>
          <w:marBottom w:val="0"/>
          <w:divBdr>
            <w:top w:val="none" w:sz="0" w:space="0" w:color="auto"/>
            <w:left w:val="none" w:sz="0" w:space="0" w:color="auto"/>
            <w:bottom w:val="none" w:sz="0" w:space="0" w:color="auto"/>
            <w:right w:val="none" w:sz="0" w:space="0" w:color="auto"/>
          </w:divBdr>
          <w:divsChild>
            <w:div w:id="1256092349">
              <w:marLeft w:val="0"/>
              <w:marRight w:val="0"/>
              <w:marTop w:val="0"/>
              <w:marBottom w:val="0"/>
              <w:divBdr>
                <w:top w:val="none" w:sz="0" w:space="0" w:color="auto"/>
                <w:left w:val="none" w:sz="0" w:space="0" w:color="auto"/>
                <w:bottom w:val="none" w:sz="0" w:space="0" w:color="auto"/>
                <w:right w:val="none" w:sz="0" w:space="0" w:color="auto"/>
              </w:divBdr>
              <w:divsChild>
                <w:div w:id="199106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844361">
      <w:bodyDiv w:val="1"/>
      <w:marLeft w:val="0"/>
      <w:marRight w:val="0"/>
      <w:marTop w:val="0"/>
      <w:marBottom w:val="0"/>
      <w:divBdr>
        <w:top w:val="none" w:sz="0" w:space="0" w:color="auto"/>
        <w:left w:val="none" w:sz="0" w:space="0" w:color="auto"/>
        <w:bottom w:val="none" w:sz="0" w:space="0" w:color="auto"/>
        <w:right w:val="none" w:sz="0" w:space="0" w:color="auto"/>
      </w:divBdr>
      <w:divsChild>
        <w:div w:id="1313801372">
          <w:marLeft w:val="0"/>
          <w:marRight w:val="0"/>
          <w:marTop w:val="0"/>
          <w:marBottom w:val="0"/>
          <w:divBdr>
            <w:top w:val="none" w:sz="0" w:space="0" w:color="auto"/>
            <w:left w:val="none" w:sz="0" w:space="0" w:color="auto"/>
            <w:bottom w:val="none" w:sz="0" w:space="0" w:color="auto"/>
            <w:right w:val="none" w:sz="0" w:space="0" w:color="auto"/>
          </w:divBdr>
          <w:divsChild>
            <w:div w:id="1280646358">
              <w:marLeft w:val="0"/>
              <w:marRight w:val="0"/>
              <w:marTop w:val="0"/>
              <w:marBottom w:val="0"/>
              <w:divBdr>
                <w:top w:val="none" w:sz="0" w:space="0" w:color="auto"/>
                <w:left w:val="none" w:sz="0" w:space="0" w:color="auto"/>
                <w:bottom w:val="none" w:sz="0" w:space="0" w:color="auto"/>
                <w:right w:val="none" w:sz="0" w:space="0" w:color="auto"/>
              </w:divBdr>
              <w:divsChild>
                <w:div w:id="163637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05349">
      <w:bodyDiv w:val="1"/>
      <w:marLeft w:val="0"/>
      <w:marRight w:val="0"/>
      <w:marTop w:val="0"/>
      <w:marBottom w:val="0"/>
      <w:divBdr>
        <w:top w:val="none" w:sz="0" w:space="0" w:color="auto"/>
        <w:left w:val="none" w:sz="0" w:space="0" w:color="auto"/>
        <w:bottom w:val="none" w:sz="0" w:space="0" w:color="auto"/>
        <w:right w:val="none" w:sz="0" w:space="0" w:color="auto"/>
      </w:divBdr>
    </w:div>
    <w:div w:id="1874272336">
      <w:bodyDiv w:val="1"/>
      <w:marLeft w:val="0"/>
      <w:marRight w:val="0"/>
      <w:marTop w:val="0"/>
      <w:marBottom w:val="0"/>
      <w:divBdr>
        <w:top w:val="none" w:sz="0" w:space="0" w:color="auto"/>
        <w:left w:val="none" w:sz="0" w:space="0" w:color="auto"/>
        <w:bottom w:val="none" w:sz="0" w:space="0" w:color="auto"/>
        <w:right w:val="none" w:sz="0" w:space="0" w:color="auto"/>
      </w:divBdr>
      <w:divsChild>
        <w:div w:id="1805345281">
          <w:marLeft w:val="0"/>
          <w:marRight w:val="0"/>
          <w:marTop w:val="0"/>
          <w:marBottom w:val="0"/>
          <w:divBdr>
            <w:top w:val="none" w:sz="0" w:space="0" w:color="auto"/>
            <w:left w:val="none" w:sz="0" w:space="0" w:color="auto"/>
            <w:bottom w:val="none" w:sz="0" w:space="0" w:color="auto"/>
            <w:right w:val="none" w:sz="0" w:space="0" w:color="auto"/>
          </w:divBdr>
          <w:divsChild>
            <w:div w:id="1645235348">
              <w:marLeft w:val="0"/>
              <w:marRight w:val="0"/>
              <w:marTop w:val="0"/>
              <w:marBottom w:val="0"/>
              <w:divBdr>
                <w:top w:val="none" w:sz="0" w:space="0" w:color="auto"/>
                <w:left w:val="none" w:sz="0" w:space="0" w:color="auto"/>
                <w:bottom w:val="none" w:sz="0" w:space="0" w:color="auto"/>
                <w:right w:val="none" w:sz="0" w:space="0" w:color="auto"/>
              </w:divBdr>
              <w:divsChild>
                <w:div w:id="81214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2D0CF-BA32-E148-BC96-008696A7A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12</Pages>
  <Words>7861</Words>
  <Characters>44808</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10</cp:revision>
  <dcterms:created xsi:type="dcterms:W3CDTF">2020-12-07T19:35:00Z</dcterms:created>
  <dcterms:modified xsi:type="dcterms:W3CDTF">2020-12-08T11:42:00Z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http://www.zotero.org/styles/associacao-brasileira-de-normas-tecnicas</vt:lpwstr>
  </property>
  <property fmtid="{D5CDD505-2E9C-101B-9397-08002B2CF9AE}" pid="9" name="Mendeley Recent Style Name 3_1">
    <vt:lpwstr>Associação Brasileira de Normas Técnicas (Portuguese - Brazil)</vt:lpwstr>
  </property>
  <property fmtid="{D5CDD505-2E9C-101B-9397-08002B2CF9AE}" pid="10" name="Mendeley Recent Style Id 4_1">
    <vt:lpwstr>http://www.zotero.org/styles/cell-host-and-microbe</vt:lpwstr>
  </property>
  <property fmtid="{D5CDD505-2E9C-101B-9397-08002B2CF9AE}" pid="11" name="Mendeley Recent Style Name 4_1">
    <vt:lpwstr>Cell Host &amp; Microbe</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http://www.zotero.org/styles/nature</vt:lpwstr>
  </property>
</Properties>
</file>