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BE8DE8" w14:textId="77777777" w:rsidR="00FA6F21" w:rsidRPr="00146888" w:rsidRDefault="00FA6F21" w:rsidP="00FA6F21">
      <w:pPr>
        <w:spacing w:line="480" w:lineRule="auto"/>
        <w:jc w:val="both"/>
        <w:rPr>
          <w:rFonts w:ascii="Times New Roman" w:hAnsi="Times New Roman" w:cs="Times New Roman"/>
          <w:b/>
          <w:bCs/>
          <w:sz w:val="20"/>
          <w:szCs w:val="20"/>
        </w:rPr>
      </w:pPr>
      <w:r>
        <w:rPr>
          <w:rFonts w:ascii="Times New Roman" w:hAnsi="Times New Roman" w:cs="Times New Roman"/>
          <w:b/>
          <w:bCs/>
          <w:sz w:val="20"/>
          <w:szCs w:val="20"/>
        </w:rPr>
        <w:t>ELECTRONIC SUPPLIMENTARY MATRIALS</w:t>
      </w:r>
    </w:p>
    <w:p w14:paraId="71D8CFE0" w14:textId="77777777" w:rsidR="00FA6F21" w:rsidRDefault="00FA6F21" w:rsidP="008437A7">
      <w:pPr>
        <w:spacing w:line="480" w:lineRule="auto"/>
        <w:jc w:val="both"/>
        <w:rPr>
          <w:b/>
        </w:rPr>
      </w:pPr>
    </w:p>
    <w:p w14:paraId="692444FF" w14:textId="010682E9" w:rsidR="00F57B51" w:rsidRDefault="00F57B51" w:rsidP="008437A7">
      <w:pPr>
        <w:spacing w:line="480" w:lineRule="auto"/>
        <w:jc w:val="both"/>
        <w:rPr>
          <w:b/>
        </w:rPr>
      </w:pPr>
      <w:r w:rsidRPr="00A62CD9">
        <w:rPr>
          <w:b/>
        </w:rPr>
        <w:t>TITLE</w:t>
      </w:r>
    </w:p>
    <w:p w14:paraId="38C678C9" w14:textId="77777777" w:rsidR="00357FBE" w:rsidRDefault="00A65088" w:rsidP="00E9120B">
      <w:pPr>
        <w:spacing w:line="480" w:lineRule="auto"/>
        <w:jc w:val="both"/>
        <w:rPr>
          <w:rFonts w:ascii="Times New Roman" w:hAnsi="Times New Roman" w:cs="Times New Roman"/>
          <w:sz w:val="20"/>
          <w:szCs w:val="20"/>
        </w:rPr>
      </w:pPr>
      <w:bookmarkStart w:id="0" w:name="_Hlk77080667"/>
      <w:r w:rsidRPr="009339BC">
        <w:rPr>
          <w:rFonts w:ascii="Times New Roman" w:hAnsi="Times New Roman" w:cs="Times New Roman"/>
          <w:sz w:val="20"/>
          <w:szCs w:val="20"/>
        </w:rPr>
        <w:t>M</w:t>
      </w:r>
      <w:r w:rsidR="00405301" w:rsidRPr="009339BC">
        <w:rPr>
          <w:rFonts w:ascii="Times New Roman" w:hAnsi="Times New Roman" w:cs="Times New Roman"/>
          <w:sz w:val="20"/>
          <w:szCs w:val="20"/>
        </w:rPr>
        <w:t>odelling of lung cancer therapy</w:t>
      </w:r>
      <w:r w:rsidR="00F34B00" w:rsidRPr="009339BC">
        <w:rPr>
          <w:rFonts w:ascii="Times New Roman" w:hAnsi="Times New Roman" w:cs="Times New Roman"/>
          <w:sz w:val="20"/>
          <w:szCs w:val="20"/>
        </w:rPr>
        <w:t>; m</w:t>
      </w:r>
      <w:r w:rsidR="00405301" w:rsidRPr="009339BC">
        <w:rPr>
          <w:rFonts w:ascii="Times New Roman" w:hAnsi="Times New Roman" w:cs="Times New Roman"/>
          <w:sz w:val="20"/>
          <w:szCs w:val="20"/>
        </w:rPr>
        <w:t>odel</w:t>
      </w:r>
      <w:r w:rsidR="0081507A" w:rsidRPr="009339BC">
        <w:rPr>
          <w:rFonts w:ascii="Times New Roman" w:hAnsi="Times New Roman" w:cs="Times New Roman"/>
          <w:sz w:val="20"/>
          <w:szCs w:val="20"/>
        </w:rPr>
        <w:t>l</w:t>
      </w:r>
      <w:r w:rsidR="00405301" w:rsidRPr="009339BC">
        <w:rPr>
          <w:rFonts w:ascii="Times New Roman" w:hAnsi="Times New Roman" w:cs="Times New Roman"/>
          <w:sz w:val="20"/>
          <w:szCs w:val="20"/>
        </w:rPr>
        <w:t xml:space="preserve">ed and </w:t>
      </w:r>
      <w:r w:rsidR="00795DDF" w:rsidRPr="009339BC">
        <w:rPr>
          <w:rFonts w:ascii="Times New Roman" w:hAnsi="Times New Roman" w:cs="Times New Roman"/>
          <w:sz w:val="20"/>
          <w:szCs w:val="20"/>
        </w:rPr>
        <w:t xml:space="preserve">real-world </w:t>
      </w:r>
      <w:r w:rsidR="00405301" w:rsidRPr="009339BC">
        <w:rPr>
          <w:rFonts w:ascii="Times New Roman" w:hAnsi="Times New Roman" w:cs="Times New Roman"/>
          <w:sz w:val="20"/>
          <w:szCs w:val="20"/>
        </w:rPr>
        <w:t>impact of targeted therapy and immunotherapy in the Netherlands</w:t>
      </w:r>
      <w:bookmarkEnd w:id="0"/>
    </w:p>
    <w:p w14:paraId="4D996D5D" w14:textId="77777777" w:rsidR="00357FBE" w:rsidRDefault="00357FBE" w:rsidP="00E9120B">
      <w:pPr>
        <w:spacing w:line="480" w:lineRule="auto"/>
        <w:jc w:val="both"/>
        <w:rPr>
          <w:rFonts w:ascii="Times New Roman" w:hAnsi="Times New Roman" w:cs="Times New Roman"/>
          <w:sz w:val="20"/>
          <w:szCs w:val="20"/>
        </w:rPr>
      </w:pPr>
    </w:p>
    <w:p w14:paraId="6093A3E6" w14:textId="77777777" w:rsidR="00357FBE" w:rsidRPr="00CA1F38" w:rsidRDefault="00357FBE" w:rsidP="00357FBE">
      <w:pPr>
        <w:spacing w:line="480" w:lineRule="auto"/>
        <w:jc w:val="both"/>
        <w:rPr>
          <w:rFonts w:ascii="Times New Roman" w:hAnsi="Times New Roman" w:cs="Times New Roman"/>
          <w:b/>
          <w:sz w:val="20"/>
          <w:szCs w:val="20"/>
        </w:rPr>
      </w:pPr>
      <w:bookmarkStart w:id="1" w:name="_Hlk77086066"/>
      <w:bookmarkStart w:id="2" w:name="_Hlk77080855"/>
      <w:r w:rsidRPr="00CA1F38">
        <w:rPr>
          <w:rFonts w:ascii="Times New Roman" w:hAnsi="Times New Roman" w:cs="Times New Roman"/>
          <w:b/>
          <w:sz w:val="20"/>
          <w:szCs w:val="20"/>
        </w:rPr>
        <w:t>AUTHORS</w:t>
      </w:r>
    </w:p>
    <w:p w14:paraId="1B0391EA" w14:textId="77777777" w:rsidR="00357FBE" w:rsidRDefault="00357FBE" w:rsidP="00357FBE">
      <w:pPr>
        <w:spacing w:line="480" w:lineRule="auto"/>
        <w:jc w:val="both"/>
        <w:rPr>
          <w:rFonts w:ascii="Times New Roman" w:hAnsi="Times New Roman" w:cs="Times New Roman"/>
          <w:sz w:val="20"/>
          <w:szCs w:val="20"/>
        </w:rPr>
      </w:pPr>
      <w:proofErr w:type="spellStart"/>
      <w:r w:rsidRPr="00CA1F38">
        <w:rPr>
          <w:rFonts w:ascii="Times New Roman" w:hAnsi="Times New Roman" w:cs="Times New Roman"/>
          <w:sz w:val="20"/>
          <w:szCs w:val="20"/>
        </w:rPr>
        <w:t>Zakile</w:t>
      </w:r>
      <w:proofErr w:type="spellEnd"/>
      <w:r w:rsidRPr="00CA1F38">
        <w:rPr>
          <w:rFonts w:ascii="Times New Roman" w:hAnsi="Times New Roman" w:cs="Times New Roman"/>
          <w:sz w:val="20"/>
          <w:szCs w:val="20"/>
        </w:rPr>
        <w:t xml:space="preserve"> A. Mfumbilwa,</w:t>
      </w:r>
      <w:r w:rsidRPr="00CA1F38">
        <w:rPr>
          <w:rFonts w:ascii="Times New Roman" w:hAnsi="Times New Roman" w:cs="Times New Roman"/>
          <w:sz w:val="20"/>
          <w:szCs w:val="20"/>
          <w:vertAlign w:val="superscript"/>
        </w:rPr>
        <w:t>1</w:t>
      </w:r>
      <w:r>
        <w:rPr>
          <w:rFonts w:ascii="Times New Roman" w:hAnsi="Times New Roman" w:cs="Times New Roman"/>
          <w:sz w:val="20"/>
          <w:szCs w:val="20"/>
        </w:rPr>
        <w:t xml:space="preserve"> </w:t>
      </w:r>
      <w:r w:rsidRPr="00DC6AF6">
        <w:rPr>
          <w:rFonts w:ascii="Times New Roman" w:hAnsi="Times New Roman" w:cs="Times New Roman"/>
          <w:i/>
          <w:iCs/>
          <w:sz w:val="20"/>
          <w:szCs w:val="20"/>
        </w:rPr>
        <w:t xml:space="preserve">(ORCID: </w:t>
      </w:r>
      <w:hyperlink r:id="rId8" w:history="1">
        <w:r w:rsidRPr="00E17157">
          <w:rPr>
            <w:rStyle w:val="Hyperlink"/>
            <w:rFonts w:ascii="Times New Roman" w:hAnsi="Times New Roman" w:cs="Times New Roman"/>
            <w:i/>
            <w:iCs/>
            <w:sz w:val="20"/>
            <w:szCs w:val="20"/>
          </w:rPr>
          <w:t>https://orcid.org/0000-0002-9705-7227</w:t>
        </w:r>
      </w:hyperlink>
      <w:r>
        <w:rPr>
          <w:rFonts w:ascii="Times New Roman" w:hAnsi="Times New Roman" w:cs="Times New Roman"/>
          <w:i/>
          <w:iCs/>
          <w:sz w:val="20"/>
          <w:szCs w:val="20"/>
        </w:rPr>
        <w:t xml:space="preserve"> </w:t>
      </w:r>
      <w:r w:rsidRPr="00DC6AF6">
        <w:rPr>
          <w:rFonts w:ascii="Times New Roman" w:hAnsi="Times New Roman" w:cs="Times New Roman"/>
          <w:i/>
          <w:iCs/>
          <w:sz w:val="20"/>
          <w:szCs w:val="20"/>
        </w:rPr>
        <w:t>)</w:t>
      </w:r>
    </w:p>
    <w:p w14:paraId="73016BF0" w14:textId="77777777" w:rsidR="00357FBE" w:rsidRPr="00357FBE" w:rsidRDefault="00357FBE" w:rsidP="00357FBE">
      <w:pPr>
        <w:spacing w:line="480" w:lineRule="auto"/>
        <w:jc w:val="both"/>
        <w:rPr>
          <w:rFonts w:ascii="Times New Roman" w:hAnsi="Times New Roman" w:cs="Times New Roman"/>
          <w:sz w:val="20"/>
          <w:szCs w:val="20"/>
          <w:lang w:val="nl-NL"/>
        </w:rPr>
      </w:pPr>
      <w:r w:rsidRPr="00357FBE">
        <w:rPr>
          <w:rFonts w:ascii="Times New Roman" w:hAnsi="Times New Roman" w:cs="Times New Roman"/>
          <w:sz w:val="20"/>
          <w:szCs w:val="20"/>
          <w:lang w:val="nl-NL"/>
        </w:rPr>
        <w:t>Janneke A. Wilschut,</w:t>
      </w:r>
      <w:r w:rsidRPr="00357FBE">
        <w:rPr>
          <w:rFonts w:ascii="Times New Roman" w:hAnsi="Times New Roman" w:cs="Times New Roman"/>
          <w:sz w:val="20"/>
          <w:szCs w:val="20"/>
          <w:vertAlign w:val="superscript"/>
          <w:lang w:val="nl-NL"/>
        </w:rPr>
        <w:t>1,2</w:t>
      </w:r>
      <w:r w:rsidRPr="00357FBE">
        <w:rPr>
          <w:rFonts w:ascii="Times New Roman" w:hAnsi="Times New Roman" w:cs="Times New Roman"/>
          <w:i/>
          <w:iCs/>
          <w:sz w:val="20"/>
          <w:szCs w:val="20"/>
          <w:lang w:val="nl-NL"/>
        </w:rPr>
        <w:t xml:space="preserve"> (ORCID: </w:t>
      </w:r>
      <w:hyperlink r:id="rId9" w:history="1">
        <w:r w:rsidRPr="00357FBE">
          <w:rPr>
            <w:rStyle w:val="Hyperlink"/>
            <w:rFonts w:ascii="Times New Roman" w:hAnsi="Times New Roman" w:cs="Times New Roman"/>
            <w:i/>
            <w:iCs/>
            <w:sz w:val="20"/>
            <w:szCs w:val="20"/>
            <w:lang w:val="nl-NL"/>
          </w:rPr>
          <w:t>https://orcid.org/0000-0002-4921-227X</w:t>
        </w:r>
      </w:hyperlink>
      <w:r w:rsidRPr="00357FBE">
        <w:rPr>
          <w:rFonts w:ascii="Times New Roman" w:hAnsi="Times New Roman" w:cs="Times New Roman"/>
          <w:i/>
          <w:iCs/>
          <w:sz w:val="20"/>
          <w:szCs w:val="20"/>
          <w:lang w:val="nl-NL"/>
        </w:rPr>
        <w:t xml:space="preserve"> )</w:t>
      </w:r>
    </w:p>
    <w:p w14:paraId="1896BD4B" w14:textId="77777777" w:rsidR="00357FBE" w:rsidRDefault="00357FBE" w:rsidP="00357FBE">
      <w:pPr>
        <w:spacing w:line="480" w:lineRule="auto"/>
        <w:jc w:val="both"/>
        <w:rPr>
          <w:rFonts w:ascii="Times New Roman" w:hAnsi="Times New Roman" w:cs="Times New Roman"/>
          <w:sz w:val="20"/>
          <w:szCs w:val="20"/>
        </w:rPr>
      </w:pPr>
      <w:proofErr w:type="spellStart"/>
      <w:r w:rsidRPr="00CA1F38">
        <w:rPr>
          <w:rFonts w:ascii="Times New Roman" w:hAnsi="Times New Roman" w:cs="Times New Roman"/>
          <w:sz w:val="20"/>
          <w:szCs w:val="20"/>
        </w:rPr>
        <w:t>Martijn</w:t>
      </w:r>
      <w:proofErr w:type="spellEnd"/>
      <w:r w:rsidRPr="00CA1F38">
        <w:rPr>
          <w:rFonts w:ascii="Times New Roman" w:hAnsi="Times New Roman" w:cs="Times New Roman"/>
          <w:sz w:val="20"/>
          <w:szCs w:val="20"/>
        </w:rPr>
        <w:t xml:space="preserve"> J.H.G. Simons,</w:t>
      </w:r>
      <w:r w:rsidRPr="00CA1F38">
        <w:rPr>
          <w:rFonts w:ascii="Times New Roman" w:hAnsi="Times New Roman" w:cs="Times New Roman"/>
          <w:sz w:val="20"/>
          <w:szCs w:val="20"/>
          <w:vertAlign w:val="superscript"/>
        </w:rPr>
        <w:t>3,4</w:t>
      </w:r>
      <w:r w:rsidRPr="00CA1F38">
        <w:rPr>
          <w:rFonts w:ascii="Times New Roman" w:hAnsi="Times New Roman" w:cs="Times New Roman"/>
          <w:sz w:val="20"/>
          <w:szCs w:val="20"/>
        </w:rPr>
        <w:t xml:space="preserve"> </w:t>
      </w:r>
      <w:r>
        <w:rPr>
          <w:rFonts w:ascii="Times New Roman" w:hAnsi="Times New Roman" w:cs="Times New Roman"/>
          <w:sz w:val="20"/>
          <w:szCs w:val="20"/>
        </w:rPr>
        <w:t>(</w:t>
      </w:r>
      <w:r w:rsidRPr="00AD0F08">
        <w:rPr>
          <w:rFonts w:ascii="Times New Roman" w:hAnsi="Times New Roman" w:cs="Times New Roman"/>
          <w:i/>
          <w:iCs/>
          <w:sz w:val="20"/>
          <w:szCs w:val="20"/>
        </w:rPr>
        <w:t xml:space="preserve">ORCID: </w:t>
      </w:r>
      <w:hyperlink r:id="rId10" w:history="1">
        <w:r w:rsidRPr="00E17157">
          <w:rPr>
            <w:rStyle w:val="Hyperlink"/>
            <w:rFonts w:ascii="Times New Roman" w:hAnsi="Times New Roman" w:cs="Times New Roman"/>
            <w:i/>
            <w:iCs/>
            <w:sz w:val="20"/>
            <w:szCs w:val="20"/>
          </w:rPr>
          <w:t>https://orcid.org/0000-0001-5248-1676</w:t>
        </w:r>
      </w:hyperlink>
      <w:r>
        <w:rPr>
          <w:rFonts w:ascii="Times New Roman" w:hAnsi="Times New Roman" w:cs="Times New Roman"/>
          <w:i/>
          <w:iCs/>
          <w:sz w:val="20"/>
          <w:szCs w:val="20"/>
        </w:rPr>
        <w:t xml:space="preserve"> </w:t>
      </w:r>
      <w:r w:rsidRPr="00AD0F08">
        <w:rPr>
          <w:rFonts w:ascii="Times New Roman" w:hAnsi="Times New Roman" w:cs="Times New Roman"/>
          <w:i/>
          <w:iCs/>
          <w:sz w:val="20"/>
          <w:szCs w:val="20"/>
        </w:rPr>
        <w:t>)</w:t>
      </w:r>
    </w:p>
    <w:p w14:paraId="69E89752" w14:textId="77777777" w:rsidR="00357FBE" w:rsidRDefault="00357FBE" w:rsidP="00357FBE">
      <w:pPr>
        <w:spacing w:line="480" w:lineRule="auto"/>
        <w:jc w:val="both"/>
        <w:rPr>
          <w:rFonts w:ascii="Times New Roman" w:hAnsi="Times New Roman" w:cs="Times New Roman"/>
          <w:sz w:val="20"/>
          <w:szCs w:val="20"/>
        </w:rPr>
      </w:pPr>
      <w:r w:rsidRPr="00CA1F38">
        <w:rPr>
          <w:rFonts w:ascii="Times New Roman" w:hAnsi="Times New Roman" w:cs="Times New Roman"/>
          <w:sz w:val="20"/>
          <w:szCs w:val="20"/>
        </w:rPr>
        <w:t>Bram Ramaekers,</w:t>
      </w:r>
      <w:r w:rsidRPr="00CA1F38">
        <w:rPr>
          <w:rFonts w:ascii="Times New Roman" w:hAnsi="Times New Roman" w:cs="Times New Roman"/>
          <w:sz w:val="20"/>
          <w:szCs w:val="20"/>
          <w:vertAlign w:val="superscript"/>
        </w:rPr>
        <w:t>3,4</w:t>
      </w:r>
      <w:r w:rsidRPr="00CA1F38">
        <w:rPr>
          <w:rFonts w:ascii="Times New Roman" w:hAnsi="Times New Roman" w:cs="Times New Roman"/>
          <w:sz w:val="20"/>
          <w:szCs w:val="20"/>
        </w:rPr>
        <w:t xml:space="preserve"> </w:t>
      </w:r>
      <w:r w:rsidRPr="00DC6AF6">
        <w:rPr>
          <w:rFonts w:ascii="Times New Roman" w:hAnsi="Times New Roman" w:cs="Times New Roman"/>
          <w:i/>
          <w:iCs/>
          <w:sz w:val="20"/>
          <w:szCs w:val="20"/>
        </w:rPr>
        <w:t xml:space="preserve">(ORCID: </w:t>
      </w:r>
      <w:hyperlink r:id="rId11" w:history="1">
        <w:r w:rsidRPr="00E17157">
          <w:rPr>
            <w:rStyle w:val="Hyperlink"/>
            <w:rFonts w:ascii="Times New Roman" w:hAnsi="Times New Roman" w:cs="Times New Roman"/>
            <w:i/>
            <w:iCs/>
            <w:sz w:val="20"/>
            <w:szCs w:val="20"/>
          </w:rPr>
          <w:t>https://orcid.org/0000-0001-5785-9228</w:t>
        </w:r>
      </w:hyperlink>
      <w:r>
        <w:rPr>
          <w:rFonts w:ascii="Times New Roman" w:hAnsi="Times New Roman" w:cs="Times New Roman"/>
          <w:i/>
          <w:iCs/>
          <w:sz w:val="20"/>
          <w:szCs w:val="20"/>
        </w:rPr>
        <w:t xml:space="preserve"> </w:t>
      </w:r>
      <w:r w:rsidRPr="00DC6AF6">
        <w:rPr>
          <w:rFonts w:ascii="Times New Roman" w:hAnsi="Times New Roman" w:cs="Times New Roman"/>
          <w:i/>
          <w:iCs/>
          <w:sz w:val="20"/>
          <w:szCs w:val="20"/>
        </w:rPr>
        <w:t>)</w:t>
      </w:r>
    </w:p>
    <w:p w14:paraId="1B022405" w14:textId="77777777" w:rsidR="00357FBE" w:rsidRDefault="00357FBE" w:rsidP="00357FBE">
      <w:pPr>
        <w:spacing w:line="480" w:lineRule="auto"/>
        <w:jc w:val="both"/>
        <w:rPr>
          <w:rFonts w:ascii="Times New Roman" w:hAnsi="Times New Roman" w:cs="Times New Roman"/>
          <w:sz w:val="20"/>
          <w:szCs w:val="20"/>
        </w:rPr>
      </w:pPr>
      <w:r w:rsidRPr="00CA1F38">
        <w:rPr>
          <w:rFonts w:ascii="Times New Roman" w:hAnsi="Times New Roman" w:cs="Times New Roman"/>
          <w:sz w:val="20"/>
          <w:szCs w:val="20"/>
        </w:rPr>
        <w:t>Manuela Joore,</w:t>
      </w:r>
      <w:r w:rsidRPr="00CA1F38">
        <w:rPr>
          <w:rFonts w:ascii="Times New Roman" w:hAnsi="Times New Roman" w:cs="Times New Roman"/>
          <w:sz w:val="20"/>
          <w:szCs w:val="20"/>
          <w:vertAlign w:val="superscript"/>
        </w:rPr>
        <w:t>3,4</w:t>
      </w:r>
      <w:r w:rsidRPr="00CA1F38">
        <w:rPr>
          <w:rFonts w:ascii="Times New Roman" w:hAnsi="Times New Roman" w:cs="Times New Roman"/>
          <w:sz w:val="20"/>
          <w:szCs w:val="20"/>
        </w:rPr>
        <w:t xml:space="preserve"> </w:t>
      </w:r>
      <w:r w:rsidRPr="00707CFA">
        <w:rPr>
          <w:rFonts w:ascii="Times New Roman" w:hAnsi="Times New Roman" w:cs="Times New Roman"/>
          <w:i/>
          <w:iCs/>
          <w:sz w:val="20"/>
          <w:szCs w:val="20"/>
        </w:rPr>
        <w:t xml:space="preserve">(ORCID: </w:t>
      </w:r>
      <w:hyperlink r:id="rId12" w:history="1">
        <w:r w:rsidRPr="00E17157">
          <w:rPr>
            <w:rStyle w:val="Hyperlink"/>
            <w:rFonts w:ascii="Times New Roman" w:hAnsi="Times New Roman" w:cs="Times New Roman"/>
            <w:i/>
            <w:iCs/>
            <w:sz w:val="20"/>
            <w:szCs w:val="20"/>
          </w:rPr>
          <w:t>https://orcid.org/0000-0002-5649-6768</w:t>
        </w:r>
      </w:hyperlink>
      <w:r>
        <w:rPr>
          <w:rFonts w:ascii="Times New Roman" w:hAnsi="Times New Roman" w:cs="Times New Roman"/>
          <w:i/>
          <w:iCs/>
          <w:sz w:val="20"/>
          <w:szCs w:val="20"/>
        </w:rPr>
        <w:t xml:space="preserve"> </w:t>
      </w:r>
      <w:r w:rsidRPr="00707CFA">
        <w:rPr>
          <w:rFonts w:ascii="Times New Roman" w:hAnsi="Times New Roman" w:cs="Times New Roman"/>
          <w:i/>
          <w:iCs/>
          <w:sz w:val="20"/>
          <w:szCs w:val="20"/>
        </w:rPr>
        <w:t>)</w:t>
      </w:r>
    </w:p>
    <w:p w14:paraId="3C2C97A1" w14:textId="77777777" w:rsidR="00357FBE" w:rsidRPr="00AD0F08" w:rsidRDefault="00357FBE" w:rsidP="00357FBE">
      <w:pPr>
        <w:spacing w:line="480" w:lineRule="auto"/>
        <w:jc w:val="both"/>
        <w:rPr>
          <w:rFonts w:ascii="Times New Roman" w:hAnsi="Times New Roman" w:cs="Times New Roman"/>
          <w:i/>
          <w:iCs/>
          <w:sz w:val="20"/>
          <w:szCs w:val="20"/>
        </w:rPr>
      </w:pPr>
      <w:proofErr w:type="spellStart"/>
      <w:r w:rsidRPr="00CA1F38">
        <w:rPr>
          <w:rFonts w:ascii="Times New Roman" w:hAnsi="Times New Roman" w:cs="Times New Roman"/>
          <w:sz w:val="20"/>
          <w:szCs w:val="20"/>
        </w:rPr>
        <w:t>Valesca</w:t>
      </w:r>
      <w:proofErr w:type="spellEnd"/>
      <w:r w:rsidRPr="00CA1F38">
        <w:rPr>
          <w:rFonts w:ascii="Times New Roman" w:hAnsi="Times New Roman" w:cs="Times New Roman"/>
          <w:sz w:val="20"/>
          <w:szCs w:val="20"/>
        </w:rPr>
        <w:t xml:space="preserve"> Retel,</w:t>
      </w:r>
      <w:r w:rsidRPr="00CA1F38">
        <w:rPr>
          <w:rFonts w:ascii="Times New Roman" w:hAnsi="Times New Roman" w:cs="Times New Roman"/>
          <w:sz w:val="20"/>
          <w:szCs w:val="20"/>
          <w:vertAlign w:val="superscript"/>
        </w:rPr>
        <w:t>5</w:t>
      </w:r>
      <w:r w:rsidRPr="00CA1F38">
        <w:rPr>
          <w:rFonts w:ascii="Times New Roman" w:hAnsi="Times New Roman" w:cs="Times New Roman"/>
          <w:sz w:val="20"/>
          <w:szCs w:val="20"/>
        </w:rPr>
        <w:t xml:space="preserve"> </w:t>
      </w:r>
      <w:r>
        <w:rPr>
          <w:rFonts w:ascii="Times New Roman" w:hAnsi="Times New Roman" w:cs="Times New Roman"/>
          <w:sz w:val="20"/>
          <w:szCs w:val="20"/>
        </w:rPr>
        <w:t>(</w:t>
      </w:r>
      <w:r w:rsidRPr="00AD0F08">
        <w:rPr>
          <w:rFonts w:ascii="Times New Roman" w:hAnsi="Times New Roman" w:cs="Times New Roman"/>
          <w:i/>
          <w:iCs/>
          <w:sz w:val="20"/>
          <w:szCs w:val="20"/>
        </w:rPr>
        <w:t xml:space="preserve">ORCID: </w:t>
      </w:r>
      <w:hyperlink r:id="rId13" w:history="1">
        <w:r w:rsidRPr="00E17157">
          <w:rPr>
            <w:rStyle w:val="Hyperlink"/>
            <w:rFonts w:ascii="Times New Roman" w:hAnsi="Times New Roman" w:cs="Times New Roman"/>
            <w:i/>
            <w:iCs/>
            <w:sz w:val="20"/>
            <w:szCs w:val="20"/>
          </w:rPr>
          <w:t>https://orcid.org/0000-0002-5624-3234</w:t>
        </w:r>
      </w:hyperlink>
      <w:r>
        <w:rPr>
          <w:rFonts w:ascii="Times New Roman" w:hAnsi="Times New Roman" w:cs="Times New Roman"/>
          <w:i/>
          <w:iCs/>
          <w:sz w:val="20"/>
          <w:szCs w:val="20"/>
        </w:rPr>
        <w:t xml:space="preserve"> </w:t>
      </w:r>
      <w:r w:rsidRPr="00AD0F08">
        <w:rPr>
          <w:rFonts w:ascii="Times New Roman" w:hAnsi="Times New Roman" w:cs="Times New Roman"/>
          <w:i/>
          <w:iCs/>
          <w:sz w:val="20"/>
          <w:szCs w:val="20"/>
        </w:rPr>
        <w:t>)</w:t>
      </w:r>
    </w:p>
    <w:p w14:paraId="15C1BDBA" w14:textId="77777777" w:rsidR="00357FBE" w:rsidRPr="00357FBE" w:rsidRDefault="00357FBE" w:rsidP="00357FBE">
      <w:pPr>
        <w:spacing w:line="480" w:lineRule="auto"/>
        <w:jc w:val="both"/>
        <w:rPr>
          <w:rFonts w:ascii="Times New Roman" w:hAnsi="Times New Roman" w:cs="Times New Roman"/>
          <w:sz w:val="20"/>
          <w:szCs w:val="20"/>
          <w:lang w:val="nl-NL"/>
        </w:rPr>
      </w:pPr>
      <w:r w:rsidRPr="00357FBE">
        <w:rPr>
          <w:rFonts w:ascii="Times New Roman" w:hAnsi="Times New Roman" w:cs="Times New Roman"/>
          <w:sz w:val="20"/>
          <w:szCs w:val="20"/>
          <w:lang w:val="nl-NL"/>
        </w:rPr>
        <w:t>Christine M. Cramer-van der Welle,</w:t>
      </w:r>
      <w:r w:rsidRPr="00357FBE">
        <w:rPr>
          <w:rFonts w:ascii="Times New Roman" w:hAnsi="Times New Roman" w:cs="Times New Roman"/>
          <w:sz w:val="20"/>
          <w:szCs w:val="20"/>
          <w:vertAlign w:val="superscript"/>
          <w:lang w:val="nl-NL"/>
        </w:rPr>
        <w:t>6</w:t>
      </w:r>
      <w:r w:rsidRPr="00357FBE">
        <w:rPr>
          <w:rFonts w:ascii="Times New Roman" w:hAnsi="Times New Roman" w:cs="Times New Roman"/>
          <w:sz w:val="20"/>
          <w:szCs w:val="20"/>
          <w:lang w:val="nl-NL"/>
        </w:rPr>
        <w:t xml:space="preserve"> </w:t>
      </w:r>
      <w:bookmarkStart w:id="3" w:name="_Hlk75178200"/>
    </w:p>
    <w:p w14:paraId="449851ED" w14:textId="77777777" w:rsidR="00357FBE" w:rsidRPr="00357FBE" w:rsidRDefault="00357FBE" w:rsidP="00357FBE">
      <w:pPr>
        <w:spacing w:line="480" w:lineRule="auto"/>
        <w:jc w:val="both"/>
        <w:rPr>
          <w:rFonts w:ascii="Times New Roman" w:hAnsi="Times New Roman" w:cs="Times New Roman"/>
          <w:sz w:val="20"/>
          <w:szCs w:val="20"/>
          <w:lang w:val="nl-NL"/>
        </w:rPr>
      </w:pPr>
      <w:r w:rsidRPr="00357FBE">
        <w:rPr>
          <w:rFonts w:ascii="Times New Roman" w:hAnsi="Times New Roman" w:cs="Times New Roman"/>
          <w:sz w:val="20"/>
          <w:szCs w:val="20"/>
          <w:lang w:val="nl-NL"/>
        </w:rPr>
        <w:t>Franz M.N.H. Schramel</w:t>
      </w:r>
      <w:bookmarkEnd w:id="3"/>
      <w:r w:rsidRPr="00357FBE">
        <w:rPr>
          <w:rFonts w:ascii="Times New Roman" w:hAnsi="Times New Roman" w:cs="Times New Roman"/>
          <w:sz w:val="20"/>
          <w:szCs w:val="20"/>
          <w:lang w:val="nl-NL"/>
        </w:rPr>
        <w:t>,</w:t>
      </w:r>
      <w:r w:rsidRPr="00357FBE">
        <w:rPr>
          <w:rFonts w:ascii="Times New Roman" w:hAnsi="Times New Roman" w:cs="Times New Roman"/>
          <w:sz w:val="20"/>
          <w:szCs w:val="20"/>
          <w:vertAlign w:val="superscript"/>
          <w:lang w:val="nl-NL"/>
        </w:rPr>
        <w:t>6</w:t>
      </w:r>
      <w:r w:rsidRPr="00357FBE">
        <w:rPr>
          <w:rFonts w:ascii="Times New Roman" w:hAnsi="Times New Roman" w:cs="Times New Roman"/>
          <w:sz w:val="20"/>
          <w:szCs w:val="20"/>
          <w:lang w:val="nl-NL"/>
        </w:rPr>
        <w:t xml:space="preserve"> </w:t>
      </w:r>
      <w:bookmarkStart w:id="4" w:name="_Hlk75178254"/>
    </w:p>
    <w:p w14:paraId="228BC445" w14:textId="77777777" w:rsidR="00357FBE" w:rsidRPr="00357FBE" w:rsidRDefault="00357FBE" w:rsidP="00357FBE">
      <w:pPr>
        <w:spacing w:line="480" w:lineRule="auto"/>
        <w:jc w:val="both"/>
        <w:rPr>
          <w:rFonts w:ascii="Times New Roman" w:hAnsi="Times New Roman" w:cs="Times New Roman"/>
          <w:sz w:val="20"/>
          <w:szCs w:val="20"/>
          <w:lang w:val="nl-NL"/>
        </w:rPr>
      </w:pPr>
      <w:proofErr w:type="spellStart"/>
      <w:r w:rsidRPr="00357FBE">
        <w:rPr>
          <w:rFonts w:ascii="Times New Roman" w:hAnsi="Times New Roman" w:cs="Times New Roman"/>
          <w:sz w:val="20"/>
          <w:szCs w:val="20"/>
          <w:lang w:val="nl-NL"/>
        </w:rPr>
        <w:t>Ewoudt</w:t>
      </w:r>
      <w:proofErr w:type="spellEnd"/>
      <w:r w:rsidRPr="00357FBE">
        <w:rPr>
          <w:rFonts w:ascii="Times New Roman" w:hAnsi="Times New Roman" w:cs="Times New Roman"/>
          <w:sz w:val="20"/>
          <w:szCs w:val="20"/>
          <w:lang w:val="nl-NL"/>
        </w:rPr>
        <w:t xml:space="preserve"> M.W. van de Garde</w:t>
      </w:r>
      <w:bookmarkEnd w:id="4"/>
      <w:r w:rsidRPr="00357FBE">
        <w:rPr>
          <w:rFonts w:ascii="Times New Roman" w:hAnsi="Times New Roman" w:cs="Times New Roman"/>
          <w:sz w:val="20"/>
          <w:szCs w:val="20"/>
          <w:lang w:val="nl-NL"/>
        </w:rPr>
        <w:t>,</w:t>
      </w:r>
      <w:r w:rsidRPr="00357FBE">
        <w:rPr>
          <w:rFonts w:ascii="Times New Roman" w:hAnsi="Times New Roman" w:cs="Times New Roman"/>
          <w:sz w:val="20"/>
          <w:szCs w:val="20"/>
          <w:vertAlign w:val="superscript"/>
          <w:lang w:val="nl-NL"/>
        </w:rPr>
        <w:t>7,8</w:t>
      </w:r>
      <w:r w:rsidRPr="00357FBE">
        <w:rPr>
          <w:rFonts w:ascii="Times New Roman" w:hAnsi="Times New Roman" w:cs="Times New Roman"/>
          <w:sz w:val="20"/>
          <w:szCs w:val="20"/>
          <w:lang w:val="nl-NL"/>
        </w:rPr>
        <w:t xml:space="preserve"> </w:t>
      </w:r>
      <w:bookmarkStart w:id="5" w:name="_Hlk75178426"/>
      <w:proofErr w:type="spellStart"/>
      <w:r w:rsidRPr="00357FBE">
        <w:rPr>
          <w:rFonts w:ascii="Times New Roman" w:hAnsi="Times New Roman" w:cs="Times New Roman"/>
          <w:sz w:val="20"/>
          <w:szCs w:val="20"/>
          <w:lang w:val="nl-NL"/>
        </w:rPr>
        <w:t>and</w:t>
      </w:r>
      <w:proofErr w:type="spellEnd"/>
      <w:r w:rsidRPr="00357FBE">
        <w:rPr>
          <w:rFonts w:ascii="Times New Roman" w:hAnsi="Times New Roman" w:cs="Times New Roman"/>
          <w:sz w:val="20"/>
          <w:szCs w:val="20"/>
          <w:lang w:val="nl-NL"/>
        </w:rPr>
        <w:t xml:space="preserve"> </w:t>
      </w:r>
    </w:p>
    <w:p w14:paraId="66F5565E" w14:textId="77777777" w:rsidR="00357FBE" w:rsidRPr="00CA1F38" w:rsidRDefault="00357FBE" w:rsidP="00357FBE">
      <w:pPr>
        <w:spacing w:line="480" w:lineRule="auto"/>
        <w:jc w:val="both"/>
        <w:rPr>
          <w:rFonts w:ascii="Times New Roman" w:hAnsi="Times New Roman" w:cs="Times New Roman"/>
          <w:sz w:val="20"/>
          <w:szCs w:val="20"/>
        </w:rPr>
      </w:pPr>
      <w:proofErr w:type="spellStart"/>
      <w:r w:rsidRPr="00CA1F38">
        <w:rPr>
          <w:rFonts w:ascii="Times New Roman" w:hAnsi="Times New Roman" w:cs="Times New Roman"/>
          <w:sz w:val="20"/>
          <w:szCs w:val="20"/>
        </w:rPr>
        <w:t>Veerle</w:t>
      </w:r>
      <w:proofErr w:type="spellEnd"/>
      <w:r w:rsidRPr="00CA1F38">
        <w:rPr>
          <w:rFonts w:ascii="Times New Roman" w:hAnsi="Times New Roman" w:cs="Times New Roman"/>
          <w:sz w:val="20"/>
          <w:szCs w:val="20"/>
        </w:rPr>
        <w:t xml:space="preserve"> M.H. </w:t>
      </w:r>
      <w:bookmarkEnd w:id="5"/>
      <w:r w:rsidRPr="00CA1F38">
        <w:rPr>
          <w:rFonts w:ascii="Times New Roman" w:hAnsi="Times New Roman" w:cs="Times New Roman"/>
          <w:sz w:val="20"/>
          <w:szCs w:val="20"/>
        </w:rPr>
        <w:t>Coupé</w:t>
      </w:r>
      <w:r w:rsidRPr="00CA1F38">
        <w:rPr>
          <w:rFonts w:ascii="Times New Roman" w:hAnsi="Times New Roman" w:cs="Times New Roman"/>
          <w:sz w:val="20"/>
          <w:szCs w:val="20"/>
          <w:vertAlign w:val="superscript"/>
        </w:rPr>
        <w:t xml:space="preserve"> 1*</w:t>
      </w:r>
      <w:r>
        <w:rPr>
          <w:rFonts w:ascii="Times New Roman" w:hAnsi="Times New Roman" w:cs="Times New Roman"/>
          <w:sz w:val="20"/>
          <w:szCs w:val="20"/>
        </w:rPr>
        <w:t xml:space="preserve"> </w:t>
      </w:r>
      <w:r w:rsidRPr="00DC6AF6">
        <w:rPr>
          <w:rFonts w:ascii="Times New Roman" w:hAnsi="Times New Roman" w:cs="Times New Roman"/>
          <w:i/>
          <w:iCs/>
          <w:sz w:val="20"/>
          <w:szCs w:val="20"/>
        </w:rPr>
        <w:t xml:space="preserve">(ORCID: </w:t>
      </w:r>
      <w:hyperlink r:id="rId14" w:history="1">
        <w:r w:rsidRPr="00E17157">
          <w:rPr>
            <w:rStyle w:val="Hyperlink"/>
            <w:rFonts w:ascii="Times New Roman" w:hAnsi="Times New Roman" w:cs="Times New Roman"/>
            <w:i/>
            <w:iCs/>
            <w:sz w:val="20"/>
            <w:szCs w:val="20"/>
          </w:rPr>
          <w:t>https://orcid.org/0000-0002-9553-9791</w:t>
        </w:r>
      </w:hyperlink>
      <w:r>
        <w:rPr>
          <w:rFonts w:ascii="Times New Roman" w:hAnsi="Times New Roman" w:cs="Times New Roman"/>
          <w:i/>
          <w:iCs/>
          <w:sz w:val="20"/>
          <w:szCs w:val="20"/>
        </w:rPr>
        <w:t xml:space="preserve"> </w:t>
      </w:r>
      <w:r w:rsidRPr="00DC6AF6">
        <w:rPr>
          <w:rFonts w:ascii="Times New Roman" w:hAnsi="Times New Roman" w:cs="Times New Roman"/>
          <w:i/>
          <w:iCs/>
          <w:sz w:val="20"/>
          <w:szCs w:val="20"/>
        </w:rPr>
        <w:t>)</w:t>
      </w:r>
    </w:p>
    <w:p w14:paraId="6CFF430A" w14:textId="77777777" w:rsidR="00357FBE" w:rsidRPr="007D11A5" w:rsidRDefault="00357FBE" w:rsidP="00357FBE">
      <w:pPr>
        <w:spacing w:line="480" w:lineRule="auto"/>
        <w:jc w:val="both"/>
      </w:pPr>
    </w:p>
    <w:p w14:paraId="17BBD03F" w14:textId="77777777" w:rsidR="00357FBE" w:rsidRPr="00CA1F38" w:rsidRDefault="00357FBE" w:rsidP="00357FBE">
      <w:pPr>
        <w:spacing w:line="480" w:lineRule="auto"/>
        <w:jc w:val="both"/>
        <w:rPr>
          <w:rFonts w:ascii="Times New Roman" w:hAnsi="Times New Roman" w:cs="Times New Roman"/>
          <w:b/>
          <w:bCs/>
          <w:sz w:val="20"/>
          <w:szCs w:val="20"/>
        </w:rPr>
      </w:pPr>
      <w:bookmarkStart w:id="6" w:name="_Hlk77086099"/>
      <w:bookmarkEnd w:id="1"/>
      <w:r w:rsidRPr="00CA1F38">
        <w:rPr>
          <w:rFonts w:ascii="Times New Roman" w:hAnsi="Times New Roman" w:cs="Times New Roman"/>
          <w:b/>
          <w:bCs/>
          <w:sz w:val="20"/>
          <w:szCs w:val="20"/>
        </w:rPr>
        <w:t xml:space="preserve">AUTHOR AFFILIATION </w:t>
      </w:r>
    </w:p>
    <w:p w14:paraId="1B30ACDF" w14:textId="77777777" w:rsidR="00357FBE" w:rsidRPr="00CA1F38" w:rsidRDefault="00357FBE" w:rsidP="00357FBE">
      <w:pPr>
        <w:spacing w:line="480" w:lineRule="auto"/>
        <w:jc w:val="both"/>
        <w:rPr>
          <w:rFonts w:ascii="Times New Roman" w:hAnsi="Times New Roman" w:cs="Times New Roman"/>
          <w:sz w:val="20"/>
          <w:szCs w:val="20"/>
        </w:rPr>
      </w:pPr>
      <w:r w:rsidRPr="00CA1F38">
        <w:rPr>
          <w:rFonts w:ascii="Times New Roman" w:hAnsi="Times New Roman" w:cs="Times New Roman"/>
          <w:sz w:val="20"/>
          <w:szCs w:val="20"/>
          <w:vertAlign w:val="superscript"/>
        </w:rPr>
        <w:t>1</w:t>
      </w:r>
      <w:r w:rsidRPr="00CA1F38">
        <w:rPr>
          <w:rFonts w:ascii="Times New Roman" w:hAnsi="Times New Roman" w:cs="Times New Roman"/>
          <w:sz w:val="20"/>
          <w:szCs w:val="20"/>
        </w:rPr>
        <w:t xml:space="preserve"> Department of Epidemiology and Data Science, Amsterdam Public Health, Amsterdam UMC, </w:t>
      </w:r>
      <w:proofErr w:type="spellStart"/>
      <w:r w:rsidRPr="00CA1F38">
        <w:rPr>
          <w:rFonts w:ascii="Times New Roman" w:hAnsi="Times New Roman" w:cs="Times New Roman"/>
          <w:sz w:val="20"/>
          <w:szCs w:val="20"/>
        </w:rPr>
        <w:t>Vrije</w:t>
      </w:r>
      <w:proofErr w:type="spellEnd"/>
      <w:r w:rsidRPr="00CA1F38">
        <w:rPr>
          <w:rFonts w:ascii="Times New Roman" w:hAnsi="Times New Roman" w:cs="Times New Roman"/>
          <w:sz w:val="20"/>
          <w:szCs w:val="20"/>
        </w:rPr>
        <w:t xml:space="preserve"> </w:t>
      </w:r>
      <w:proofErr w:type="spellStart"/>
      <w:r w:rsidRPr="00CA1F38">
        <w:rPr>
          <w:rFonts w:ascii="Times New Roman" w:hAnsi="Times New Roman" w:cs="Times New Roman"/>
          <w:sz w:val="20"/>
          <w:szCs w:val="20"/>
        </w:rPr>
        <w:t>Universiteit</w:t>
      </w:r>
      <w:proofErr w:type="spellEnd"/>
      <w:r w:rsidRPr="00CA1F38">
        <w:rPr>
          <w:rFonts w:ascii="Times New Roman" w:hAnsi="Times New Roman" w:cs="Times New Roman"/>
          <w:sz w:val="20"/>
          <w:szCs w:val="20"/>
        </w:rPr>
        <w:t xml:space="preserve"> Amsterdam, de </w:t>
      </w:r>
      <w:proofErr w:type="spellStart"/>
      <w:r w:rsidRPr="00CA1F38">
        <w:rPr>
          <w:rFonts w:ascii="Times New Roman" w:hAnsi="Times New Roman" w:cs="Times New Roman"/>
          <w:sz w:val="20"/>
          <w:szCs w:val="20"/>
        </w:rPr>
        <w:t>Boelelaan</w:t>
      </w:r>
      <w:proofErr w:type="spellEnd"/>
      <w:r w:rsidRPr="00CA1F38">
        <w:rPr>
          <w:rFonts w:ascii="Times New Roman" w:hAnsi="Times New Roman" w:cs="Times New Roman"/>
          <w:sz w:val="20"/>
          <w:szCs w:val="20"/>
        </w:rPr>
        <w:t xml:space="preserve"> 1117, Amsterdam, the Netherlands.</w:t>
      </w:r>
    </w:p>
    <w:p w14:paraId="3564B264" w14:textId="77777777" w:rsidR="00357FBE" w:rsidRPr="00CA1F38" w:rsidRDefault="00357FBE" w:rsidP="00357FBE">
      <w:pPr>
        <w:spacing w:line="480" w:lineRule="auto"/>
        <w:jc w:val="both"/>
        <w:rPr>
          <w:rFonts w:ascii="Times New Roman" w:hAnsi="Times New Roman" w:cs="Times New Roman"/>
          <w:sz w:val="20"/>
          <w:szCs w:val="20"/>
        </w:rPr>
      </w:pPr>
      <w:r w:rsidRPr="00CA1F38">
        <w:rPr>
          <w:rFonts w:ascii="Times New Roman" w:hAnsi="Times New Roman" w:cs="Times New Roman"/>
          <w:sz w:val="20"/>
          <w:szCs w:val="20"/>
          <w:vertAlign w:val="superscript"/>
        </w:rPr>
        <w:t>2</w:t>
      </w:r>
      <w:r w:rsidRPr="00CA1F38">
        <w:rPr>
          <w:rFonts w:ascii="Times New Roman" w:hAnsi="Times New Roman" w:cs="Times New Roman"/>
          <w:sz w:val="20"/>
          <w:szCs w:val="20"/>
        </w:rPr>
        <w:t xml:space="preserve"> Dutch Institute for Clinical Auditing, Leiden, the Netherlands.</w:t>
      </w:r>
    </w:p>
    <w:p w14:paraId="731C75D3" w14:textId="77777777" w:rsidR="00357FBE" w:rsidRPr="00CA1F38" w:rsidRDefault="00357FBE" w:rsidP="00357FBE">
      <w:pPr>
        <w:spacing w:line="480" w:lineRule="auto"/>
        <w:jc w:val="both"/>
        <w:rPr>
          <w:rFonts w:ascii="Times New Roman" w:hAnsi="Times New Roman" w:cs="Times New Roman"/>
          <w:sz w:val="20"/>
          <w:szCs w:val="20"/>
        </w:rPr>
      </w:pPr>
      <w:r w:rsidRPr="00CA1F38">
        <w:rPr>
          <w:rFonts w:ascii="Times New Roman" w:hAnsi="Times New Roman" w:cs="Times New Roman"/>
          <w:sz w:val="20"/>
          <w:szCs w:val="20"/>
          <w:vertAlign w:val="superscript"/>
        </w:rPr>
        <w:lastRenderedPageBreak/>
        <w:t>3</w:t>
      </w:r>
      <w:r w:rsidRPr="00CA1F38">
        <w:rPr>
          <w:rFonts w:ascii="Times New Roman" w:hAnsi="Times New Roman" w:cs="Times New Roman"/>
          <w:sz w:val="20"/>
          <w:szCs w:val="20"/>
        </w:rPr>
        <w:t xml:space="preserve"> Department of Clinical Epidemiology and Medical Technology Assessment, Maastricht University Medical Centre+, Maastricht, the Netherlands.</w:t>
      </w:r>
    </w:p>
    <w:p w14:paraId="25E11524" w14:textId="77777777" w:rsidR="00357FBE" w:rsidRPr="00CA1F38" w:rsidRDefault="00357FBE" w:rsidP="00357FBE">
      <w:pPr>
        <w:spacing w:line="480" w:lineRule="auto"/>
        <w:jc w:val="both"/>
        <w:rPr>
          <w:rFonts w:ascii="Times New Roman" w:hAnsi="Times New Roman" w:cs="Times New Roman"/>
          <w:sz w:val="20"/>
          <w:szCs w:val="20"/>
        </w:rPr>
      </w:pPr>
      <w:r w:rsidRPr="00CA1F38">
        <w:rPr>
          <w:rFonts w:ascii="Times New Roman" w:hAnsi="Times New Roman" w:cs="Times New Roman"/>
          <w:sz w:val="20"/>
          <w:szCs w:val="20"/>
          <w:vertAlign w:val="superscript"/>
        </w:rPr>
        <w:t>4</w:t>
      </w:r>
      <w:r w:rsidRPr="00CA1F38">
        <w:rPr>
          <w:rFonts w:ascii="Times New Roman" w:hAnsi="Times New Roman" w:cs="Times New Roman"/>
          <w:sz w:val="20"/>
          <w:szCs w:val="20"/>
        </w:rPr>
        <w:t xml:space="preserve"> Maastricht university, Care And Public Health Research Institute (CAPHRI), Maastricht, the Netherlands.</w:t>
      </w:r>
    </w:p>
    <w:p w14:paraId="46F4D8B9" w14:textId="77777777" w:rsidR="00357FBE" w:rsidRPr="00CA1F38" w:rsidRDefault="00357FBE" w:rsidP="00357FBE">
      <w:pPr>
        <w:spacing w:line="480" w:lineRule="auto"/>
        <w:jc w:val="both"/>
        <w:rPr>
          <w:rFonts w:ascii="Times New Roman" w:hAnsi="Times New Roman" w:cs="Times New Roman"/>
          <w:sz w:val="20"/>
          <w:szCs w:val="20"/>
        </w:rPr>
      </w:pPr>
      <w:r w:rsidRPr="00CA1F38">
        <w:rPr>
          <w:rFonts w:ascii="Times New Roman" w:hAnsi="Times New Roman" w:cs="Times New Roman"/>
          <w:sz w:val="20"/>
          <w:szCs w:val="20"/>
          <w:vertAlign w:val="superscript"/>
        </w:rPr>
        <w:t>5</w:t>
      </w:r>
      <w:r w:rsidRPr="00CA1F38">
        <w:rPr>
          <w:rFonts w:ascii="Times New Roman" w:hAnsi="Times New Roman" w:cs="Times New Roman"/>
          <w:sz w:val="20"/>
          <w:szCs w:val="20"/>
        </w:rPr>
        <w:t xml:space="preserve"> Department of Health technology and Services research, University of </w:t>
      </w:r>
      <w:proofErr w:type="spellStart"/>
      <w:r w:rsidRPr="00CA1F38">
        <w:rPr>
          <w:rFonts w:ascii="Times New Roman" w:hAnsi="Times New Roman" w:cs="Times New Roman"/>
          <w:sz w:val="20"/>
          <w:szCs w:val="20"/>
        </w:rPr>
        <w:t>Twente</w:t>
      </w:r>
      <w:proofErr w:type="spellEnd"/>
      <w:r w:rsidRPr="00CA1F38">
        <w:rPr>
          <w:rFonts w:ascii="Times New Roman" w:hAnsi="Times New Roman" w:cs="Times New Roman"/>
          <w:sz w:val="20"/>
          <w:szCs w:val="20"/>
        </w:rPr>
        <w:t xml:space="preserve">, </w:t>
      </w:r>
      <w:proofErr w:type="spellStart"/>
      <w:r w:rsidRPr="00CA1F38">
        <w:rPr>
          <w:rFonts w:ascii="Times New Roman" w:hAnsi="Times New Roman" w:cs="Times New Roman"/>
          <w:sz w:val="20"/>
          <w:szCs w:val="20"/>
        </w:rPr>
        <w:t>Enschede</w:t>
      </w:r>
      <w:proofErr w:type="spellEnd"/>
      <w:r w:rsidRPr="00CA1F38">
        <w:rPr>
          <w:rFonts w:ascii="Times New Roman" w:hAnsi="Times New Roman" w:cs="Times New Roman"/>
          <w:sz w:val="20"/>
          <w:szCs w:val="20"/>
        </w:rPr>
        <w:t>, the Netherlands.</w:t>
      </w:r>
    </w:p>
    <w:p w14:paraId="3A2B1875" w14:textId="77777777" w:rsidR="00357FBE" w:rsidRPr="00CA1F38" w:rsidRDefault="00357FBE" w:rsidP="00357FBE">
      <w:pPr>
        <w:spacing w:line="480" w:lineRule="auto"/>
        <w:jc w:val="both"/>
        <w:rPr>
          <w:rFonts w:ascii="Times New Roman" w:hAnsi="Times New Roman" w:cs="Times New Roman"/>
          <w:sz w:val="20"/>
          <w:szCs w:val="20"/>
        </w:rPr>
      </w:pPr>
      <w:r w:rsidRPr="00CA1F38">
        <w:rPr>
          <w:rFonts w:ascii="Times New Roman" w:hAnsi="Times New Roman" w:cs="Times New Roman"/>
          <w:sz w:val="20"/>
          <w:szCs w:val="20"/>
          <w:vertAlign w:val="superscript"/>
        </w:rPr>
        <w:t>6</w:t>
      </w:r>
      <w:r w:rsidRPr="00CA1F38">
        <w:rPr>
          <w:rFonts w:ascii="Times New Roman" w:hAnsi="Times New Roman" w:cs="Times New Roman"/>
          <w:sz w:val="20"/>
          <w:szCs w:val="20"/>
        </w:rPr>
        <w:t xml:space="preserve"> </w:t>
      </w:r>
      <w:proofErr w:type="spellStart"/>
      <w:r w:rsidRPr="00CA1F38">
        <w:rPr>
          <w:rFonts w:ascii="Times New Roman" w:hAnsi="Times New Roman" w:cs="Times New Roman"/>
          <w:sz w:val="20"/>
          <w:szCs w:val="20"/>
        </w:rPr>
        <w:t>Santeon</w:t>
      </w:r>
      <w:proofErr w:type="spellEnd"/>
      <w:r w:rsidRPr="00CA1F38">
        <w:rPr>
          <w:rFonts w:ascii="Times New Roman" w:hAnsi="Times New Roman" w:cs="Times New Roman"/>
          <w:sz w:val="20"/>
          <w:szCs w:val="20"/>
        </w:rPr>
        <w:t xml:space="preserve"> Hospital Group, </w:t>
      </w:r>
      <w:proofErr w:type="spellStart"/>
      <w:r w:rsidRPr="00CA1F38">
        <w:rPr>
          <w:rFonts w:ascii="Times New Roman" w:hAnsi="Times New Roman" w:cs="Times New Roman"/>
          <w:sz w:val="20"/>
          <w:szCs w:val="20"/>
        </w:rPr>
        <w:t>Santeon</w:t>
      </w:r>
      <w:proofErr w:type="spellEnd"/>
      <w:r w:rsidRPr="00CA1F38">
        <w:rPr>
          <w:rFonts w:ascii="Times New Roman" w:hAnsi="Times New Roman" w:cs="Times New Roman"/>
          <w:sz w:val="20"/>
          <w:szCs w:val="20"/>
        </w:rPr>
        <w:t xml:space="preserve">, </w:t>
      </w:r>
      <w:proofErr w:type="spellStart"/>
      <w:r w:rsidRPr="00CA1F38">
        <w:rPr>
          <w:rFonts w:ascii="Times New Roman" w:hAnsi="Times New Roman" w:cs="Times New Roman"/>
          <w:sz w:val="20"/>
          <w:szCs w:val="20"/>
        </w:rPr>
        <w:t>Herculesplein</w:t>
      </w:r>
      <w:proofErr w:type="spellEnd"/>
      <w:r w:rsidRPr="00CA1F38">
        <w:rPr>
          <w:rFonts w:ascii="Times New Roman" w:hAnsi="Times New Roman" w:cs="Times New Roman"/>
          <w:sz w:val="20"/>
          <w:szCs w:val="20"/>
        </w:rPr>
        <w:t xml:space="preserve"> 38, 3584 AA Utrecht, The Netherlands.</w:t>
      </w:r>
    </w:p>
    <w:p w14:paraId="225625E2" w14:textId="77777777" w:rsidR="00357FBE" w:rsidRPr="00CA1F38" w:rsidRDefault="00357FBE" w:rsidP="00357FBE">
      <w:pPr>
        <w:spacing w:line="480" w:lineRule="auto"/>
        <w:jc w:val="both"/>
        <w:rPr>
          <w:rFonts w:ascii="Times New Roman" w:hAnsi="Times New Roman" w:cs="Times New Roman"/>
          <w:sz w:val="20"/>
          <w:szCs w:val="20"/>
        </w:rPr>
      </w:pPr>
      <w:r w:rsidRPr="00CA1F38">
        <w:rPr>
          <w:rFonts w:ascii="Times New Roman" w:hAnsi="Times New Roman" w:cs="Times New Roman"/>
          <w:sz w:val="20"/>
          <w:szCs w:val="20"/>
          <w:vertAlign w:val="superscript"/>
        </w:rPr>
        <w:t>7</w:t>
      </w:r>
      <w:r w:rsidRPr="00CA1F38">
        <w:rPr>
          <w:rFonts w:ascii="Times New Roman" w:hAnsi="Times New Roman" w:cs="Times New Roman"/>
          <w:sz w:val="20"/>
          <w:szCs w:val="20"/>
        </w:rPr>
        <w:t xml:space="preserve"> Division of </w:t>
      </w:r>
      <w:proofErr w:type="spellStart"/>
      <w:r w:rsidRPr="00CA1F38">
        <w:rPr>
          <w:rFonts w:ascii="Times New Roman" w:hAnsi="Times New Roman" w:cs="Times New Roman"/>
          <w:sz w:val="20"/>
          <w:szCs w:val="20"/>
        </w:rPr>
        <w:t>Pharmacoepidemiology</w:t>
      </w:r>
      <w:proofErr w:type="spellEnd"/>
      <w:r w:rsidRPr="00CA1F38">
        <w:rPr>
          <w:rFonts w:ascii="Times New Roman" w:hAnsi="Times New Roman" w:cs="Times New Roman"/>
          <w:sz w:val="20"/>
          <w:szCs w:val="20"/>
        </w:rPr>
        <w:t xml:space="preserve"> and Clinical Pharmacology, Department of Pharmaceutical Sciences, Utrecht University, Utrecht, the Netherlands</w:t>
      </w:r>
    </w:p>
    <w:p w14:paraId="5DF81FB9" w14:textId="77777777" w:rsidR="00357FBE" w:rsidRPr="00CA1F38" w:rsidRDefault="00357FBE" w:rsidP="00357FBE">
      <w:pPr>
        <w:spacing w:line="480" w:lineRule="auto"/>
        <w:jc w:val="both"/>
        <w:rPr>
          <w:rFonts w:ascii="Times New Roman" w:hAnsi="Times New Roman" w:cs="Times New Roman"/>
          <w:sz w:val="20"/>
          <w:szCs w:val="20"/>
        </w:rPr>
      </w:pPr>
      <w:r w:rsidRPr="00CA1F38">
        <w:rPr>
          <w:rFonts w:ascii="Times New Roman" w:hAnsi="Times New Roman" w:cs="Times New Roman"/>
          <w:sz w:val="20"/>
          <w:szCs w:val="20"/>
          <w:vertAlign w:val="superscript"/>
        </w:rPr>
        <w:t>8</w:t>
      </w:r>
      <w:r w:rsidRPr="00CA1F38">
        <w:rPr>
          <w:rFonts w:ascii="Times New Roman" w:hAnsi="Times New Roman" w:cs="Times New Roman"/>
          <w:sz w:val="20"/>
          <w:szCs w:val="20"/>
        </w:rPr>
        <w:t xml:space="preserve"> Department of Clinical Pharmacy, St. Antonius Hospital, Utrecht/</w:t>
      </w:r>
      <w:proofErr w:type="spellStart"/>
      <w:r w:rsidRPr="00CA1F38">
        <w:rPr>
          <w:rFonts w:ascii="Times New Roman" w:hAnsi="Times New Roman" w:cs="Times New Roman"/>
          <w:sz w:val="20"/>
          <w:szCs w:val="20"/>
        </w:rPr>
        <w:t>Nieuwegein</w:t>
      </w:r>
      <w:proofErr w:type="spellEnd"/>
      <w:r w:rsidRPr="00CA1F38">
        <w:rPr>
          <w:rFonts w:ascii="Times New Roman" w:hAnsi="Times New Roman" w:cs="Times New Roman"/>
          <w:sz w:val="20"/>
          <w:szCs w:val="20"/>
        </w:rPr>
        <w:t>, the Netherland</w:t>
      </w:r>
      <w:bookmarkEnd w:id="2"/>
      <w:r w:rsidRPr="00CA1F38">
        <w:rPr>
          <w:rFonts w:ascii="Times New Roman" w:hAnsi="Times New Roman" w:cs="Times New Roman"/>
          <w:sz w:val="20"/>
          <w:szCs w:val="20"/>
        </w:rPr>
        <w:t>s</w:t>
      </w:r>
    </w:p>
    <w:bookmarkEnd w:id="6"/>
    <w:p w14:paraId="12E5E722" w14:textId="77777777" w:rsidR="00357FBE" w:rsidRDefault="00357FBE" w:rsidP="00357FBE">
      <w:pPr>
        <w:spacing w:line="480" w:lineRule="auto"/>
        <w:rPr>
          <w:b/>
        </w:rPr>
      </w:pPr>
    </w:p>
    <w:p w14:paraId="18E0BE8C" w14:textId="77777777" w:rsidR="00357FBE" w:rsidRPr="00CA1F38" w:rsidRDefault="00357FBE" w:rsidP="00357FBE">
      <w:pPr>
        <w:spacing w:after="0" w:line="480" w:lineRule="auto"/>
        <w:jc w:val="both"/>
        <w:rPr>
          <w:rFonts w:ascii="Times New Roman" w:hAnsi="Times New Roman" w:cs="Times New Roman"/>
          <w:sz w:val="20"/>
          <w:szCs w:val="20"/>
        </w:rPr>
      </w:pPr>
      <w:r w:rsidRPr="00CA1F38">
        <w:rPr>
          <w:rFonts w:ascii="Times New Roman" w:hAnsi="Times New Roman" w:cs="Times New Roman"/>
          <w:b/>
          <w:sz w:val="20"/>
          <w:szCs w:val="20"/>
          <w:vertAlign w:val="superscript"/>
        </w:rPr>
        <w:t>*</w:t>
      </w:r>
      <w:r w:rsidRPr="00CA1F38">
        <w:rPr>
          <w:rFonts w:ascii="Times New Roman" w:hAnsi="Times New Roman" w:cs="Times New Roman"/>
          <w:b/>
          <w:sz w:val="20"/>
          <w:szCs w:val="20"/>
        </w:rPr>
        <w:t xml:space="preserve"> Address correspondence to </w:t>
      </w:r>
      <w:proofErr w:type="spellStart"/>
      <w:r w:rsidRPr="00CA1F38">
        <w:rPr>
          <w:rFonts w:ascii="Times New Roman" w:hAnsi="Times New Roman" w:cs="Times New Roman"/>
          <w:sz w:val="20"/>
          <w:szCs w:val="20"/>
        </w:rPr>
        <w:t>Veerle</w:t>
      </w:r>
      <w:proofErr w:type="spellEnd"/>
      <w:r w:rsidRPr="00CA1F38">
        <w:rPr>
          <w:rFonts w:ascii="Times New Roman" w:hAnsi="Times New Roman" w:cs="Times New Roman"/>
          <w:sz w:val="20"/>
          <w:szCs w:val="20"/>
        </w:rPr>
        <w:t xml:space="preserve"> M.H. Coupé, Decision modelling and Health Care Evaluation, Department of Epidemiology and Data Science, Amsterdam UMC, location </w:t>
      </w:r>
      <w:proofErr w:type="spellStart"/>
      <w:r w:rsidRPr="00CA1F38">
        <w:rPr>
          <w:rFonts w:ascii="Times New Roman" w:hAnsi="Times New Roman" w:cs="Times New Roman"/>
          <w:sz w:val="20"/>
          <w:szCs w:val="20"/>
        </w:rPr>
        <w:t>Vumc</w:t>
      </w:r>
      <w:proofErr w:type="spellEnd"/>
      <w:r w:rsidRPr="00CA1F38">
        <w:rPr>
          <w:rFonts w:ascii="Times New Roman" w:hAnsi="Times New Roman" w:cs="Times New Roman"/>
          <w:sz w:val="20"/>
          <w:szCs w:val="20"/>
        </w:rPr>
        <w:t>, PO Box 7057, 1007 MB, Amsterdam, the Netherlands.</w:t>
      </w:r>
    </w:p>
    <w:p w14:paraId="37BA7F5C" w14:textId="00FAC75F" w:rsidR="00B2584A" w:rsidRPr="00E9120B" w:rsidRDefault="00357FBE" w:rsidP="00357FBE">
      <w:pPr>
        <w:spacing w:line="480" w:lineRule="auto"/>
        <w:jc w:val="both"/>
        <w:rPr>
          <w:rFonts w:ascii="Times New Roman" w:hAnsi="Times New Roman" w:cs="Times New Roman"/>
          <w:sz w:val="20"/>
          <w:szCs w:val="20"/>
        </w:rPr>
      </w:pPr>
      <w:r w:rsidRPr="00CA1F38">
        <w:rPr>
          <w:rFonts w:ascii="Times New Roman" w:hAnsi="Times New Roman" w:cs="Times New Roman"/>
          <w:sz w:val="20"/>
          <w:szCs w:val="20"/>
        </w:rPr>
        <w:t xml:space="preserve">Email address: </w:t>
      </w:r>
      <w:hyperlink r:id="rId15" w:history="1">
        <w:r w:rsidRPr="00CA1F38">
          <w:rPr>
            <w:rStyle w:val="Hyperlink"/>
            <w:rFonts w:ascii="Times New Roman" w:hAnsi="Times New Roman" w:cs="Times New Roman"/>
            <w:sz w:val="20"/>
            <w:szCs w:val="20"/>
          </w:rPr>
          <w:t>v.coupe@amsterdamumc.nl</w:t>
        </w:r>
      </w:hyperlink>
      <w:r w:rsidRPr="00CA1F38">
        <w:rPr>
          <w:rFonts w:ascii="Times New Roman" w:hAnsi="Times New Roman" w:cs="Times New Roman"/>
          <w:sz w:val="20"/>
          <w:szCs w:val="20"/>
        </w:rPr>
        <w:t xml:space="preserve"> (Coupé, V.M.H.)</w:t>
      </w:r>
      <w:r w:rsidR="008D4CF7" w:rsidRPr="00357FBE">
        <w:rPr>
          <w:lang w:val="en-GB"/>
        </w:rPr>
        <w:br w:type="page"/>
      </w:r>
    </w:p>
    <w:p w14:paraId="627F5F86" w14:textId="77777777" w:rsidR="00B2584A" w:rsidRPr="00146888" w:rsidRDefault="00B2584A" w:rsidP="00CD4B0D">
      <w:pPr>
        <w:spacing w:line="480" w:lineRule="auto"/>
        <w:rPr>
          <w:rFonts w:ascii="Times New Roman" w:hAnsi="Times New Roman" w:cs="Times New Roman"/>
          <w:b/>
          <w:bCs/>
          <w:sz w:val="20"/>
          <w:szCs w:val="20"/>
        </w:rPr>
      </w:pPr>
      <w:r w:rsidRPr="00146888">
        <w:rPr>
          <w:rFonts w:ascii="Times New Roman" w:hAnsi="Times New Roman" w:cs="Times New Roman"/>
          <w:b/>
          <w:bCs/>
          <w:sz w:val="20"/>
          <w:szCs w:val="20"/>
        </w:rPr>
        <w:lastRenderedPageBreak/>
        <w:t xml:space="preserve">A.1 Methods </w:t>
      </w:r>
    </w:p>
    <w:p w14:paraId="4B8088BF" w14:textId="77777777" w:rsidR="00B2584A" w:rsidRPr="00E804AC" w:rsidRDefault="00B2584A" w:rsidP="00AB7D4E">
      <w:pPr>
        <w:spacing w:after="200" w:line="480" w:lineRule="auto"/>
        <w:rPr>
          <w:rFonts w:ascii="Times New Roman" w:hAnsi="Times New Roman" w:cs="Times New Roman"/>
          <w:i/>
          <w:iCs/>
          <w:sz w:val="20"/>
          <w:szCs w:val="20"/>
        </w:rPr>
      </w:pPr>
      <w:r w:rsidRPr="00E804AC">
        <w:rPr>
          <w:rFonts w:ascii="Times New Roman" w:hAnsi="Times New Roman" w:cs="Times New Roman"/>
          <w:i/>
          <w:iCs/>
          <w:sz w:val="20"/>
          <w:szCs w:val="20"/>
        </w:rPr>
        <w:t>Fitting of parametric multistate-statistical model (par MSSM)</w:t>
      </w:r>
    </w:p>
    <w:p w14:paraId="1D0AE4E6" w14:textId="1C402EFF" w:rsidR="00B2584A" w:rsidRPr="00146888" w:rsidRDefault="00B2584A" w:rsidP="009B5860">
      <w:pPr>
        <w:spacing w:after="0" w:line="480" w:lineRule="auto"/>
        <w:ind w:firstLine="360"/>
        <w:jc w:val="both"/>
        <w:rPr>
          <w:rFonts w:ascii="Times New Roman" w:hAnsi="Times New Roman" w:cs="Times New Roman"/>
          <w:sz w:val="20"/>
          <w:szCs w:val="20"/>
        </w:rPr>
      </w:pPr>
      <w:r w:rsidRPr="00146888">
        <w:rPr>
          <w:rFonts w:ascii="Times New Roman" w:hAnsi="Times New Roman" w:cs="Times New Roman"/>
          <w:sz w:val="20"/>
          <w:szCs w:val="20"/>
        </w:rPr>
        <w:t xml:space="preserve">The fitting of parametric multistate-statistical model (MSSM) is carried out as a series of nested competing risk models accounting for competing events (e.g., from L1T to L2T vs from L1T to Death) and delayed entry (left truncation) for in-transit events (i.e., from L2T to L3 and from L3T to Death) </w:t>
      </w:r>
      <w:r w:rsidRPr="00146888">
        <w:rPr>
          <w:rFonts w:ascii="Times New Roman" w:hAnsi="Times New Roman" w:cs="Times New Roman"/>
          <w:sz w:val="20"/>
          <w:szCs w:val="20"/>
        </w:rPr>
        <w:fldChar w:fldCharType="begin" w:fldLock="1"/>
      </w:r>
      <w:r w:rsidR="00315CD2" w:rsidRPr="00146888">
        <w:rPr>
          <w:rFonts w:ascii="Times New Roman" w:hAnsi="Times New Roman" w:cs="Times New Roman"/>
          <w:sz w:val="20"/>
          <w:szCs w:val="20"/>
        </w:rPr>
        <w:instrText>ADDIN CSL_CITATION {"citationItems":[{"id":"ITEM-1","itemData":{"DOI":"10.1002/sim.2712","ISSN":"02776715","author":[{"dropping-particle":"","family":"Putter","given":"H.","non-dropping-particle":"","parse-names":false,"suffix":""},{"dropping-particle":"","family":"Fiocco","given":"M.","non-dropping-particle":"","parse-names":false,"suffix":""},{"dropping-particle":"","family":"Geskus","given":"R. B.","non-dropping-particle":"","parse-names":false,"suffix":""}],"container-title":"Statistics in Medicine","id":"ITEM-1","issue":"11","issued":{"date-parts":[["2007","5","20"]]},"page":"2389-2430","title":"Tutorial in biostatistics: competing risks and multi-state models","type":"article-journal","volume":"26"},"uris":["http://www.mendeley.com/documents/?uuid=63e2a0d5-6092-4f0b-8393-7ff76c4f4cf0"]},{"id":"ITEM-2","itemData":{"DOI":"10.1007/978-1-4614-2035-4","ISBN":"978-1-4614-2034-7","author":[{"dropping-particle":"","family":"Beyersmann","given":"Jan","non-dropping-particle":"","parse-names":false,"suffix":""},{"dropping-particle":"","family":"Allignol","given":"Arthur","non-dropping-particle":"","parse-names":false,"suffix":""},{"dropping-particle":"","family":"Schumacher","given":"Martin","non-dropping-particle":"","parse-names":false,"suffix":""}],"id":"ITEM-2","issued":{"date-parts":[["2012"]]},"publisher":"Springer New York","publisher-place":"New York, NY","title":"Competing Risks and Multistate Models with R","type":"book"},"uris":["http://www.mendeley.com/documents/?uuid=748e95cf-b826-4e2d-8e66-46c10a29ebc0"]}],"mendeley":{"formattedCitation":"[43], [69]","plainTextFormattedCitation":"[43], [69]","previouslyFormattedCitation":"[43], [69]"},"properties":{"noteIndex":0},"schema":"https://github.com/citation-style-language/schema/raw/master/csl-citation.json"}</w:instrText>
      </w:r>
      <w:r w:rsidRPr="00146888">
        <w:rPr>
          <w:rFonts w:ascii="Times New Roman" w:hAnsi="Times New Roman" w:cs="Times New Roman"/>
          <w:sz w:val="20"/>
          <w:szCs w:val="20"/>
        </w:rPr>
        <w:fldChar w:fldCharType="separate"/>
      </w:r>
      <w:r w:rsidR="009F237B" w:rsidRPr="00146888">
        <w:rPr>
          <w:rFonts w:ascii="Times New Roman" w:hAnsi="Times New Roman" w:cs="Times New Roman"/>
          <w:noProof/>
          <w:sz w:val="20"/>
          <w:szCs w:val="20"/>
        </w:rPr>
        <w:t>[43], [69]</w:t>
      </w:r>
      <w:r w:rsidRPr="00146888">
        <w:rPr>
          <w:rFonts w:ascii="Times New Roman" w:hAnsi="Times New Roman" w:cs="Times New Roman"/>
          <w:sz w:val="20"/>
          <w:szCs w:val="20"/>
        </w:rPr>
        <w:fldChar w:fldCharType="end"/>
      </w:r>
      <w:r w:rsidRPr="00146888">
        <w:rPr>
          <w:rFonts w:ascii="Times New Roman" w:hAnsi="Times New Roman" w:cs="Times New Roman"/>
          <w:sz w:val="20"/>
          <w:szCs w:val="20"/>
        </w:rPr>
        <w:t xml:space="preserve">. </w:t>
      </w:r>
    </w:p>
    <w:p w14:paraId="45FC1968" w14:textId="77777777" w:rsidR="00B2584A" w:rsidRPr="00146888" w:rsidRDefault="00B2584A" w:rsidP="009E5143">
      <w:pPr>
        <w:spacing w:line="480" w:lineRule="auto"/>
        <w:ind w:left="360"/>
        <w:jc w:val="both"/>
        <w:rPr>
          <w:rFonts w:ascii="Times New Roman" w:hAnsi="Times New Roman" w:cs="Times New Roman"/>
          <w:sz w:val="20"/>
          <w:szCs w:val="20"/>
        </w:rPr>
      </w:pPr>
      <w:r w:rsidRPr="00146888">
        <w:rPr>
          <w:rFonts w:ascii="Times New Roman" w:hAnsi="Times New Roman" w:cs="Times New Roman"/>
          <w:sz w:val="20"/>
          <w:szCs w:val="20"/>
        </w:rPr>
        <w:t>For each possible time to event (from event i to event j)</w:t>
      </w:r>
      <w:r w:rsidRPr="00146888">
        <w:rPr>
          <w:rFonts w:ascii="Times New Roman" w:hAnsi="Times New Roman" w:cs="Times New Roman"/>
          <w:b/>
          <w:sz w:val="20"/>
          <w:szCs w:val="20"/>
        </w:rPr>
        <w:t xml:space="preserve">, </w:t>
      </w:r>
      <w:r w:rsidRPr="00146888">
        <w:rPr>
          <w:rFonts w:ascii="Times New Roman" w:hAnsi="Times New Roman" w:cs="Times New Roman"/>
          <w:sz w:val="20"/>
          <w:szCs w:val="20"/>
        </w:rPr>
        <w:t xml:space="preserve">a cause-specific hazard model is defined as follows: </w:t>
      </w:r>
    </w:p>
    <w:p w14:paraId="73677A0D" w14:textId="64A3DB7E" w:rsidR="00B2584A" w:rsidRPr="00357FBE" w:rsidRDefault="001F4330" w:rsidP="00B3289E">
      <w:pPr>
        <w:spacing w:line="480" w:lineRule="auto"/>
        <w:ind w:left="3192" w:firstLine="348"/>
        <w:jc w:val="both"/>
        <w:rPr>
          <w:rFonts w:ascii="Times New Roman" w:hAnsi="Times New Roman" w:cs="Times New Roman"/>
          <w:sz w:val="20"/>
          <w:szCs w:val="20"/>
          <w:lang w:val="en-GB"/>
        </w:rPr>
      </w:pPr>
      <m:oMath>
        <m:sSub>
          <m:sSubPr>
            <m:ctrlPr>
              <w:rPr>
                <w:rFonts w:ascii="Cambria Math" w:hAnsi="Cambria Math" w:cs="Times New Roman"/>
                <w:i/>
                <w:sz w:val="20"/>
                <w:szCs w:val="20"/>
                <w:lang w:val="nl-NL"/>
              </w:rPr>
            </m:ctrlPr>
          </m:sSubPr>
          <m:e>
            <m:r>
              <w:rPr>
                <w:rFonts w:ascii="Cambria Math" w:hAnsi="Cambria Math" w:cs="Times New Roman"/>
                <w:sz w:val="20"/>
                <w:szCs w:val="20"/>
                <w:lang w:val="en-GB"/>
              </w:rPr>
              <m:t>h</m:t>
            </m:r>
          </m:e>
          <m:sub>
            <m:r>
              <w:rPr>
                <w:rFonts w:ascii="Cambria Math" w:hAnsi="Cambria Math" w:cs="Times New Roman"/>
                <w:sz w:val="20"/>
                <w:szCs w:val="20"/>
                <w:lang w:val="nl-NL"/>
              </w:rPr>
              <m:t>ij</m:t>
            </m:r>
          </m:sub>
        </m:sSub>
        <m:d>
          <m:dPr>
            <m:ctrlPr>
              <w:rPr>
                <w:rFonts w:ascii="Cambria Math" w:hAnsi="Cambria Math" w:cs="Times New Roman"/>
                <w:i/>
                <w:sz w:val="20"/>
                <w:szCs w:val="20"/>
                <w:lang w:val="nl-NL"/>
              </w:rPr>
            </m:ctrlPr>
          </m:dPr>
          <m:e>
            <m:r>
              <w:rPr>
                <w:rFonts w:ascii="Cambria Math" w:hAnsi="Cambria Math" w:cs="Times New Roman"/>
                <w:sz w:val="20"/>
                <w:szCs w:val="20"/>
                <w:lang w:val="nl-NL"/>
              </w:rPr>
              <m:t>t</m:t>
            </m:r>
          </m:e>
        </m:d>
        <m:r>
          <w:rPr>
            <w:rFonts w:ascii="Cambria Math" w:hAnsi="Cambria Math" w:cs="Times New Roman"/>
            <w:sz w:val="20"/>
            <w:szCs w:val="20"/>
            <w:lang w:val="en-GB"/>
          </w:rPr>
          <m:t>=</m:t>
        </m:r>
        <m:sSub>
          <m:sSubPr>
            <m:ctrlPr>
              <w:rPr>
                <w:rFonts w:ascii="Cambria Math" w:hAnsi="Cambria Math" w:cs="Times New Roman"/>
                <w:i/>
                <w:sz w:val="20"/>
                <w:szCs w:val="20"/>
                <w:lang w:val="nl-NL"/>
              </w:rPr>
            </m:ctrlPr>
          </m:sSubPr>
          <m:e>
            <m:r>
              <w:rPr>
                <w:rFonts w:ascii="Cambria Math" w:hAnsi="Cambria Math" w:cs="Times New Roman"/>
                <w:sz w:val="20"/>
                <w:szCs w:val="20"/>
                <w:lang w:val="en-GB"/>
              </w:rPr>
              <m:t>h</m:t>
            </m:r>
          </m:e>
          <m:sub>
            <m:r>
              <w:rPr>
                <w:rFonts w:ascii="Cambria Math" w:hAnsi="Cambria Math" w:cs="Times New Roman"/>
                <w:sz w:val="20"/>
                <w:szCs w:val="20"/>
                <w:lang w:val="en-GB"/>
              </w:rPr>
              <m:t>0</m:t>
            </m:r>
            <m:r>
              <w:rPr>
                <w:rFonts w:ascii="Cambria Math" w:hAnsi="Cambria Math" w:cs="Times New Roman"/>
                <w:sz w:val="20"/>
                <w:szCs w:val="20"/>
                <w:lang w:val="nl-NL"/>
              </w:rPr>
              <m:t>j</m:t>
            </m:r>
          </m:sub>
        </m:sSub>
        <m:d>
          <m:dPr>
            <m:ctrlPr>
              <w:rPr>
                <w:rFonts w:ascii="Cambria Math" w:hAnsi="Cambria Math" w:cs="Times New Roman"/>
                <w:i/>
                <w:sz w:val="20"/>
                <w:szCs w:val="20"/>
                <w:lang w:val="nl-NL"/>
              </w:rPr>
            </m:ctrlPr>
          </m:dPr>
          <m:e>
            <m:r>
              <w:rPr>
                <w:rFonts w:ascii="Cambria Math" w:hAnsi="Cambria Math" w:cs="Times New Roman"/>
                <w:sz w:val="20"/>
                <w:szCs w:val="20"/>
                <w:lang w:val="nl-NL"/>
              </w:rPr>
              <m:t>t</m:t>
            </m:r>
          </m:e>
        </m:d>
        <m:r>
          <m:rPr>
            <m:sty m:val="p"/>
          </m:rPr>
          <w:rPr>
            <w:rFonts w:ascii="Cambria Math" w:hAnsi="Cambria Math" w:cs="Times New Roman"/>
            <w:sz w:val="20"/>
            <w:szCs w:val="20"/>
            <w:lang w:val="en-GB"/>
          </w:rPr>
          <m:t>exp⁡</m:t>
        </m:r>
        <m:r>
          <w:rPr>
            <w:rFonts w:ascii="Cambria Math" w:hAnsi="Cambria Math" w:cs="Times New Roman"/>
            <w:sz w:val="20"/>
            <w:szCs w:val="20"/>
            <w:lang w:val="en-GB"/>
          </w:rPr>
          <m:t>(</m:t>
        </m:r>
        <m:sSubSup>
          <m:sSubSupPr>
            <m:ctrlPr>
              <w:rPr>
                <w:rFonts w:ascii="Cambria Math" w:hAnsi="Cambria Math" w:cs="Times New Roman"/>
                <w:i/>
                <w:sz w:val="20"/>
                <w:szCs w:val="20"/>
                <w:lang w:val="nl-NL"/>
              </w:rPr>
            </m:ctrlPr>
          </m:sSubSupPr>
          <m:e>
            <m:r>
              <w:rPr>
                <w:rFonts w:ascii="Cambria Math" w:hAnsi="Cambria Math" w:cs="Times New Roman"/>
                <w:sz w:val="20"/>
                <w:szCs w:val="20"/>
                <w:lang w:val="nl-NL"/>
              </w:rPr>
              <m:t>β</m:t>
            </m:r>
          </m:e>
          <m:sub>
            <m:r>
              <w:rPr>
                <w:rFonts w:ascii="Cambria Math" w:hAnsi="Cambria Math" w:cs="Times New Roman"/>
                <w:sz w:val="20"/>
                <w:szCs w:val="20"/>
                <w:lang w:val="nl-NL"/>
              </w:rPr>
              <m:t>k</m:t>
            </m:r>
          </m:sub>
          <m:sup>
            <m:r>
              <w:rPr>
                <w:rFonts w:ascii="Cambria Math" w:hAnsi="Cambria Math" w:cs="Times New Roman"/>
                <w:sz w:val="20"/>
                <w:szCs w:val="20"/>
                <w:lang w:val="nl-NL"/>
              </w:rPr>
              <m:t>T</m:t>
            </m:r>
          </m:sup>
        </m:sSubSup>
        <m:sSub>
          <m:sSubPr>
            <m:ctrlPr>
              <w:rPr>
                <w:rFonts w:ascii="Cambria Math" w:hAnsi="Cambria Math" w:cs="Times New Roman"/>
                <w:i/>
                <w:sz w:val="20"/>
                <w:szCs w:val="20"/>
                <w:lang w:val="nl-NL"/>
              </w:rPr>
            </m:ctrlPr>
          </m:sSubPr>
          <m:e>
            <m:r>
              <w:rPr>
                <w:rFonts w:ascii="Cambria Math" w:hAnsi="Cambria Math" w:cs="Times New Roman"/>
                <w:sz w:val="20"/>
                <w:szCs w:val="20"/>
                <w:lang w:val="nl-NL"/>
              </w:rPr>
              <m:t>X</m:t>
            </m:r>
          </m:e>
          <m:sub>
            <m:r>
              <w:rPr>
                <w:rFonts w:ascii="Cambria Math" w:hAnsi="Cambria Math" w:cs="Times New Roman"/>
                <w:sz w:val="20"/>
                <w:szCs w:val="20"/>
                <w:lang w:val="nl-NL"/>
              </w:rPr>
              <m:t>kl</m:t>
            </m:r>
          </m:sub>
        </m:sSub>
        <m:r>
          <w:rPr>
            <w:rFonts w:ascii="Cambria Math" w:hAnsi="Cambria Math" w:cs="Times New Roman"/>
            <w:sz w:val="20"/>
            <w:szCs w:val="20"/>
            <w:lang w:val="en-GB"/>
          </w:rPr>
          <m:t>)</m:t>
        </m:r>
      </m:oMath>
      <w:r w:rsidR="00F6273B" w:rsidRPr="00357FBE">
        <w:rPr>
          <w:rFonts w:ascii="Times New Roman" w:hAnsi="Times New Roman" w:cs="Times New Roman"/>
          <w:sz w:val="20"/>
          <w:szCs w:val="20"/>
          <w:lang w:val="en-GB"/>
        </w:rPr>
        <w:t xml:space="preserve">   </w:t>
      </w:r>
      <w:r w:rsidR="00B2584A" w:rsidRPr="00357FBE">
        <w:rPr>
          <w:rFonts w:ascii="Times New Roman" w:hAnsi="Times New Roman" w:cs="Times New Roman"/>
          <w:sz w:val="20"/>
          <w:szCs w:val="20"/>
          <w:lang w:val="en-GB"/>
        </w:rPr>
        <w:tab/>
      </w:r>
      <w:r w:rsidR="00B2584A" w:rsidRPr="00357FBE">
        <w:rPr>
          <w:rFonts w:ascii="Times New Roman" w:hAnsi="Times New Roman" w:cs="Times New Roman"/>
          <w:sz w:val="20"/>
          <w:szCs w:val="20"/>
          <w:lang w:val="en-GB"/>
        </w:rPr>
        <w:tab/>
      </w:r>
      <w:r w:rsidR="00B2584A" w:rsidRPr="00357FBE">
        <w:rPr>
          <w:rFonts w:ascii="Times New Roman" w:hAnsi="Times New Roman" w:cs="Times New Roman"/>
          <w:sz w:val="20"/>
          <w:szCs w:val="20"/>
          <w:lang w:val="en-GB"/>
        </w:rPr>
        <w:tab/>
        <w:t>eq</w:t>
      </w:r>
      <w:r w:rsidR="00E67DB8" w:rsidRPr="00357FBE">
        <w:rPr>
          <w:rFonts w:ascii="Times New Roman" w:hAnsi="Times New Roman" w:cs="Times New Roman"/>
          <w:sz w:val="20"/>
          <w:szCs w:val="20"/>
          <w:lang w:val="en-GB"/>
        </w:rPr>
        <w:t xml:space="preserve">uation </w:t>
      </w:r>
      <w:r w:rsidR="00B2584A" w:rsidRPr="00357FBE">
        <w:rPr>
          <w:rFonts w:ascii="Times New Roman" w:hAnsi="Times New Roman" w:cs="Times New Roman"/>
          <w:sz w:val="20"/>
          <w:szCs w:val="20"/>
          <w:lang w:val="en-GB"/>
        </w:rPr>
        <w:t>(</w:t>
      </w:r>
      <w:r w:rsidR="00E67DB8" w:rsidRPr="00357FBE">
        <w:rPr>
          <w:rFonts w:ascii="Times New Roman" w:hAnsi="Times New Roman" w:cs="Times New Roman"/>
          <w:sz w:val="20"/>
          <w:szCs w:val="20"/>
          <w:lang w:val="en-GB"/>
        </w:rPr>
        <w:t>A</w:t>
      </w:r>
      <w:r w:rsidR="00B2584A" w:rsidRPr="00357FBE">
        <w:rPr>
          <w:rFonts w:ascii="Times New Roman" w:hAnsi="Times New Roman" w:cs="Times New Roman"/>
          <w:sz w:val="20"/>
          <w:szCs w:val="20"/>
          <w:lang w:val="en-GB"/>
        </w:rPr>
        <w:t>1)</w:t>
      </w:r>
    </w:p>
    <w:p w14:paraId="63C24BAB" w14:textId="1378A8AD" w:rsidR="00B2584A" w:rsidRPr="00146888" w:rsidRDefault="00B2584A" w:rsidP="0069376F">
      <w:pPr>
        <w:spacing w:line="480" w:lineRule="auto"/>
        <w:ind w:left="360"/>
        <w:jc w:val="both"/>
        <w:rPr>
          <w:rFonts w:ascii="Times New Roman" w:hAnsi="Times New Roman" w:cs="Times New Roman"/>
          <w:sz w:val="20"/>
          <w:szCs w:val="20"/>
        </w:rPr>
      </w:pPr>
      <w:r w:rsidRPr="00146888">
        <w:rPr>
          <w:rFonts w:ascii="Times New Roman" w:hAnsi="Times New Roman" w:cs="Times New Roman"/>
          <w:sz w:val="20"/>
          <w:szCs w:val="20"/>
        </w:rPr>
        <w:t xml:space="preserve">where </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0j</m:t>
            </m:r>
          </m:sub>
        </m:sSub>
        <m:r>
          <w:rPr>
            <w:rFonts w:ascii="Cambria Math" w:hAnsi="Cambria Math" w:cs="Times New Roman"/>
            <w:sz w:val="20"/>
            <w:szCs w:val="20"/>
          </w:rPr>
          <m:t>(t)</m:t>
        </m:r>
      </m:oMath>
      <w:r w:rsidR="00B3289E">
        <w:rPr>
          <w:rFonts w:ascii="Times New Roman" w:hAnsi="Times New Roman" w:cs="Times New Roman"/>
          <w:sz w:val="20"/>
          <w:szCs w:val="20"/>
        </w:rPr>
        <w:t xml:space="preserve"> </w:t>
      </w:r>
      <w:r w:rsidRPr="00146888">
        <w:rPr>
          <w:rFonts w:ascii="Times New Roman" w:hAnsi="Times New Roman" w:cs="Times New Roman"/>
          <w:sz w:val="20"/>
          <w:szCs w:val="20"/>
        </w:rPr>
        <w:t xml:space="preserve">is a time dependent baseline hazard of moving from event </w:t>
      </w:r>
      <m:oMath>
        <m:r>
          <w:rPr>
            <w:rFonts w:ascii="Cambria Math" w:hAnsi="Cambria Math" w:cs="Times New Roman"/>
            <w:sz w:val="20"/>
            <w:szCs w:val="20"/>
          </w:rPr>
          <m:t>i</m:t>
        </m:r>
      </m:oMath>
      <w:r w:rsidRPr="00146888">
        <w:rPr>
          <w:rFonts w:ascii="Times New Roman" w:hAnsi="Times New Roman" w:cs="Times New Roman"/>
          <w:sz w:val="20"/>
          <w:szCs w:val="20"/>
        </w:rPr>
        <w:t xml:space="preserve"> to event </w:t>
      </w:r>
      <m:oMath>
        <m:r>
          <w:rPr>
            <w:rFonts w:ascii="Cambria Math" w:hAnsi="Cambria Math" w:cs="Times New Roman"/>
            <w:sz w:val="20"/>
            <w:szCs w:val="20"/>
          </w:rPr>
          <m:t>j</m:t>
        </m:r>
      </m:oMath>
      <w:r w:rsidRPr="00146888">
        <w:rPr>
          <w:rFonts w:ascii="Times New Roman" w:hAnsi="Times New Roman" w:cs="Times New Roman"/>
          <w:sz w:val="20"/>
          <w:szCs w:val="20"/>
        </w:rPr>
        <w:t>.</w:t>
      </w:r>
      <w:r w:rsidR="00B3289E">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ij</m:t>
            </m:r>
          </m:sub>
        </m:sSub>
        <m:r>
          <w:rPr>
            <w:rFonts w:ascii="Cambria Math" w:hAnsi="Cambria Math" w:cs="Times New Roman"/>
            <w:sz w:val="20"/>
            <w:szCs w:val="20"/>
          </w:rPr>
          <m:t>(t)</m:t>
        </m:r>
      </m:oMath>
      <w:r w:rsidR="00B3289E">
        <w:rPr>
          <w:rFonts w:ascii="Times New Roman" w:hAnsi="Times New Roman" w:cs="Times New Roman"/>
          <w:sz w:val="20"/>
          <w:szCs w:val="20"/>
        </w:rPr>
        <w:t xml:space="preserve"> </w:t>
      </w:r>
      <w:r w:rsidRPr="00146888">
        <w:rPr>
          <w:rFonts w:ascii="Times New Roman" w:hAnsi="Times New Roman" w:cs="Times New Roman"/>
          <w:sz w:val="20"/>
          <w:szCs w:val="20"/>
        </w:rPr>
        <w:t xml:space="preserve">is the hazard function of moving from event </w:t>
      </w:r>
      <m:oMath>
        <m:r>
          <w:rPr>
            <w:rFonts w:ascii="Cambria Math" w:hAnsi="Cambria Math" w:cs="Times New Roman"/>
            <w:sz w:val="20"/>
            <w:szCs w:val="20"/>
          </w:rPr>
          <m:t>i</m:t>
        </m:r>
      </m:oMath>
      <w:r w:rsidRPr="00146888">
        <w:rPr>
          <w:rFonts w:ascii="Times New Roman" w:hAnsi="Times New Roman" w:cs="Times New Roman"/>
          <w:sz w:val="20"/>
          <w:szCs w:val="20"/>
        </w:rPr>
        <w:t xml:space="preserve"> to event </w:t>
      </w:r>
      <m:oMath>
        <m:r>
          <w:rPr>
            <w:rFonts w:ascii="Cambria Math" w:hAnsi="Cambria Math" w:cs="Times New Roman"/>
            <w:sz w:val="20"/>
            <w:szCs w:val="20"/>
          </w:rPr>
          <m:t>j</m:t>
        </m:r>
      </m:oMath>
      <w:r w:rsidRPr="00146888">
        <w:rPr>
          <w:rFonts w:ascii="Times New Roman" w:hAnsi="Times New Roman" w:cs="Times New Roman"/>
          <w:sz w:val="20"/>
          <w:szCs w:val="20"/>
        </w:rPr>
        <w:t xml:space="preserve"> at time </w:t>
      </w:r>
      <m:oMath>
        <m:r>
          <w:rPr>
            <w:rFonts w:ascii="Cambria Math" w:hAnsi="Cambria Math" w:cs="Times New Roman"/>
            <w:sz w:val="20"/>
            <w:szCs w:val="20"/>
          </w:rPr>
          <m:t>t</m:t>
        </m:r>
      </m:oMath>
      <w:r w:rsidRPr="00146888">
        <w:rPr>
          <w:rFonts w:ascii="Times New Roman" w:hAnsi="Times New Roman" w:cs="Times New Roman"/>
          <w:sz w:val="20"/>
          <w:szCs w:val="20"/>
        </w:rPr>
        <w:t xml:space="preserve">. </w:t>
      </w:r>
      <m:oMath>
        <m:sSubSup>
          <m:sSubSupPr>
            <m:ctrlPr>
              <w:rPr>
                <w:rFonts w:ascii="Cambria Math" w:hAnsi="Cambria Math" w:cs="Times New Roman"/>
                <w:i/>
                <w:sz w:val="20"/>
                <w:szCs w:val="20"/>
              </w:rPr>
            </m:ctrlPr>
          </m:sSubSupPr>
          <m:e>
            <m:r>
              <w:rPr>
                <w:rFonts w:ascii="Cambria Math" w:hAnsi="Cambria Math" w:cs="Times New Roman"/>
                <w:sz w:val="20"/>
                <w:szCs w:val="20"/>
              </w:rPr>
              <m:t>β</m:t>
            </m:r>
          </m:e>
          <m:sub>
            <m:r>
              <w:rPr>
                <w:rFonts w:ascii="Cambria Math" w:hAnsi="Cambria Math" w:cs="Times New Roman"/>
                <w:sz w:val="20"/>
                <w:szCs w:val="20"/>
              </w:rPr>
              <m:t>k</m:t>
            </m:r>
          </m:sub>
          <m:sup>
            <m:r>
              <w:rPr>
                <w:rFonts w:ascii="Cambria Math" w:hAnsi="Cambria Math" w:cs="Times New Roman"/>
                <w:sz w:val="20"/>
                <w:szCs w:val="20"/>
              </w:rPr>
              <m:t>T</m:t>
            </m:r>
          </m:sup>
        </m:sSubSup>
      </m:oMath>
      <w:r w:rsidR="00B6764F">
        <w:rPr>
          <w:rFonts w:ascii="Times New Roman" w:eastAsiaTheme="minorEastAsia" w:hAnsi="Times New Roman" w:cs="Times New Roman"/>
          <w:sz w:val="20"/>
          <w:szCs w:val="20"/>
        </w:rPr>
        <w:t xml:space="preserve"> </w:t>
      </w:r>
      <w:r w:rsidRPr="00146888">
        <w:rPr>
          <w:rFonts w:ascii="Times New Roman" w:hAnsi="Times New Roman" w:cs="Times New Roman"/>
          <w:sz w:val="20"/>
          <w:szCs w:val="20"/>
        </w:rPr>
        <w:t xml:space="preserve">is the transposed vector of model coefficients associated with covariate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kl</m:t>
            </m:r>
          </m:sub>
        </m:sSub>
      </m:oMath>
      <w:r w:rsidRPr="00146888">
        <w:rPr>
          <w:rFonts w:ascii="Times New Roman" w:hAnsi="Times New Roman" w:cs="Times New Roman"/>
          <w:sz w:val="20"/>
          <w:szCs w:val="20"/>
        </w:rPr>
        <w:t xml:space="preserve">, with </w:t>
      </w:r>
      <m:oMath>
        <m:r>
          <w:rPr>
            <w:rFonts w:ascii="Cambria Math" w:hAnsi="Cambria Math" w:cs="Times New Roman"/>
            <w:sz w:val="20"/>
            <w:szCs w:val="20"/>
          </w:rPr>
          <m:t>l</m:t>
        </m:r>
      </m:oMath>
      <w:r w:rsidRPr="00146888">
        <w:rPr>
          <w:rFonts w:ascii="Times New Roman" w:hAnsi="Times New Roman" w:cs="Times New Roman"/>
          <w:sz w:val="20"/>
          <w:szCs w:val="20"/>
        </w:rPr>
        <w:t xml:space="preserve"> = 1, 2, … </w:t>
      </w:r>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vertAlign w:val="subscript"/>
              </w:rPr>
              <m:t>ij</m:t>
            </m:r>
          </m:sub>
        </m:sSub>
      </m:oMath>
      <w:r w:rsidRPr="00146888">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vertAlign w:val="subscript"/>
              </w:rPr>
              <m:t>ij</m:t>
            </m:r>
          </m:sub>
        </m:sSub>
      </m:oMath>
      <w:r w:rsidRPr="00146888">
        <w:rPr>
          <w:rFonts w:ascii="Times New Roman" w:hAnsi="Times New Roman" w:cs="Times New Roman"/>
          <w:sz w:val="20"/>
          <w:szCs w:val="20"/>
        </w:rPr>
        <w:t xml:space="preserve"> – total number of patients at risk at </w:t>
      </w:r>
      <m:oMath>
        <m:r>
          <w:rPr>
            <w:rFonts w:ascii="Cambria Math" w:hAnsi="Cambria Math" w:cs="Times New Roman"/>
            <w:sz w:val="20"/>
            <w:szCs w:val="20"/>
          </w:rPr>
          <m:t>t</m:t>
        </m:r>
      </m:oMath>
      <w:r w:rsidRPr="00146888">
        <w:rPr>
          <w:rFonts w:ascii="Times New Roman" w:hAnsi="Times New Roman" w:cs="Times New Roman"/>
          <w:sz w:val="20"/>
          <w:szCs w:val="20"/>
        </w:rPr>
        <w:t xml:space="preserve"> = 0 for moving from event </w:t>
      </w:r>
      <m:oMath>
        <m:r>
          <w:rPr>
            <w:rFonts w:ascii="Cambria Math" w:hAnsi="Cambria Math" w:cs="Times New Roman"/>
            <w:sz w:val="20"/>
            <w:szCs w:val="20"/>
          </w:rPr>
          <m:t>i</m:t>
        </m:r>
      </m:oMath>
      <w:r w:rsidRPr="00146888">
        <w:rPr>
          <w:rFonts w:ascii="Times New Roman" w:hAnsi="Times New Roman" w:cs="Times New Roman"/>
          <w:sz w:val="20"/>
          <w:szCs w:val="20"/>
        </w:rPr>
        <w:t xml:space="preserve"> to event </w:t>
      </w:r>
      <m:oMath>
        <m:r>
          <w:rPr>
            <w:rFonts w:ascii="Cambria Math" w:hAnsi="Cambria Math" w:cs="Times New Roman"/>
            <w:sz w:val="20"/>
            <w:szCs w:val="20"/>
          </w:rPr>
          <m:t>j</m:t>
        </m:r>
      </m:oMath>
      <w:r w:rsidRPr="00146888">
        <w:rPr>
          <w:rFonts w:ascii="Times New Roman" w:hAnsi="Times New Roman" w:cs="Times New Roman"/>
          <w:sz w:val="20"/>
          <w:szCs w:val="20"/>
        </w:rPr>
        <w:t>.</w:t>
      </w:r>
    </w:p>
    <w:p w14:paraId="2FDDBE35" w14:textId="55804C23" w:rsidR="00B2584A" w:rsidRPr="00146888" w:rsidRDefault="00B2584A" w:rsidP="0069376F">
      <w:pPr>
        <w:spacing w:line="480" w:lineRule="auto"/>
        <w:jc w:val="both"/>
        <w:rPr>
          <w:rFonts w:ascii="Times New Roman" w:hAnsi="Times New Roman" w:cs="Times New Roman"/>
          <w:sz w:val="20"/>
          <w:szCs w:val="20"/>
        </w:rPr>
      </w:pPr>
      <w:r w:rsidRPr="00146888">
        <w:rPr>
          <w:rFonts w:ascii="Times New Roman" w:hAnsi="Times New Roman" w:cs="Times New Roman"/>
          <w:sz w:val="20"/>
          <w:szCs w:val="20"/>
        </w:rPr>
        <w:t>Eq</w:t>
      </w:r>
      <w:r w:rsidR="00715E7F" w:rsidRPr="00146888">
        <w:rPr>
          <w:rFonts w:ascii="Times New Roman" w:hAnsi="Times New Roman" w:cs="Times New Roman"/>
          <w:sz w:val="20"/>
          <w:szCs w:val="20"/>
        </w:rPr>
        <w:t>uation</w:t>
      </w:r>
      <w:r w:rsidRPr="00146888">
        <w:rPr>
          <w:rFonts w:ascii="Times New Roman" w:hAnsi="Times New Roman" w:cs="Times New Roman"/>
          <w:sz w:val="20"/>
          <w:szCs w:val="20"/>
        </w:rPr>
        <w:t xml:space="preserve"> (</w:t>
      </w:r>
      <w:r w:rsidR="00715E7F" w:rsidRPr="00146888">
        <w:rPr>
          <w:rFonts w:ascii="Times New Roman" w:hAnsi="Times New Roman" w:cs="Times New Roman"/>
          <w:sz w:val="20"/>
          <w:szCs w:val="20"/>
        </w:rPr>
        <w:t>A</w:t>
      </w:r>
      <w:r w:rsidRPr="00146888">
        <w:rPr>
          <w:rFonts w:ascii="Times New Roman" w:hAnsi="Times New Roman" w:cs="Times New Roman"/>
          <w:sz w:val="20"/>
          <w:szCs w:val="20"/>
        </w:rPr>
        <w:t xml:space="preserve">1) can be fitted using a parametric or non-parametric framework, and fitting goes as follow; </w:t>
      </w:r>
    </w:p>
    <w:p w14:paraId="68D6BDFC" w14:textId="77777777" w:rsidR="00B2584A" w:rsidRPr="00146888" w:rsidRDefault="00B2584A" w:rsidP="00483388">
      <w:pPr>
        <w:pStyle w:val="ListParagraph"/>
        <w:numPr>
          <w:ilvl w:val="0"/>
          <w:numId w:val="7"/>
        </w:numPr>
        <w:spacing w:line="480" w:lineRule="auto"/>
        <w:jc w:val="both"/>
        <w:rPr>
          <w:rFonts w:ascii="Times New Roman" w:hAnsi="Times New Roman" w:cs="Times New Roman"/>
          <w:sz w:val="20"/>
          <w:szCs w:val="20"/>
        </w:rPr>
      </w:pPr>
      <w:r w:rsidRPr="00146888">
        <w:rPr>
          <w:rFonts w:ascii="Times New Roman" w:hAnsi="Times New Roman" w:cs="Times New Roman"/>
          <w:sz w:val="20"/>
          <w:szCs w:val="20"/>
        </w:rPr>
        <w:t xml:space="preserve">For fitting a specific event-time distribution, patients who experience a competing event are censored at the time of the competing event. </w:t>
      </w:r>
    </w:p>
    <w:p w14:paraId="1143585F" w14:textId="77777777" w:rsidR="00B2584A" w:rsidRPr="00146888" w:rsidRDefault="00B2584A" w:rsidP="00FD722B">
      <w:pPr>
        <w:pStyle w:val="ListParagraph"/>
        <w:numPr>
          <w:ilvl w:val="0"/>
          <w:numId w:val="7"/>
        </w:numPr>
        <w:spacing w:line="480" w:lineRule="auto"/>
        <w:jc w:val="both"/>
        <w:rPr>
          <w:rFonts w:ascii="Times New Roman" w:hAnsi="Times New Roman" w:cs="Times New Roman"/>
          <w:sz w:val="20"/>
          <w:szCs w:val="20"/>
        </w:rPr>
      </w:pPr>
      <w:r w:rsidRPr="00146888">
        <w:rPr>
          <w:rFonts w:ascii="Times New Roman" w:hAnsi="Times New Roman" w:cs="Times New Roman"/>
          <w:sz w:val="20"/>
          <w:szCs w:val="20"/>
        </w:rPr>
        <w:t xml:space="preserve">For event time from in-transit events (from L2T to L3T, from L2T to Death, and from L3T to Death), patients are not at risk for these movement until they have progressed to event L2T or L3T, respectively. </w:t>
      </w:r>
    </w:p>
    <w:p w14:paraId="5FA1F699" w14:textId="42C7CB4B" w:rsidR="00B2584A" w:rsidRPr="00146888" w:rsidRDefault="00B2584A" w:rsidP="009B5860">
      <w:pPr>
        <w:spacing w:line="480" w:lineRule="auto"/>
        <w:ind w:firstLine="360"/>
        <w:jc w:val="both"/>
        <w:rPr>
          <w:rFonts w:ascii="Times New Roman" w:hAnsi="Times New Roman" w:cs="Times New Roman"/>
          <w:sz w:val="20"/>
          <w:szCs w:val="20"/>
        </w:rPr>
      </w:pPr>
      <w:r w:rsidRPr="00146888">
        <w:rPr>
          <w:rFonts w:ascii="Times New Roman" w:hAnsi="Times New Roman" w:cs="Times New Roman"/>
          <w:sz w:val="20"/>
          <w:szCs w:val="20"/>
        </w:rPr>
        <w:t>For a parametric framework, a specification of the distribution function of the baseline hazard h</w:t>
      </w:r>
      <w:r w:rsidRPr="00146888">
        <w:rPr>
          <w:rFonts w:ascii="Times New Roman" w:hAnsi="Times New Roman" w:cs="Times New Roman"/>
          <w:sz w:val="20"/>
          <w:szCs w:val="20"/>
          <w:vertAlign w:val="subscript"/>
        </w:rPr>
        <w:t>0ij</w:t>
      </w:r>
      <w:r w:rsidRPr="00146888">
        <w:rPr>
          <w:rFonts w:ascii="Times New Roman" w:hAnsi="Times New Roman" w:cs="Times New Roman"/>
          <w:sz w:val="20"/>
          <w:szCs w:val="20"/>
        </w:rPr>
        <w:t xml:space="preserve">(t) for all time to events is required </w:t>
      </w:r>
      <w:r w:rsidRPr="00146888">
        <w:rPr>
          <w:rFonts w:ascii="Times New Roman" w:hAnsi="Times New Roman" w:cs="Times New Roman"/>
          <w:sz w:val="20"/>
          <w:szCs w:val="20"/>
        </w:rPr>
        <w:fldChar w:fldCharType="begin" w:fldLock="1"/>
      </w:r>
      <w:r w:rsidR="00315CD2" w:rsidRPr="00146888">
        <w:rPr>
          <w:rFonts w:ascii="Times New Roman" w:hAnsi="Times New Roman" w:cs="Times New Roman"/>
          <w:sz w:val="20"/>
          <w:szCs w:val="20"/>
        </w:rPr>
        <w:instrText>ADDIN CSL_CITATION {"citationItems":[{"id":"ITEM-1","itemData":{"DOI":"10.1177/0272989X16651869","ISSN":"0272-989X","PMID":"27281337","abstract":"This tutorial provides a step-by-step guide to performing cost-effectiveness analysis using a multi-state modeling approach. Alongside the tutorial, we provide easy-to-use functions in the statistics package R. We argue that this multi-state modeling approach using a package such as R has advantages over approaches where models are built in a spreadsheet package. In particular, using a syntax-based approach means there is a written record of what was done and the calculations are transparent. Reproducing the analysis is straightforward as the syntax just needs to be run again. The approach can be thought of as an alternative way to build a Markov decision-analytic model, which also has the option to use a state-arrival extended approach. In the state-arrival extended multi-state model, a covariate that represents patients' history is included, allowing the Markov property to be tested. We illustrate the building of multi-state survival models, making predictions from the models and assessing fits. We then proceed to perform a cost-effectiveness analysis, including deterministic and probabilistic sensitivity analyses. Finally, we show how to create 2 common methods of visualizing the results-namely, cost-effectiveness planes and cost-effectiveness acceptability curves. The analysis is implemented entirely within R. It is based on adaptions to functions in the existing R package mstate to accommodate parametric multi-state modeling that facilitates extrapolation of survival curves.","author":[{"dropping-particle":"","family":"Williams","given":"Claire","non-dropping-particle":"","parse-names":false,"suffix":""},{"dropping-particle":"","family":"Lewsey","given":"James D.","non-dropping-particle":"","parse-names":false,"suffix":""},{"dropping-particle":"","family":"Briggs","given":"Andrew H.","non-dropping-particle":"","parse-names":false,"suffix":""},{"dropping-particle":"","family":"Mackay","given":"Daniel F.","non-dropping-particle":"","parse-names":false,"suffix":""}],"container-title":"Medical Decision Making","id":"ITEM-1","issue":"4","issued":{"date-parts":[["2017","5","8"]]},"page":"340-352","title":"Cost-effectiveness Analysis in R Using a Multi-state Modeling Survival Analysis Framework: A Tutorial","type":"article-journal","volume":"37"},"uris":["http://www.mendeley.com/documents/?uuid=b6731675-4cdf-442c-9ae0-225906a41ade"]}],"mendeley":{"formattedCitation":"[44]","plainTextFormattedCitation":"[44]","previouslyFormattedCitation":"[44]"},"properties":{"noteIndex":0},"schema":"https://github.com/citation-style-language/schema/raw/master/csl-citation.json"}</w:instrText>
      </w:r>
      <w:r w:rsidRPr="00146888">
        <w:rPr>
          <w:rFonts w:ascii="Times New Roman" w:hAnsi="Times New Roman" w:cs="Times New Roman"/>
          <w:sz w:val="20"/>
          <w:szCs w:val="20"/>
        </w:rPr>
        <w:fldChar w:fldCharType="separate"/>
      </w:r>
      <w:r w:rsidR="009F237B" w:rsidRPr="00146888">
        <w:rPr>
          <w:rFonts w:ascii="Times New Roman" w:hAnsi="Times New Roman" w:cs="Times New Roman"/>
          <w:noProof/>
          <w:sz w:val="20"/>
          <w:szCs w:val="20"/>
        </w:rPr>
        <w:t>[44]</w:t>
      </w:r>
      <w:r w:rsidRPr="00146888">
        <w:rPr>
          <w:rFonts w:ascii="Times New Roman" w:hAnsi="Times New Roman" w:cs="Times New Roman"/>
          <w:sz w:val="20"/>
          <w:szCs w:val="20"/>
        </w:rPr>
        <w:fldChar w:fldCharType="end"/>
      </w:r>
      <w:r w:rsidRPr="00146888">
        <w:rPr>
          <w:rFonts w:ascii="Times New Roman" w:hAnsi="Times New Roman" w:cs="Times New Roman"/>
          <w:sz w:val="20"/>
          <w:szCs w:val="20"/>
        </w:rPr>
        <w:t xml:space="preserve">. In this study we restricted ourselves to three proportional hazard (PH) distribution functions i.e., Exponential, Weibull, and Gompertz. Based on visual inspection, </w:t>
      </w:r>
      <w:proofErr w:type="spellStart"/>
      <w:r w:rsidRPr="00146888">
        <w:rPr>
          <w:rFonts w:ascii="Times New Roman" w:hAnsi="Times New Roman" w:cs="Times New Roman"/>
          <w:sz w:val="20"/>
          <w:szCs w:val="20"/>
        </w:rPr>
        <w:t>gompertz</w:t>
      </w:r>
      <w:proofErr w:type="spellEnd"/>
      <w:r w:rsidRPr="00146888">
        <w:rPr>
          <w:rFonts w:ascii="Times New Roman" w:hAnsi="Times New Roman" w:cs="Times New Roman"/>
          <w:sz w:val="20"/>
          <w:szCs w:val="20"/>
        </w:rPr>
        <w:t xml:space="preserve"> distribution with monotonic hazard was the best distribution for time from L1T to L2T and L1T to Death, exponential distribution gives the best fit for time from L2T to L3T and L2T to Death. Because of the limited number of patients at risk for time from L3T to Death, an exponential distribution was chosen. Covariates for each time-to-event model were selected based on backward selection (cutoff p-value &lt; 0.05). </w:t>
      </w:r>
    </w:p>
    <w:p w14:paraId="637E2D5D" w14:textId="77777777" w:rsidR="00B2584A" w:rsidRPr="00146888" w:rsidRDefault="00B2584A" w:rsidP="00FD722B">
      <w:pPr>
        <w:spacing w:after="200" w:line="480" w:lineRule="auto"/>
        <w:rPr>
          <w:rFonts w:ascii="Times New Roman" w:hAnsi="Times New Roman" w:cs="Times New Roman"/>
          <w:sz w:val="20"/>
          <w:szCs w:val="20"/>
        </w:rPr>
      </w:pPr>
    </w:p>
    <w:p w14:paraId="7A9F2432" w14:textId="77777777" w:rsidR="00B2584A" w:rsidRPr="00E804AC" w:rsidRDefault="00B2584A">
      <w:pPr>
        <w:spacing w:line="480" w:lineRule="auto"/>
        <w:jc w:val="both"/>
        <w:rPr>
          <w:rFonts w:ascii="Times New Roman" w:hAnsi="Times New Roman" w:cs="Times New Roman"/>
          <w:bCs/>
          <w:i/>
          <w:iCs/>
          <w:sz w:val="20"/>
          <w:szCs w:val="20"/>
        </w:rPr>
      </w:pPr>
      <w:r w:rsidRPr="00E804AC">
        <w:rPr>
          <w:rFonts w:ascii="Times New Roman" w:hAnsi="Times New Roman" w:cs="Times New Roman"/>
          <w:bCs/>
          <w:i/>
          <w:iCs/>
          <w:sz w:val="20"/>
          <w:szCs w:val="20"/>
        </w:rPr>
        <w:t xml:space="preserve">Construction of the microsimulation model: non-personalized strategy </w:t>
      </w:r>
    </w:p>
    <w:p w14:paraId="463C8315" w14:textId="73EF6596" w:rsidR="00B2584A" w:rsidRPr="00146888" w:rsidRDefault="00B2584A" w:rsidP="009B5860">
      <w:pPr>
        <w:spacing w:line="480" w:lineRule="auto"/>
        <w:ind w:firstLine="708"/>
        <w:jc w:val="both"/>
        <w:rPr>
          <w:rFonts w:ascii="Times New Roman" w:hAnsi="Times New Roman" w:cs="Times New Roman"/>
          <w:sz w:val="20"/>
          <w:szCs w:val="20"/>
        </w:rPr>
      </w:pPr>
      <w:r w:rsidRPr="00146888">
        <w:rPr>
          <w:rFonts w:ascii="Times New Roman" w:hAnsi="Times New Roman" w:cs="Times New Roman"/>
          <w:sz w:val="20"/>
          <w:szCs w:val="20"/>
        </w:rPr>
        <w:lastRenderedPageBreak/>
        <w:t>The microsimulation model was implemented as follow; Patients’ profiles were sampled according to the distributions, associations, and parameters described in the methods section 2.3. First, we sampled baseline attributes; gender, year of diagnosis, age at diagnosis, CCI, PS. Later, conditional on baseline attributes, we sampled the treatment decision (BSC or treated). For treated patients, the type of systemic chemotherapy (cisplatin containing doublets or carboplatin containing doublets) was sampled taking into account the baseline attributes. Distributions and parameters used to sample patients’ baseline attributes and treatment decisions are given in Table A6.</w:t>
      </w:r>
    </w:p>
    <w:p w14:paraId="1A7D8C48" w14:textId="5F1BD761" w:rsidR="00B2584A" w:rsidRPr="00146888" w:rsidRDefault="00B2584A" w:rsidP="009B5860">
      <w:pPr>
        <w:spacing w:line="480" w:lineRule="auto"/>
        <w:ind w:firstLine="708"/>
        <w:jc w:val="both"/>
        <w:rPr>
          <w:rFonts w:ascii="Times New Roman" w:hAnsi="Times New Roman" w:cs="Times New Roman"/>
          <w:sz w:val="20"/>
          <w:szCs w:val="20"/>
        </w:rPr>
      </w:pPr>
      <w:r w:rsidRPr="00146888">
        <w:rPr>
          <w:rFonts w:ascii="Times New Roman" w:hAnsi="Times New Roman" w:cs="Times New Roman"/>
          <w:sz w:val="20"/>
          <w:szCs w:val="20"/>
        </w:rPr>
        <w:t>Under the non-personalized strategy; for patients who progressed to second- and third-line chemotherapy</w:t>
      </w:r>
      <w:r w:rsidR="007E72E6" w:rsidRPr="00146888">
        <w:rPr>
          <w:rFonts w:ascii="Times New Roman" w:hAnsi="Times New Roman" w:cs="Times New Roman"/>
          <w:sz w:val="20"/>
          <w:szCs w:val="20"/>
        </w:rPr>
        <w:t>. In second and third line</w:t>
      </w:r>
      <w:r w:rsidRPr="00146888">
        <w:rPr>
          <w:rFonts w:ascii="Times New Roman" w:hAnsi="Times New Roman" w:cs="Times New Roman"/>
          <w:sz w:val="20"/>
          <w:szCs w:val="20"/>
        </w:rPr>
        <w:t xml:space="preserve"> we assumed that patients have equal prognosis regardless of the type of chemotherapy. Therefore, in second and third line, no specific</w:t>
      </w:r>
      <w:r w:rsidR="00100A70" w:rsidRPr="00146888">
        <w:rPr>
          <w:rFonts w:ascii="Times New Roman" w:hAnsi="Times New Roman" w:cs="Times New Roman"/>
          <w:sz w:val="20"/>
          <w:szCs w:val="20"/>
        </w:rPr>
        <w:t>ation of</w:t>
      </w:r>
      <w:r w:rsidRPr="00146888">
        <w:rPr>
          <w:rFonts w:ascii="Times New Roman" w:hAnsi="Times New Roman" w:cs="Times New Roman"/>
          <w:sz w:val="20"/>
          <w:szCs w:val="20"/>
        </w:rPr>
        <w:t xml:space="preserve"> chemotherapy regimens. </w:t>
      </w:r>
    </w:p>
    <w:p w14:paraId="5D7B5CDA" w14:textId="5A141289" w:rsidR="00B2584A" w:rsidRPr="00146888" w:rsidRDefault="00B2584A" w:rsidP="009B5860">
      <w:pPr>
        <w:spacing w:line="480" w:lineRule="auto"/>
        <w:ind w:firstLine="708"/>
        <w:jc w:val="both"/>
        <w:rPr>
          <w:rFonts w:ascii="Times New Roman" w:hAnsi="Times New Roman" w:cs="Times New Roman"/>
          <w:sz w:val="20"/>
          <w:szCs w:val="20"/>
        </w:rPr>
      </w:pPr>
      <w:r w:rsidRPr="00146888">
        <w:rPr>
          <w:rFonts w:ascii="Times New Roman" w:hAnsi="Times New Roman" w:cs="Times New Roman"/>
          <w:sz w:val="20"/>
          <w:szCs w:val="20"/>
        </w:rPr>
        <w:t>Lastly, patients’ disease pathways were sampled conditional upon patients’ attributes and treatment decisions. Time to event was drawn from the fitted parametric distributions and background mortality as described in section 2.3. For competing events, the event with the shortest event time was taken as occurred event for that patient. At any disease event, patients could die due to other causes (</w:t>
      </w:r>
      <w:proofErr w:type="spellStart"/>
      <w:r w:rsidRPr="00146888">
        <w:rPr>
          <w:rFonts w:ascii="Times New Roman" w:hAnsi="Times New Roman" w:cs="Times New Roman"/>
          <w:sz w:val="20"/>
          <w:szCs w:val="20"/>
        </w:rPr>
        <w:t>DoC</w:t>
      </w:r>
      <w:proofErr w:type="spellEnd"/>
      <w:r w:rsidRPr="00146888">
        <w:rPr>
          <w:rFonts w:ascii="Times New Roman" w:hAnsi="Times New Roman" w:cs="Times New Roman"/>
          <w:sz w:val="20"/>
          <w:szCs w:val="20"/>
        </w:rPr>
        <w:t>) described by background mortality. The process was carried on until all patients were in absorption event (Death).</w:t>
      </w:r>
    </w:p>
    <w:p w14:paraId="1241BC68" w14:textId="77777777" w:rsidR="00B2584A" w:rsidRPr="00B6764F" w:rsidRDefault="00B2584A" w:rsidP="00FD722B">
      <w:pPr>
        <w:spacing w:line="480" w:lineRule="auto"/>
        <w:jc w:val="both"/>
        <w:rPr>
          <w:rFonts w:ascii="Times New Roman" w:hAnsi="Times New Roman" w:cs="Times New Roman"/>
          <w:sz w:val="20"/>
          <w:szCs w:val="20"/>
        </w:rPr>
      </w:pPr>
    </w:p>
    <w:p w14:paraId="60A607F6" w14:textId="77777777" w:rsidR="00B2584A" w:rsidRPr="00B6764F" w:rsidRDefault="00B2584A">
      <w:pPr>
        <w:spacing w:line="480" w:lineRule="auto"/>
        <w:jc w:val="both"/>
        <w:rPr>
          <w:rFonts w:ascii="Times New Roman" w:hAnsi="Times New Roman" w:cs="Times New Roman"/>
          <w:sz w:val="20"/>
          <w:szCs w:val="20"/>
        </w:rPr>
      </w:pPr>
      <w:r w:rsidRPr="00B6764F">
        <w:rPr>
          <w:rFonts w:ascii="Times New Roman" w:hAnsi="Times New Roman" w:cs="Times New Roman"/>
          <w:i/>
          <w:iCs/>
          <w:sz w:val="20"/>
          <w:szCs w:val="20"/>
        </w:rPr>
        <w:t xml:space="preserve">Note: Sampling from truncated </w:t>
      </w:r>
      <w:proofErr w:type="spellStart"/>
      <w:r w:rsidRPr="00B6764F">
        <w:rPr>
          <w:rFonts w:ascii="Times New Roman" w:hAnsi="Times New Roman" w:cs="Times New Roman"/>
          <w:i/>
          <w:iCs/>
          <w:sz w:val="20"/>
          <w:szCs w:val="20"/>
        </w:rPr>
        <w:t>Gompertz</w:t>
      </w:r>
      <w:proofErr w:type="spellEnd"/>
      <w:r w:rsidRPr="00B6764F">
        <w:rPr>
          <w:rFonts w:ascii="Times New Roman" w:hAnsi="Times New Roman" w:cs="Times New Roman"/>
          <w:i/>
          <w:iCs/>
          <w:sz w:val="20"/>
          <w:szCs w:val="20"/>
        </w:rPr>
        <w:t xml:space="preserve"> </w:t>
      </w:r>
      <w:proofErr w:type="spellStart"/>
      <w:r w:rsidRPr="00B6764F">
        <w:rPr>
          <w:rFonts w:ascii="Times New Roman" w:hAnsi="Times New Roman" w:cs="Times New Roman"/>
          <w:i/>
          <w:iCs/>
          <w:sz w:val="20"/>
          <w:szCs w:val="20"/>
        </w:rPr>
        <w:t>decrH</w:t>
      </w:r>
      <w:proofErr w:type="spellEnd"/>
      <w:r w:rsidRPr="00B6764F">
        <w:rPr>
          <w:rFonts w:ascii="Times New Roman" w:hAnsi="Times New Roman" w:cs="Times New Roman"/>
          <w:i/>
          <w:iCs/>
          <w:sz w:val="20"/>
          <w:szCs w:val="20"/>
        </w:rPr>
        <w:t>.</w:t>
      </w:r>
    </w:p>
    <w:p w14:paraId="0DF4047D" w14:textId="296781FF" w:rsidR="00B2584A" w:rsidRPr="00146888" w:rsidRDefault="00B2584A" w:rsidP="009B5860">
      <w:pPr>
        <w:spacing w:line="480" w:lineRule="auto"/>
        <w:ind w:firstLine="708"/>
        <w:jc w:val="both"/>
        <w:rPr>
          <w:rFonts w:ascii="Times New Roman" w:hAnsi="Times New Roman" w:cs="Times New Roman"/>
          <w:sz w:val="20"/>
          <w:szCs w:val="20"/>
        </w:rPr>
      </w:pPr>
      <w:r w:rsidRPr="00146888">
        <w:rPr>
          <w:rFonts w:ascii="Times New Roman" w:hAnsi="Times New Roman" w:cs="Times New Roman"/>
          <w:sz w:val="20"/>
          <w:szCs w:val="20"/>
        </w:rPr>
        <w:t xml:space="preserve">Mathematically, a Gompertz distribution with monotonic decreasing hazard (call it, </w:t>
      </w:r>
      <w:proofErr w:type="spellStart"/>
      <w:r w:rsidRPr="00146888">
        <w:rPr>
          <w:rFonts w:ascii="Times New Roman" w:hAnsi="Times New Roman" w:cs="Times New Roman"/>
          <w:sz w:val="20"/>
          <w:szCs w:val="20"/>
        </w:rPr>
        <w:t>Gompertz</w:t>
      </w:r>
      <w:proofErr w:type="spellEnd"/>
      <w:r w:rsidRPr="00146888">
        <w:rPr>
          <w:rFonts w:ascii="Times New Roman" w:hAnsi="Times New Roman" w:cs="Times New Roman"/>
          <w:sz w:val="20"/>
          <w:szCs w:val="20"/>
        </w:rPr>
        <w:t xml:space="preserve"> </w:t>
      </w:r>
      <w:proofErr w:type="spellStart"/>
      <w:r w:rsidRPr="00146888">
        <w:rPr>
          <w:rFonts w:ascii="Times New Roman" w:hAnsi="Times New Roman" w:cs="Times New Roman"/>
          <w:sz w:val="20"/>
          <w:szCs w:val="20"/>
        </w:rPr>
        <w:t>decrH</w:t>
      </w:r>
      <w:proofErr w:type="spellEnd"/>
      <w:r w:rsidRPr="00146888">
        <w:rPr>
          <w:rFonts w:ascii="Times New Roman" w:hAnsi="Times New Roman" w:cs="Times New Roman"/>
          <w:sz w:val="20"/>
          <w:szCs w:val="20"/>
        </w:rPr>
        <w:t xml:space="preserve">) has a non-zero probability for a patient to have </w:t>
      </w:r>
      <w:r w:rsidRPr="00146888">
        <w:rPr>
          <w:rFonts w:ascii="Times New Roman" w:hAnsi="Times New Roman" w:cs="Times New Roman"/>
          <w:i/>
          <w:iCs/>
          <w:sz w:val="20"/>
          <w:szCs w:val="20"/>
        </w:rPr>
        <w:t>infinite</w:t>
      </w:r>
      <w:r w:rsidRPr="00146888">
        <w:rPr>
          <w:rFonts w:ascii="Times New Roman" w:hAnsi="Times New Roman" w:cs="Times New Roman"/>
          <w:sz w:val="20"/>
          <w:szCs w:val="20"/>
        </w:rPr>
        <w:t xml:space="preserve"> event time (patient can live forever) </w:t>
      </w:r>
      <w:r w:rsidRPr="00146888">
        <w:rPr>
          <w:rFonts w:ascii="Times New Roman" w:hAnsi="Times New Roman" w:cs="Times New Roman"/>
          <w:sz w:val="20"/>
          <w:szCs w:val="20"/>
        </w:rPr>
        <w:fldChar w:fldCharType="begin" w:fldLock="1"/>
      </w:r>
      <w:r w:rsidR="00315CD2" w:rsidRPr="00146888">
        <w:rPr>
          <w:rFonts w:ascii="Times New Roman" w:hAnsi="Times New Roman" w:cs="Times New Roman"/>
          <w:sz w:val="20"/>
          <w:szCs w:val="20"/>
        </w:rPr>
        <w:instrText>ADDIN CSL_CITATION {"citationItems":[{"id":"ITEM-1","itemData":{"author":[{"dropping-particle":"","family":"Christopher","given":"Author","non-dropping-particle":"","parse-names":false,"suffix":""},{"dropping-particle":"","family":"Metcalfe","given":"Paul","non-dropping-particle":"","parse-names":false,"suffix":""},{"dropping-particle":"","family":"Amdahl","given":"Jordan","non-dropping-particle":"","parse-names":false,"suffix":""},{"dropping-particle":"","family":"Jackson","given":"Maintainer Christopher","non-dropping-particle":"","parse-names":false,"suffix":""}],"container-title":"CRAN","id":"ITEM-1","issued":{"date-parts":[["2019"]]},"title":"Package ‘ flexsurv ’","type":"article"},"uris":["http://www.mendeley.com/documents/?uuid=b8e7b750-2166-4af8-b83a-3bce5699d112"]}],"mendeley":{"formattedCitation":"[70]","plainTextFormattedCitation":"[70]","previouslyFormattedCitation":"[70]"},"properties":{"noteIndex":0},"schema":"https://github.com/citation-style-language/schema/raw/master/csl-citation.json"}</w:instrText>
      </w:r>
      <w:r w:rsidRPr="00146888">
        <w:rPr>
          <w:rFonts w:ascii="Times New Roman" w:hAnsi="Times New Roman" w:cs="Times New Roman"/>
          <w:sz w:val="20"/>
          <w:szCs w:val="20"/>
        </w:rPr>
        <w:fldChar w:fldCharType="separate"/>
      </w:r>
      <w:r w:rsidR="009F237B" w:rsidRPr="00146888">
        <w:rPr>
          <w:rFonts w:ascii="Times New Roman" w:hAnsi="Times New Roman" w:cs="Times New Roman"/>
          <w:noProof/>
          <w:sz w:val="20"/>
          <w:szCs w:val="20"/>
        </w:rPr>
        <w:t>[70]</w:t>
      </w:r>
      <w:r w:rsidRPr="00146888">
        <w:rPr>
          <w:rFonts w:ascii="Times New Roman" w:hAnsi="Times New Roman" w:cs="Times New Roman"/>
          <w:sz w:val="20"/>
          <w:szCs w:val="20"/>
        </w:rPr>
        <w:fldChar w:fldCharType="end"/>
      </w:r>
      <w:r w:rsidRPr="00146888">
        <w:rPr>
          <w:rFonts w:ascii="Times New Roman" w:hAnsi="Times New Roman" w:cs="Times New Roman"/>
          <w:sz w:val="20"/>
          <w:szCs w:val="20"/>
        </w:rPr>
        <w:t xml:space="preserve">. When </w:t>
      </w:r>
      <w:proofErr w:type="spellStart"/>
      <w:r w:rsidRPr="00146888">
        <w:rPr>
          <w:rFonts w:ascii="Times New Roman" w:hAnsi="Times New Roman" w:cs="Times New Roman"/>
          <w:sz w:val="20"/>
          <w:szCs w:val="20"/>
        </w:rPr>
        <w:t>Gompertz</w:t>
      </w:r>
      <w:proofErr w:type="spellEnd"/>
      <w:r w:rsidRPr="00146888">
        <w:rPr>
          <w:rFonts w:ascii="Times New Roman" w:hAnsi="Times New Roman" w:cs="Times New Roman"/>
          <w:sz w:val="20"/>
          <w:szCs w:val="20"/>
        </w:rPr>
        <w:t xml:space="preserve"> </w:t>
      </w:r>
      <w:proofErr w:type="spellStart"/>
      <w:r w:rsidRPr="00146888">
        <w:rPr>
          <w:rFonts w:ascii="Times New Roman" w:hAnsi="Times New Roman" w:cs="Times New Roman"/>
          <w:sz w:val="20"/>
          <w:szCs w:val="20"/>
        </w:rPr>
        <w:t>decrH</w:t>
      </w:r>
      <w:proofErr w:type="spellEnd"/>
      <w:r w:rsidRPr="00146888">
        <w:rPr>
          <w:rFonts w:ascii="Times New Roman" w:hAnsi="Times New Roman" w:cs="Times New Roman"/>
          <w:sz w:val="20"/>
          <w:szCs w:val="20"/>
        </w:rPr>
        <w:t xml:space="preserve"> is used in the presented model, the simulation was constrained such that all simulated patients have </w:t>
      </w:r>
      <w:r w:rsidRPr="00146888">
        <w:rPr>
          <w:rFonts w:ascii="Times New Roman" w:hAnsi="Times New Roman" w:cs="Times New Roman"/>
          <w:i/>
          <w:iCs/>
          <w:sz w:val="20"/>
          <w:szCs w:val="20"/>
        </w:rPr>
        <w:t>finite</w:t>
      </w:r>
      <w:r w:rsidRPr="00146888">
        <w:rPr>
          <w:rFonts w:ascii="Times New Roman" w:hAnsi="Times New Roman" w:cs="Times New Roman"/>
          <w:sz w:val="20"/>
          <w:szCs w:val="20"/>
        </w:rPr>
        <w:t xml:space="preserve"> event time (i.e., no patient lives forever). The constrain was implemented by resampling a patient’s event time until at least one of the possible competing times to event from “event i” has finite event time. Thus, to say, sampling from “</w:t>
      </w:r>
      <w:r w:rsidRPr="00146888">
        <w:rPr>
          <w:rFonts w:ascii="Times New Roman" w:hAnsi="Times New Roman" w:cs="Times New Roman"/>
          <w:i/>
          <w:iCs/>
          <w:sz w:val="20"/>
          <w:szCs w:val="20"/>
        </w:rPr>
        <w:t xml:space="preserve">truncated </w:t>
      </w:r>
      <w:proofErr w:type="spellStart"/>
      <w:r w:rsidRPr="00146888">
        <w:rPr>
          <w:rFonts w:ascii="Times New Roman" w:hAnsi="Times New Roman" w:cs="Times New Roman"/>
          <w:i/>
          <w:iCs/>
          <w:sz w:val="20"/>
          <w:szCs w:val="20"/>
        </w:rPr>
        <w:t>Gompertz</w:t>
      </w:r>
      <w:proofErr w:type="spellEnd"/>
      <w:r w:rsidRPr="00146888">
        <w:rPr>
          <w:rFonts w:ascii="Times New Roman" w:hAnsi="Times New Roman" w:cs="Times New Roman"/>
          <w:i/>
          <w:iCs/>
          <w:sz w:val="20"/>
          <w:szCs w:val="20"/>
        </w:rPr>
        <w:t xml:space="preserve"> </w:t>
      </w:r>
      <w:proofErr w:type="spellStart"/>
      <w:r w:rsidRPr="00146888">
        <w:rPr>
          <w:rFonts w:ascii="Times New Roman" w:hAnsi="Times New Roman" w:cs="Times New Roman"/>
          <w:i/>
          <w:iCs/>
          <w:sz w:val="20"/>
          <w:szCs w:val="20"/>
        </w:rPr>
        <w:t>decrH</w:t>
      </w:r>
      <w:proofErr w:type="spellEnd"/>
      <w:r w:rsidRPr="00146888">
        <w:rPr>
          <w:rFonts w:ascii="Times New Roman" w:hAnsi="Times New Roman" w:cs="Times New Roman"/>
          <w:sz w:val="20"/>
          <w:szCs w:val="20"/>
        </w:rPr>
        <w:t>” distribution.</w:t>
      </w:r>
    </w:p>
    <w:p w14:paraId="655CD6D2" w14:textId="48FF86CF" w:rsidR="00B2584A" w:rsidRPr="00146888" w:rsidRDefault="00B2584A" w:rsidP="009B5860">
      <w:pPr>
        <w:spacing w:line="480" w:lineRule="auto"/>
        <w:ind w:firstLine="708"/>
        <w:jc w:val="both"/>
        <w:rPr>
          <w:rFonts w:ascii="Times New Roman" w:hAnsi="Times New Roman" w:cs="Times New Roman"/>
          <w:sz w:val="20"/>
          <w:szCs w:val="20"/>
        </w:rPr>
      </w:pPr>
      <w:r w:rsidRPr="00146888">
        <w:rPr>
          <w:rFonts w:ascii="Times New Roman" w:hAnsi="Times New Roman" w:cs="Times New Roman"/>
          <w:sz w:val="20"/>
          <w:szCs w:val="20"/>
        </w:rPr>
        <w:t>The consequence of truncation is that simulated data from truncated Gompertz have higher hazard (shorter time to events i.e., event time distribution is shifted to the left) compared to the actual hazard used to simulate the data. Thus, to say, the hazard rate re-estimated from simulated data (</w:t>
      </w:r>
      <w:proofErr w:type="spellStart"/>
      <w:r w:rsidRPr="00146888">
        <w:rPr>
          <w:rFonts w:ascii="Times New Roman" w:hAnsi="Times New Roman" w:cs="Times New Roman"/>
          <w:sz w:val="20"/>
          <w:szCs w:val="20"/>
        </w:rPr>
        <w:t>outHR</w:t>
      </w:r>
      <w:proofErr w:type="spellEnd"/>
      <w:r w:rsidRPr="00146888">
        <w:rPr>
          <w:rFonts w:ascii="Times New Roman" w:hAnsi="Times New Roman" w:cs="Times New Roman"/>
          <w:sz w:val="20"/>
          <w:szCs w:val="20"/>
        </w:rPr>
        <w:t xml:space="preserve">) </w:t>
      </w:r>
      <w:r w:rsidR="00DA0CEE" w:rsidRPr="00146888">
        <w:rPr>
          <w:rFonts w:ascii="Times New Roman" w:hAnsi="Times New Roman" w:cs="Times New Roman"/>
          <w:sz w:val="20"/>
          <w:szCs w:val="20"/>
        </w:rPr>
        <w:t>is</w:t>
      </w:r>
      <w:r w:rsidRPr="00146888">
        <w:rPr>
          <w:rFonts w:ascii="Times New Roman" w:hAnsi="Times New Roman" w:cs="Times New Roman"/>
          <w:sz w:val="20"/>
          <w:szCs w:val="20"/>
        </w:rPr>
        <w:t xml:space="preserve"> higher than the hazard rate used to obtain the simulated data (</w:t>
      </w:r>
      <w:proofErr w:type="spellStart"/>
      <w:r w:rsidRPr="00146888">
        <w:rPr>
          <w:rFonts w:ascii="Times New Roman" w:hAnsi="Times New Roman" w:cs="Times New Roman"/>
          <w:sz w:val="20"/>
          <w:szCs w:val="20"/>
        </w:rPr>
        <w:t>inHR</w:t>
      </w:r>
      <w:proofErr w:type="spellEnd"/>
      <w:r w:rsidRPr="00146888">
        <w:rPr>
          <w:rFonts w:ascii="Times New Roman" w:hAnsi="Times New Roman" w:cs="Times New Roman"/>
          <w:sz w:val="20"/>
          <w:szCs w:val="20"/>
        </w:rPr>
        <w:t xml:space="preserve">). The magnitude of difference between </w:t>
      </w:r>
      <w:proofErr w:type="spellStart"/>
      <w:r w:rsidRPr="00146888">
        <w:rPr>
          <w:rFonts w:ascii="Times New Roman" w:hAnsi="Times New Roman" w:cs="Times New Roman"/>
          <w:sz w:val="20"/>
          <w:szCs w:val="20"/>
        </w:rPr>
        <w:t>outHR</w:t>
      </w:r>
      <w:proofErr w:type="spellEnd"/>
      <w:r w:rsidRPr="00146888">
        <w:rPr>
          <w:rFonts w:ascii="Times New Roman" w:hAnsi="Times New Roman" w:cs="Times New Roman"/>
          <w:sz w:val="20"/>
          <w:szCs w:val="20"/>
        </w:rPr>
        <w:t xml:space="preserve"> and </w:t>
      </w:r>
      <w:proofErr w:type="spellStart"/>
      <w:r w:rsidRPr="00146888">
        <w:rPr>
          <w:rFonts w:ascii="Times New Roman" w:hAnsi="Times New Roman" w:cs="Times New Roman"/>
          <w:sz w:val="20"/>
          <w:szCs w:val="20"/>
        </w:rPr>
        <w:t>inHR</w:t>
      </w:r>
      <w:proofErr w:type="spellEnd"/>
      <w:r w:rsidRPr="00146888">
        <w:rPr>
          <w:rFonts w:ascii="Times New Roman" w:hAnsi="Times New Roman" w:cs="Times New Roman"/>
          <w:sz w:val="20"/>
          <w:szCs w:val="20"/>
        </w:rPr>
        <w:t xml:space="preserve"> depends on </w:t>
      </w:r>
      <w:r w:rsidRPr="00146888">
        <w:rPr>
          <w:rFonts w:ascii="Times New Roman" w:hAnsi="Times New Roman" w:cs="Times New Roman"/>
          <w:sz w:val="20"/>
          <w:szCs w:val="20"/>
        </w:rPr>
        <w:lastRenderedPageBreak/>
        <w:t xml:space="preserve">the strength of </w:t>
      </w:r>
      <w:proofErr w:type="spellStart"/>
      <w:r w:rsidRPr="00146888">
        <w:rPr>
          <w:rFonts w:ascii="Times New Roman" w:hAnsi="Times New Roman" w:cs="Times New Roman"/>
          <w:sz w:val="20"/>
          <w:szCs w:val="20"/>
        </w:rPr>
        <w:t>inHR</w:t>
      </w:r>
      <w:proofErr w:type="spellEnd"/>
      <w:r w:rsidRPr="00146888">
        <w:rPr>
          <w:rFonts w:ascii="Times New Roman" w:hAnsi="Times New Roman" w:cs="Times New Roman"/>
          <w:sz w:val="20"/>
          <w:szCs w:val="20"/>
        </w:rPr>
        <w:t xml:space="preserve">. The lower </w:t>
      </w:r>
      <w:proofErr w:type="spellStart"/>
      <w:r w:rsidRPr="00146888">
        <w:rPr>
          <w:rFonts w:ascii="Times New Roman" w:hAnsi="Times New Roman" w:cs="Times New Roman"/>
          <w:sz w:val="20"/>
          <w:szCs w:val="20"/>
        </w:rPr>
        <w:t>inHR</w:t>
      </w:r>
      <w:proofErr w:type="spellEnd"/>
      <w:r w:rsidRPr="00146888">
        <w:rPr>
          <w:rFonts w:ascii="Times New Roman" w:hAnsi="Times New Roman" w:cs="Times New Roman"/>
          <w:sz w:val="20"/>
          <w:szCs w:val="20"/>
        </w:rPr>
        <w:t xml:space="preserve">, the higher the number of patients with “infinite time” to be resampled, the higher the difference between </w:t>
      </w:r>
      <w:proofErr w:type="spellStart"/>
      <w:r w:rsidRPr="00146888">
        <w:rPr>
          <w:rFonts w:ascii="Times New Roman" w:hAnsi="Times New Roman" w:cs="Times New Roman"/>
          <w:sz w:val="20"/>
          <w:szCs w:val="20"/>
        </w:rPr>
        <w:t>outHR</w:t>
      </w:r>
      <w:proofErr w:type="spellEnd"/>
      <w:r w:rsidRPr="00146888">
        <w:rPr>
          <w:rFonts w:ascii="Times New Roman" w:hAnsi="Times New Roman" w:cs="Times New Roman"/>
          <w:sz w:val="20"/>
          <w:szCs w:val="20"/>
        </w:rPr>
        <w:t xml:space="preserve"> and </w:t>
      </w:r>
      <w:proofErr w:type="spellStart"/>
      <w:r w:rsidRPr="00146888">
        <w:rPr>
          <w:rFonts w:ascii="Times New Roman" w:hAnsi="Times New Roman" w:cs="Times New Roman"/>
          <w:sz w:val="20"/>
          <w:szCs w:val="20"/>
        </w:rPr>
        <w:t>inHR</w:t>
      </w:r>
      <w:proofErr w:type="spellEnd"/>
      <w:r w:rsidRPr="00146888">
        <w:rPr>
          <w:rFonts w:ascii="Times New Roman" w:hAnsi="Times New Roman" w:cs="Times New Roman"/>
          <w:sz w:val="20"/>
          <w:szCs w:val="20"/>
        </w:rPr>
        <w:t xml:space="preserve">. </w:t>
      </w:r>
    </w:p>
    <w:p w14:paraId="35AA24F6" w14:textId="352D71E4" w:rsidR="00B2584A" w:rsidRPr="00146888" w:rsidRDefault="00B2584A" w:rsidP="009B5860">
      <w:pPr>
        <w:spacing w:line="480" w:lineRule="auto"/>
        <w:ind w:firstLine="708"/>
        <w:jc w:val="both"/>
        <w:rPr>
          <w:rFonts w:ascii="Times New Roman" w:hAnsi="Times New Roman" w:cs="Times New Roman"/>
          <w:sz w:val="20"/>
          <w:szCs w:val="20"/>
        </w:rPr>
      </w:pPr>
      <w:r w:rsidRPr="00146888">
        <w:rPr>
          <w:rFonts w:ascii="Times New Roman" w:hAnsi="Times New Roman" w:cs="Times New Roman"/>
          <w:sz w:val="20"/>
          <w:szCs w:val="20"/>
        </w:rPr>
        <w:t>For the non-personalized strategy (patients treated with first-line chemotherapies), only 0.8</w:t>
      </w:r>
      <w:r w:rsidR="00AC04E9" w:rsidRPr="00146888">
        <w:rPr>
          <w:rFonts w:ascii="Times New Roman" w:hAnsi="Times New Roman" w:cs="Times New Roman"/>
          <w:sz w:val="20"/>
          <w:szCs w:val="20"/>
        </w:rPr>
        <w:t xml:space="preserve"> percent</w:t>
      </w:r>
      <w:r w:rsidRPr="00146888">
        <w:rPr>
          <w:rFonts w:ascii="Times New Roman" w:hAnsi="Times New Roman" w:cs="Times New Roman"/>
          <w:sz w:val="20"/>
          <w:szCs w:val="20"/>
        </w:rPr>
        <w:t xml:space="preserve"> of patients had their event time from L1T to L2T and DEATH resampled after first having “infinite time” in both time to event (i.e., from L1T to L2T and from L1T to DEATH). For personalized strategy however (patients treated with first-line targeted therapies or immunotherapy), about 12</w:t>
      </w:r>
      <w:r w:rsidR="00AC04E9" w:rsidRPr="00146888">
        <w:rPr>
          <w:rFonts w:ascii="Times New Roman" w:hAnsi="Times New Roman" w:cs="Times New Roman"/>
          <w:sz w:val="20"/>
          <w:szCs w:val="20"/>
        </w:rPr>
        <w:t xml:space="preserve"> percent</w:t>
      </w:r>
      <w:r w:rsidRPr="00146888">
        <w:rPr>
          <w:rFonts w:ascii="Times New Roman" w:hAnsi="Times New Roman" w:cs="Times New Roman"/>
          <w:sz w:val="20"/>
          <w:szCs w:val="20"/>
        </w:rPr>
        <w:t xml:space="preserve"> of patients had their event time from L1T to L2T and DEATH resampled after first having “infinite time” in both times to event (i.e., from L1T to L2T and L1T to DEATH). </w:t>
      </w:r>
    </w:p>
    <w:p w14:paraId="0B783568" w14:textId="3353DA90" w:rsidR="00B2584A" w:rsidRDefault="00B2584A" w:rsidP="009B5860">
      <w:pPr>
        <w:spacing w:line="480" w:lineRule="auto"/>
        <w:ind w:firstLine="708"/>
        <w:jc w:val="both"/>
      </w:pPr>
      <w:r w:rsidRPr="00146888">
        <w:rPr>
          <w:rFonts w:ascii="Times New Roman" w:hAnsi="Times New Roman" w:cs="Times New Roman"/>
          <w:sz w:val="20"/>
          <w:szCs w:val="20"/>
        </w:rPr>
        <w:t>In order to simulate a randomized treatment (RCT) effect for targeted therapy or immunotherapy compared to chemotherapy in the personalized strategy, the progression free hazard for L1T to L2T and from L1T to DEATH (</w:t>
      </w:r>
      <w:proofErr w:type="spellStart"/>
      <w:r w:rsidRPr="00146888">
        <w:rPr>
          <w:rFonts w:ascii="Times New Roman" w:hAnsi="Times New Roman" w:cs="Times New Roman"/>
          <w:sz w:val="20"/>
          <w:szCs w:val="20"/>
        </w:rPr>
        <w:t>inHR</w:t>
      </w:r>
      <w:proofErr w:type="spellEnd"/>
      <w:r w:rsidRPr="00146888">
        <w:rPr>
          <w:rFonts w:ascii="Times New Roman" w:hAnsi="Times New Roman" w:cs="Times New Roman"/>
          <w:sz w:val="20"/>
          <w:szCs w:val="20"/>
        </w:rPr>
        <w:t xml:space="preserve">) had to be calibrated. Calibration was done such that simulated results for </w:t>
      </w:r>
      <w:proofErr w:type="spellStart"/>
      <w:r w:rsidRPr="00146888">
        <w:rPr>
          <w:rFonts w:ascii="Times New Roman" w:hAnsi="Times New Roman" w:cs="Times New Roman"/>
          <w:sz w:val="20"/>
          <w:szCs w:val="20"/>
        </w:rPr>
        <w:t>outHR</w:t>
      </w:r>
      <w:proofErr w:type="spellEnd"/>
      <w:r w:rsidRPr="00146888">
        <w:rPr>
          <w:rFonts w:ascii="Times New Roman" w:hAnsi="Times New Roman" w:cs="Times New Roman"/>
          <w:sz w:val="20"/>
          <w:szCs w:val="20"/>
        </w:rPr>
        <w:t xml:space="preserve"> equal the progression-free hazard rate from the RCT (</w:t>
      </w:r>
      <w:proofErr w:type="spellStart"/>
      <w:r w:rsidRPr="00146888">
        <w:rPr>
          <w:rFonts w:ascii="Times New Roman" w:hAnsi="Times New Roman" w:cs="Times New Roman"/>
          <w:sz w:val="20"/>
          <w:szCs w:val="20"/>
        </w:rPr>
        <w:t>rctHR</w:t>
      </w:r>
      <w:proofErr w:type="spellEnd"/>
      <w:r w:rsidRPr="00146888">
        <w:rPr>
          <w:rFonts w:ascii="Times New Roman" w:hAnsi="Times New Roman" w:cs="Times New Roman"/>
          <w:sz w:val="20"/>
          <w:szCs w:val="20"/>
        </w:rPr>
        <w:t xml:space="preserve">). The </w:t>
      </w:r>
      <w:proofErr w:type="spellStart"/>
      <w:r w:rsidRPr="00146888">
        <w:rPr>
          <w:rFonts w:ascii="Times New Roman" w:hAnsi="Times New Roman" w:cs="Times New Roman"/>
          <w:sz w:val="20"/>
          <w:szCs w:val="20"/>
        </w:rPr>
        <w:t>outHR</w:t>
      </w:r>
      <w:proofErr w:type="spellEnd"/>
      <w:r w:rsidRPr="00146888">
        <w:rPr>
          <w:rFonts w:ascii="Times New Roman" w:hAnsi="Times New Roman" w:cs="Times New Roman"/>
          <w:sz w:val="20"/>
          <w:szCs w:val="20"/>
        </w:rPr>
        <w:t xml:space="preserve"> was re-estimated by a </w:t>
      </w:r>
      <w:proofErr w:type="spellStart"/>
      <w:r w:rsidRPr="00146888">
        <w:rPr>
          <w:rFonts w:ascii="Times New Roman" w:hAnsi="Times New Roman" w:cs="Times New Roman"/>
          <w:sz w:val="20"/>
          <w:szCs w:val="20"/>
        </w:rPr>
        <w:t>coxPH</w:t>
      </w:r>
      <w:proofErr w:type="spellEnd"/>
      <w:r w:rsidRPr="00146888">
        <w:rPr>
          <w:rFonts w:ascii="Times New Roman" w:hAnsi="Times New Roman" w:cs="Times New Roman"/>
          <w:sz w:val="20"/>
          <w:szCs w:val="20"/>
        </w:rPr>
        <w:t xml:space="preserve"> model with cut-off time of 20 months from start of first-line treatment to mimic a limited follow up in RCT. For example, for EGFR subgroup treated with first line </w:t>
      </w:r>
      <w:proofErr w:type="spellStart"/>
      <w:r w:rsidRPr="00146888">
        <w:rPr>
          <w:rFonts w:ascii="Times New Roman" w:hAnsi="Times New Roman" w:cs="Times New Roman"/>
          <w:sz w:val="20"/>
          <w:szCs w:val="20"/>
        </w:rPr>
        <w:t>gefitinib</w:t>
      </w:r>
      <w:proofErr w:type="spellEnd"/>
      <w:r w:rsidRPr="00146888">
        <w:rPr>
          <w:rFonts w:ascii="Times New Roman" w:hAnsi="Times New Roman" w:cs="Times New Roman"/>
          <w:sz w:val="20"/>
          <w:szCs w:val="20"/>
        </w:rPr>
        <w:t xml:space="preserve">, </w:t>
      </w:r>
      <w:proofErr w:type="spellStart"/>
      <w:r w:rsidRPr="00146888">
        <w:rPr>
          <w:rFonts w:ascii="Times New Roman" w:hAnsi="Times New Roman" w:cs="Times New Roman"/>
          <w:sz w:val="20"/>
          <w:szCs w:val="20"/>
        </w:rPr>
        <w:t>inHR</w:t>
      </w:r>
      <w:proofErr w:type="spellEnd"/>
      <w:r w:rsidRPr="00146888">
        <w:rPr>
          <w:rFonts w:ascii="Times New Roman" w:hAnsi="Times New Roman" w:cs="Times New Roman"/>
          <w:sz w:val="20"/>
          <w:szCs w:val="20"/>
        </w:rPr>
        <w:t xml:space="preserve"> of 0.38 was used to have </w:t>
      </w:r>
      <w:proofErr w:type="spellStart"/>
      <w:r w:rsidRPr="00146888">
        <w:rPr>
          <w:rFonts w:ascii="Times New Roman" w:hAnsi="Times New Roman" w:cs="Times New Roman"/>
          <w:sz w:val="20"/>
          <w:szCs w:val="20"/>
        </w:rPr>
        <w:t>outHR</w:t>
      </w:r>
      <w:proofErr w:type="spellEnd"/>
      <w:r w:rsidRPr="00146888">
        <w:rPr>
          <w:rFonts w:ascii="Times New Roman" w:hAnsi="Times New Roman" w:cs="Times New Roman"/>
          <w:sz w:val="20"/>
          <w:szCs w:val="20"/>
        </w:rPr>
        <w:t xml:space="preserve"> of 0.43 which </w:t>
      </w:r>
      <w:r w:rsidR="00DA0CEE" w:rsidRPr="00146888">
        <w:rPr>
          <w:rFonts w:ascii="Times New Roman" w:hAnsi="Times New Roman" w:cs="Times New Roman"/>
          <w:sz w:val="20"/>
          <w:szCs w:val="20"/>
        </w:rPr>
        <w:t xml:space="preserve">matches to </w:t>
      </w:r>
      <w:proofErr w:type="spellStart"/>
      <w:r w:rsidRPr="00146888">
        <w:rPr>
          <w:rFonts w:ascii="Times New Roman" w:hAnsi="Times New Roman" w:cs="Times New Roman"/>
          <w:sz w:val="20"/>
          <w:szCs w:val="20"/>
        </w:rPr>
        <w:t>rctHR</w:t>
      </w:r>
      <w:proofErr w:type="spellEnd"/>
      <w:r w:rsidRPr="00146888">
        <w:rPr>
          <w:rFonts w:ascii="Times New Roman" w:hAnsi="Times New Roman" w:cs="Times New Roman"/>
          <w:sz w:val="20"/>
          <w:szCs w:val="20"/>
        </w:rPr>
        <w:t xml:space="preserve"> in a network meta-analysis </w:t>
      </w:r>
      <w:r w:rsidRPr="00146888">
        <w:rPr>
          <w:rFonts w:ascii="Times New Roman" w:hAnsi="Times New Roman" w:cs="Times New Roman"/>
          <w:sz w:val="20"/>
          <w:szCs w:val="20"/>
        </w:rPr>
        <w:fldChar w:fldCharType="begin" w:fldLock="1"/>
      </w:r>
      <w:r w:rsidR="008949F2" w:rsidRPr="00146888">
        <w:rPr>
          <w:rFonts w:ascii="Times New Roman" w:hAnsi="Times New Roman" w:cs="Times New Roman"/>
          <w:sz w:val="20"/>
          <w:szCs w:val="20"/>
        </w:rPr>
        <w:instrText>ADDIN CSL_CITATION {"citationItems":[{"id":"ITEM-1","itemData":{"DOI":"10.2147/OTT.S189438","ISSN":"1178-6930","PMID":"31541309","abstract":"OBJECTIVES To compare the cost-effectiveness of first-line gefitinib, erlotinib, afatinib, and osimertinib in patients with non-small cell lung cancer (NSCLC) harbouring epidermal growth factor receptor (EGFR) mutations. METHODS A systematic review and network meta-analysis (NMA) were conducted to compare the relative efficacy of gefitinib, erlotinib, afatinib, and osimertinib in EGFR-mutated NSCLC. To assess the cost-effectiveness of these treatments, a Markov model was developed from Dutch societal perspective. The model was based on the clinical studies included in the NMA. Incremental costs per life-year (LY) and per quality-adjusted life-year (QALY) gained were estimated. Deterministic and probabilistic sensitivity analyses (PSA) were conducted. RESULTS Total discounted per patient costs for gefitinib, erlotinib, afatinib, and osimertinib were €65,889, €64,035, €69,418, and €131,997, and mean QALYs were 1.36, 1.39, 1.52, and 2.01 per patient, respectively. Erlotinib dominated gefitinib. Afatinib versus erlotinib yielded incremental costs of €27,058/LY and €41,504/QALY gained. Osimertinib resulted in €91,726/LY and €128,343/QALY gained compared to afatinib. PSA showed that gefitinib, erlotinib, afatinib, and osimertinib had 13%, 19%, 43%, and 26% probability to be cost-effective at a threshold of €80,000/QALY. A price reduction of osimertinib of 30% is required for osimertinib to be cost-effective at a threshold of €80,000/QALY. CONCLUSIONS Osimertinib has a better effectiveness compared to all other TKIs. However, at a Dutch threshold of €80,000/QALY, osimertinib appears not to be cost-effective.","author":[{"dropping-particle":"","family":"Holleman","given":"Marscha S","non-dropping-particle":"","parse-names":false,"suffix":""},{"dropping-particle":"","family":"Tinteren","given":"Harm","non-dropping-particle":"van","parse-names":false,"suffix":""},{"dropping-particle":"","family":"Groen","given":"Harry J M","non-dropping-particle":"","parse-names":false,"suffix":""},{"dropping-particle":"","family":"Al","given":"Maiwenn J","non-dropping-particle":"","parse-names":false,"suffix":""},{"dropping-particle":"","family":"Uyl-de Groot","given":"Carin A","non-dropping-particle":"","parse-names":false,"suffix":""}],"container-title":"OncoTargets and Therapy","id":"ITEM-1","issue":"1","issued":{"date-parts":[["2019","2"]]},"page":"1413-1421","title":"First-line tyrosine kinase inhibitors in EGFR mutation-positive non-small-cell lung cancer: a network meta-analysis","type":"article-journal","volume":"Volume 12"},"uris":["http://www.mendeley.com/documents/?uuid=54672bd8-056e-4e6d-9aab-018e47a8a92c"]}],"mendeley":{"formattedCitation":"[37]","plainTextFormattedCitation":"[37]","previouslyFormattedCitation":"[37]"},"properties":{"noteIndex":0},"schema":"https://github.com/citation-style-language/schema/raw/master/csl-citation.json"}</w:instrText>
      </w:r>
      <w:r w:rsidRPr="00146888">
        <w:rPr>
          <w:rFonts w:ascii="Times New Roman" w:hAnsi="Times New Roman" w:cs="Times New Roman"/>
          <w:sz w:val="20"/>
          <w:szCs w:val="20"/>
        </w:rPr>
        <w:fldChar w:fldCharType="separate"/>
      </w:r>
      <w:r w:rsidR="00320858" w:rsidRPr="00146888">
        <w:rPr>
          <w:rFonts w:ascii="Times New Roman" w:hAnsi="Times New Roman" w:cs="Times New Roman"/>
          <w:noProof/>
          <w:sz w:val="20"/>
          <w:szCs w:val="20"/>
        </w:rPr>
        <w:t>[37]</w:t>
      </w:r>
      <w:r w:rsidRPr="00146888">
        <w:rPr>
          <w:rFonts w:ascii="Times New Roman" w:hAnsi="Times New Roman" w:cs="Times New Roman"/>
          <w:sz w:val="20"/>
          <w:szCs w:val="20"/>
        </w:rPr>
        <w:fldChar w:fldCharType="end"/>
      </w:r>
      <w:r w:rsidRPr="00146888">
        <w:rPr>
          <w:rFonts w:ascii="Times New Roman" w:hAnsi="Times New Roman" w:cs="Times New Roman"/>
          <w:sz w:val="20"/>
          <w:szCs w:val="20"/>
        </w:rPr>
        <w:t xml:space="preserve">. Table A4 provides the </w:t>
      </w:r>
      <w:proofErr w:type="spellStart"/>
      <w:r w:rsidRPr="00146888">
        <w:rPr>
          <w:rFonts w:ascii="Times New Roman" w:hAnsi="Times New Roman" w:cs="Times New Roman"/>
          <w:sz w:val="20"/>
          <w:szCs w:val="20"/>
        </w:rPr>
        <w:t>rctHR</w:t>
      </w:r>
      <w:proofErr w:type="spellEnd"/>
      <w:r w:rsidRPr="00146888">
        <w:rPr>
          <w:rFonts w:ascii="Times New Roman" w:hAnsi="Times New Roman" w:cs="Times New Roman"/>
          <w:sz w:val="20"/>
          <w:szCs w:val="20"/>
        </w:rPr>
        <w:t xml:space="preserve"> and </w:t>
      </w:r>
      <w:proofErr w:type="spellStart"/>
      <w:r w:rsidRPr="00146888">
        <w:rPr>
          <w:rFonts w:ascii="Times New Roman" w:hAnsi="Times New Roman" w:cs="Times New Roman"/>
          <w:sz w:val="20"/>
          <w:szCs w:val="20"/>
        </w:rPr>
        <w:t>inHR</w:t>
      </w:r>
      <w:proofErr w:type="spellEnd"/>
      <w:r w:rsidRPr="00146888">
        <w:rPr>
          <w:rFonts w:ascii="Times New Roman" w:hAnsi="Times New Roman" w:cs="Times New Roman"/>
          <w:sz w:val="20"/>
          <w:szCs w:val="20"/>
        </w:rPr>
        <w:t xml:space="preserve"> for each molecular subgroup simulated in the personalized strategy. For the Immunotherapy treated subgroup, </w:t>
      </w:r>
      <w:proofErr w:type="spellStart"/>
      <w:r w:rsidRPr="00146888">
        <w:rPr>
          <w:rFonts w:ascii="Times New Roman" w:hAnsi="Times New Roman" w:cs="Times New Roman"/>
          <w:sz w:val="20"/>
          <w:szCs w:val="20"/>
        </w:rPr>
        <w:t>inHR</w:t>
      </w:r>
      <w:proofErr w:type="spellEnd"/>
      <w:r w:rsidRPr="00146888">
        <w:rPr>
          <w:rFonts w:ascii="Times New Roman" w:hAnsi="Times New Roman" w:cs="Times New Roman"/>
          <w:sz w:val="20"/>
          <w:szCs w:val="20"/>
        </w:rPr>
        <w:t xml:space="preserve"> was given under 23</w:t>
      </w:r>
      <w:r w:rsidR="00AC04E9" w:rsidRPr="00146888">
        <w:rPr>
          <w:rFonts w:ascii="Times New Roman" w:hAnsi="Times New Roman" w:cs="Times New Roman"/>
          <w:sz w:val="20"/>
          <w:szCs w:val="20"/>
        </w:rPr>
        <w:t xml:space="preserve"> percent</w:t>
      </w:r>
      <w:r w:rsidRPr="00146888">
        <w:rPr>
          <w:rFonts w:ascii="Times New Roman" w:hAnsi="Times New Roman" w:cs="Times New Roman"/>
          <w:sz w:val="20"/>
          <w:szCs w:val="20"/>
        </w:rPr>
        <w:t xml:space="preserve"> long-term survivor fraction and 0</w:t>
      </w:r>
      <w:r w:rsidR="00AC04E9" w:rsidRPr="00146888">
        <w:rPr>
          <w:rFonts w:ascii="Times New Roman" w:hAnsi="Times New Roman" w:cs="Times New Roman"/>
          <w:sz w:val="20"/>
          <w:szCs w:val="20"/>
        </w:rPr>
        <w:t xml:space="preserve"> percent</w:t>
      </w:r>
      <w:r w:rsidRPr="00146888">
        <w:rPr>
          <w:rFonts w:ascii="Times New Roman" w:hAnsi="Times New Roman" w:cs="Times New Roman"/>
          <w:sz w:val="20"/>
          <w:szCs w:val="20"/>
        </w:rPr>
        <w:t xml:space="preserve"> long-term survivor fraction as described in section 2.4 of the main text.</w:t>
      </w:r>
      <w:r>
        <w:t xml:space="preserve"> </w:t>
      </w:r>
      <w:r>
        <w:br w:type="page"/>
      </w:r>
    </w:p>
    <w:p w14:paraId="3B9E7415" w14:textId="77777777" w:rsidR="00B2584A" w:rsidRPr="00E804AC" w:rsidRDefault="00B2584A" w:rsidP="00CD4B0D">
      <w:pPr>
        <w:spacing w:line="480" w:lineRule="auto"/>
        <w:jc w:val="both"/>
        <w:rPr>
          <w:rFonts w:ascii="Times New Roman" w:hAnsi="Times New Roman" w:cs="Times New Roman"/>
          <w:b/>
          <w:bCs/>
          <w:sz w:val="20"/>
          <w:szCs w:val="20"/>
        </w:rPr>
      </w:pPr>
      <w:r w:rsidRPr="00E804AC">
        <w:rPr>
          <w:rFonts w:ascii="Times New Roman" w:hAnsi="Times New Roman" w:cs="Times New Roman"/>
          <w:b/>
          <w:bCs/>
          <w:sz w:val="20"/>
          <w:szCs w:val="20"/>
        </w:rPr>
        <w:lastRenderedPageBreak/>
        <w:t>A.2 Tables</w:t>
      </w:r>
    </w:p>
    <w:p w14:paraId="48D80D84" w14:textId="77777777" w:rsidR="00B2584A" w:rsidRPr="00E804AC" w:rsidRDefault="00B2584A" w:rsidP="00AB7D4E">
      <w:pPr>
        <w:spacing w:line="480" w:lineRule="auto"/>
        <w:rPr>
          <w:rFonts w:ascii="Times New Roman" w:eastAsia="Calibri" w:hAnsi="Times New Roman" w:cs="Times New Roman"/>
          <w:bCs/>
          <w:sz w:val="20"/>
          <w:szCs w:val="20"/>
        </w:rPr>
      </w:pPr>
      <w:r w:rsidRPr="00E804AC">
        <w:rPr>
          <w:rFonts w:ascii="Times New Roman" w:eastAsia="Calibri" w:hAnsi="Times New Roman" w:cs="Times New Roman"/>
          <w:bCs/>
          <w:sz w:val="20"/>
          <w:szCs w:val="20"/>
        </w:rPr>
        <w:t>Table A1. Distribution of baseline characteristics for patients with advanced (inoperable) non-squamous NSCLC diagnosed between 2008 - 2014</w:t>
      </w:r>
    </w:p>
    <w:tbl>
      <w:tblPr>
        <w:tblStyle w:val="TableGrid1"/>
        <w:tblW w:w="8500" w:type="dxa"/>
        <w:tblLook w:val="04A0" w:firstRow="1" w:lastRow="0" w:firstColumn="1" w:lastColumn="0" w:noHBand="0" w:noVBand="1"/>
      </w:tblPr>
      <w:tblGrid>
        <w:gridCol w:w="2830"/>
        <w:gridCol w:w="1843"/>
        <w:gridCol w:w="1843"/>
        <w:gridCol w:w="1984"/>
      </w:tblGrid>
      <w:tr w:rsidR="00B2584A" w:rsidRPr="00E033DA" w14:paraId="33ABE189" w14:textId="77777777" w:rsidTr="00370359">
        <w:tc>
          <w:tcPr>
            <w:tcW w:w="2830" w:type="dxa"/>
            <w:vMerge w:val="restart"/>
            <w:shd w:val="clear" w:color="auto" w:fill="auto"/>
          </w:tcPr>
          <w:p w14:paraId="238B4A29" w14:textId="77777777" w:rsidR="00B2584A" w:rsidRPr="00E804AC" w:rsidRDefault="00B2584A" w:rsidP="00C62DFE">
            <w:pPr>
              <w:rPr>
                <w:rFonts w:ascii="Times New Roman" w:eastAsia="Calibri" w:hAnsi="Times New Roman" w:cs="Times New Roman"/>
                <w:sz w:val="20"/>
                <w:szCs w:val="20"/>
              </w:rPr>
            </w:pPr>
            <w:r w:rsidRPr="00E804AC">
              <w:rPr>
                <w:rFonts w:ascii="Times New Roman" w:eastAsia="Calibri" w:hAnsi="Times New Roman" w:cs="Times New Roman"/>
                <w:sz w:val="20"/>
                <w:szCs w:val="20"/>
              </w:rPr>
              <w:t>Variable</w:t>
            </w:r>
          </w:p>
        </w:tc>
        <w:tc>
          <w:tcPr>
            <w:tcW w:w="5670" w:type="dxa"/>
            <w:gridSpan w:val="3"/>
            <w:shd w:val="clear" w:color="auto" w:fill="auto"/>
          </w:tcPr>
          <w:p w14:paraId="31A8CC21"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Non-squamous Cell</w:t>
            </w:r>
          </w:p>
        </w:tc>
      </w:tr>
      <w:tr w:rsidR="00B2584A" w:rsidRPr="00E033DA" w14:paraId="164B5022" w14:textId="77777777" w:rsidTr="00370359">
        <w:tc>
          <w:tcPr>
            <w:tcW w:w="2830" w:type="dxa"/>
            <w:vMerge/>
            <w:shd w:val="clear" w:color="auto" w:fill="auto"/>
          </w:tcPr>
          <w:p w14:paraId="63F80C8D" w14:textId="77777777" w:rsidR="00B2584A" w:rsidRPr="00E804AC" w:rsidRDefault="00B2584A">
            <w:pPr>
              <w:rPr>
                <w:rFonts w:ascii="Times New Roman" w:eastAsia="Calibri" w:hAnsi="Times New Roman" w:cs="Times New Roman"/>
                <w:sz w:val="20"/>
                <w:szCs w:val="20"/>
              </w:rPr>
            </w:pPr>
          </w:p>
        </w:tc>
        <w:tc>
          <w:tcPr>
            <w:tcW w:w="1843" w:type="dxa"/>
            <w:shd w:val="clear" w:color="auto" w:fill="auto"/>
          </w:tcPr>
          <w:p w14:paraId="3E065783"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Systemic</w:t>
            </w:r>
          </w:p>
        </w:tc>
        <w:tc>
          <w:tcPr>
            <w:tcW w:w="1843" w:type="dxa"/>
            <w:shd w:val="clear" w:color="auto" w:fill="auto"/>
          </w:tcPr>
          <w:p w14:paraId="145811B6"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BSC</w:t>
            </w:r>
          </w:p>
        </w:tc>
        <w:tc>
          <w:tcPr>
            <w:tcW w:w="1984" w:type="dxa"/>
            <w:shd w:val="clear" w:color="auto" w:fill="auto"/>
          </w:tcPr>
          <w:p w14:paraId="11AC33C9"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 xml:space="preserve">All </w:t>
            </w:r>
          </w:p>
        </w:tc>
      </w:tr>
      <w:tr w:rsidR="00B2584A" w:rsidRPr="00E033DA" w14:paraId="103A6847" w14:textId="77777777" w:rsidTr="00370359">
        <w:tc>
          <w:tcPr>
            <w:tcW w:w="2830" w:type="dxa"/>
            <w:shd w:val="clear" w:color="auto" w:fill="auto"/>
          </w:tcPr>
          <w:p w14:paraId="624DDEF9" w14:textId="77777777" w:rsidR="00B2584A" w:rsidRPr="00E804AC" w:rsidRDefault="00B2584A" w:rsidP="00C62DFE">
            <w:pPr>
              <w:rPr>
                <w:rFonts w:ascii="Times New Roman" w:eastAsia="Calibri" w:hAnsi="Times New Roman" w:cs="Times New Roman"/>
                <w:sz w:val="20"/>
                <w:szCs w:val="20"/>
              </w:rPr>
            </w:pPr>
            <w:r w:rsidRPr="00E804AC">
              <w:rPr>
                <w:rFonts w:ascii="Times New Roman" w:eastAsia="Calibri" w:hAnsi="Times New Roman" w:cs="Times New Roman"/>
                <w:sz w:val="20"/>
                <w:szCs w:val="20"/>
              </w:rPr>
              <w:t>Year (%)</w:t>
            </w:r>
          </w:p>
        </w:tc>
        <w:tc>
          <w:tcPr>
            <w:tcW w:w="1843" w:type="dxa"/>
            <w:shd w:val="clear" w:color="auto" w:fill="auto"/>
          </w:tcPr>
          <w:p w14:paraId="606FE041" w14:textId="77777777" w:rsidR="00B2584A" w:rsidRPr="00E804AC" w:rsidRDefault="00B2584A">
            <w:pPr>
              <w:rPr>
                <w:rFonts w:ascii="Times New Roman" w:eastAsia="Calibri" w:hAnsi="Times New Roman" w:cs="Times New Roman"/>
                <w:sz w:val="20"/>
                <w:szCs w:val="20"/>
              </w:rPr>
            </w:pPr>
          </w:p>
        </w:tc>
        <w:tc>
          <w:tcPr>
            <w:tcW w:w="1843" w:type="dxa"/>
            <w:shd w:val="clear" w:color="auto" w:fill="auto"/>
          </w:tcPr>
          <w:p w14:paraId="3EFB09BC" w14:textId="77777777" w:rsidR="00B2584A" w:rsidRPr="00E804AC" w:rsidRDefault="00B2584A">
            <w:pPr>
              <w:rPr>
                <w:rFonts w:ascii="Times New Roman" w:eastAsia="Calibri" w:hAnsi="Times New Roman" w:cs="Times New Roman"/>
                <w:sz w:val="20"/>
                <w:szCs w:val="20"/>
              </w:rPr>
            </w:pPr>
          </w:p>
        </w:tc>
        <w:tc>
          <w:tcPr>
            <w:tcW w:w="1984" w:type="dxa"/>
            <w:shd w:val="clear" w:color="auto" w:fill="auto"/>
          </w:tcPr>
          <w:p w14:paraId="3FB14F42" w14:textId="77777777" w:rsidR="00B2584A" w:rsidRPr="00E804AC" w:rsidRDefault="00B2584A">
            <w:pPr>
              <w:rPr>
                <w:rFonts w:ascii="Times New Roman" w:eastAsia="Calibri" w:hAnsi="Times New Roman" w:cs="Times New Roman"/>
                <w:sz w:val="20"/>
                <w:szCs w:val="20"/>
              </w:rPr>
            </w:pPr>
          </w:p>
        </w:tc>
      </w:tr>
      <w:tr w:rsidR="00B2584A" w:rsidRPr="00E033DA" w14:paraId="4FD41728" w14:textId="77777777" w:rsidTr="00370359">
        <w:tc>
          <w:tcPr>
            <w:tcW w:w="2830" w:type="dxa"/>
            <w:shd w:val="clear" w:color="auto" w:fill="auto"/>
          </w:tcPr>
          <w:p w14:paraId="2BBF2258" w14:textId="77777777" w:rsidR="00B2584A" w:rsidRPr="00E804AC" w:rsidRDefault="00B2584A" w:rsidP="00C62DFE">
            <w:pPr>
              <w:ind w:firstLine="589"/>
              <w:rPr>
                <w:rFonts w:ascii="Times New Roman" w:eastAsia="Calibri" w:hAnsi="Times New Roman" w:cs="Times New Roman"/>
                <w:sz w:val="20"/>
                <w:szCs w:val="20"/>
              </w:rPr>
            </w:pPr>
            <w:r w:rsidRPr="00E804AC">
              <w:rPr>
                <w:rFonts w:ascii="Times New Roman" w:eastAsia="Calibri" w:hAnsi="Times New Roman" w:cs="Times New Roman"/>
                <w:sz w:val="20"/>
                <w:szCs w:val="20"/>
              </w:rPr>
              <w:t>2008</w:t>
            </w:r>
          </w:p>
        </w:tc>
        <w:tc>
          <w:tcPr>
            <w:tcW w:w="1843" w:type="dxa"/>
            <w:shd w:val="clear" w:color="auto" w:fill="auto"/>
          </w:tcPr>
          <w:p w14:paraId="5E95466F"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82 (10.7)</w:t>
            </w:r>
          </w:p>
        </w:tc>
        <w:tc>
          <w:tcPr>
            <w:tcW w:w="1843" w:type="dxa"/>
            <w:shd w:val="clear" w:color="auto" w:fill="auto"/>
          </w:tcPr>
          <w:p w14:paraId="1FBC0092"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211 (14.7)</w:t>
            </w:r>
          </w:p>
        </w:tc>
        <w:tc>
          <w:tcPr>
            <w:tcW w:w="1984" w:type="dxa"/>
            <w:shd w:val="clear" w:color="auto" w:fill="auto"/>
          </w:tcPr>
          <w:p w14:paraId="0A6E9844"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293 (13.3)</w:t>
            </w:r>
          </w:p>
        </w:tc>
      </w:tr>
      <w:tr w:rsidR="00B2584A" w:rsidRPr="00E033DA" w14:paraId="6BEC50DB" w14:textId="77777777" w:rsidTr="00370359">
        <w:tc>
          <w:tcPr>
            <w:tcW w:w="2830" w:type="dxa"/>
            <w:shd w:val="clear" w:color="auto" w:fill="auto"/>
          </w:tcPr>
          <w:p w14:paraId="16894B0D" w14:textId="77777777" w:rsidR="00B2584A" w:rsidRPr="00E804AC" w:rsidRDefault="00B2584A" w:rsidP="00C62DFE">
            <w:pPr>
              <w:ind w:firstLine="589"/>
              <w:rPr>
                <w:rFonts w:ascii="Times New Roman" w:eastAsia="Calibri" w:hAnsi="Times New Roman" w:cs="Times New Roman"/>
                <w:sz w:val="20"/>
                <w:szCs w:val="20"/>
              </w:rPr>
            </w:pPr>
            <w:r w:rsidRPr="00E804AC">
              <w:rPr>
                <w:rFonts w:ascii="Times New Roman" w:eastAsia="Calibri" w:hAnsi="Times New Roman" w:cs="Times New Roman"/>
                <w:sz w:val="20"/>
                <w:szCs w:val="20"/>
              </w:rPr>
              <w:t>2009</w:t>
            </w:r>
          </w:p>
        </w:tc>
        <w:tc>
          <w:tcPr>
            <w:tcW w:w="1843" w:type="dxa"/>
            <w:shd w:val="clear" w:color="auto" w:fill="auto"/>
          </w:tcPr>
          <w:p w14:paraId="2C10EC51"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91 (12.0)</w:t>
            </w:r>
          </w:p>
        </w:tc>
        <w:tc>
          <w:tcPr>
            <w:tcW w:w="1843" w:type="dxa"/>
            <w:shd w:val="clear" w:color="auto" w:fill="auto"/>
          </w:tcPr>
          <w:p w14:paraId="2046BAEA"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205 (14.3)</w:t>
            </w:r>
          </w:p>
        </w:tc>
        <w:tc>
          <w:tcPr>
            <w:tcW w:w="1984" w:type="dxa"/>
            <w:shd w:val="clear" w:color="auto" w:fill="auto"/>
          </w:tcPr>
          <w:p w14:paraId="547D7487"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296 (13.5)</w:t>
            </w:r>
          </w:p>
        </w:tc>
      </w:tr>
      <w:tr w:rsidR="00B2584A" w:rsidRPr="00E033DA" w14:paraId="52DAD8B2" w14:textId="77777777" w:rsidTr="00370359">
        <w:tc>
          <w:tcPr>
            <w:tcW w:w="2830" w:type="dxa"/>
            <w:shd w:val="clear" w:color="auto" w:fill="auto"/>
          </w:tcPr>
          <w:p w14:paraId="63E6DE63" w14:textId="77777777" w:rsidR="00B2584A" w:rsidRPr="00E804AC" w:rsidRDefault="00B2584A" w:rsidP="00C62DFE">
            <w:pPr>
              <w:ind w:firstLine="589"/>
              <w:rPr>
                <w:rFonts w:ascii="Times New Roman" w:eastAsia="Calibri" w:hAnsi="Times New Roman" w:cs="Times New Roman"/>
                <w:sz w:val="20"/>
                <w:szCs w:val="20"/>
              </w:rPr>
            </w:pPr>
            <w:r w:rsidRPr="00E804AC">
              <w:rPr>
                <w:rFonts w:ascii="Times New Roman" w:eastAsia="Calibri" w:hAnsi="Times New Roman" w:cs="Times New Roman"/>
                <w:sz w:val="20"/>
                <w:szCs w:val="20"/>
              </w:rPr>
              <w:t>2010</w:t>
            </w:r>
          </w:p>
        </w:tc>
        <w:tc>
          <w:tcPr>
            <w:tcW w:w="1843" w:type="dxa"/>
            <w:shd w:val="clear" w:color="auto" w:fill="auto"/>
          </w:tcPr>
          <w:p w14:paraId="2AEE6D7C"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95 (12.5)</w:t>
            </w:r>
          </w:p>
        </w:tc>
        <w:tc>
          <w:tcPr>
            <w:tcW w:w="1843" w:type="dxa"/>
            <w:shd w:val="clear" w:color="auto" w:fill="auto"/>
          </w:tcPr>
          <w:p w14:paraId="17EAE8A5"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208 (14.5)</w:t>
            </w:r>
          </w:p>
        </w:tc>
        <w:tc>
          <w:tcPr>
            <w:tcW w:w="1984" w:type="dxa"/>
            <w:shd w:val="clear" w:color="auto" w:fill="auto"/>
          </w:tcPr>
          <w:p w14:paraId="29EBB711"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303 (13.8)</w:t>
            </w:r>
          </w:p>
        </w:tc>
      </w:tr>
      <w:tr w:rsidR="00B2584A" w:rsidRPr="00E033DA" w14:paraId="5F9E3317" w14:textId="77777777" w:rsidTr="00370359">
        <w:tc>
          <w:tcPr>
            <w:tcW w:w="2830" w:type="dxa"/>
            <w:shd w:val="clear" w:color="auto" w:fill="auto"/>
          </w:tcPr>
          <w:p w14:paraId="30B8167B" w14:textId="77777777" w:rsidR="00B2584A" w:rsidRPr="00E804AC" w:rsidRDefault="00B2584A" w:rsidP="00C62DFE">
            <w:pPr>
              <w:ind w:firstLine="589"/>
              <w:rPr>
                <w:rFonts w:ascii="Times New Roman" w:eastAsia="Calibri" w:hAnsi="Times New Roman" w:cs="Times New Roman"/>
                <w:sz w:val="20"/>
                <w:szCs w:val="20"/>
              </w:rPr>
            </w:pPr>
            <w:r w:rsidRPr="00E804AC">
              <w:rPr>
                <w:rFonts w:ascii="Times New Roman" w:eastAsia="Calibri" w:hAnsi="Times New Roman" w:cs="Times New Roman"/>
                <w:sz w:val="20"/>
                <w:szCs w:val="20"/>
              </w:rPr>
              <w:t>2011</w:t>
            </w:r>
          </w:p>
        </w:tc>
        <w:tc>
          <w:tcPr>
            <w:tcW w:w="1843" w:type="dxa"/>
            <w:shd w:val="clear" w:color="auto" w:fill="auto"/>
          </w:tcPr>
          <w:p w14:paraId="21434327"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109 (14.3)</w:t>
            </w:r>
          </w:p>
        </w:tc>
        <w:tc>
          <w:tcPr>
            <w:tcW w:w="1843" w:type="dxa"/>
            <w:shd w:val="clear" w:color="auto" w:fill="auto"/>
          </w:tcPr>
          <w:p w14:paraId="2C73FA2C"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2015 (15.0)</w:t>
            </w:r>
          </w:p>
        </w:tc>
        <w:tc>
          <w:tcPr>
            <w:tcW w:w="1984" w:type="dxa"/>
            <w:shd w:val="clear" w:color="auto" w:fill="auto"/>
          </w:tcPr>
          <w:p w14:paraId="78513D00"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324 (14.8)</w:t>
            </w:r>
          </w:p>
        </w:tc>
      </w:tr>
      <w:tr w:rsidR="00B2584A" w:rsidRPr="00E033DA" w14:paraId="19BDA12B" w14:textId="77777777" w:rsidTr="00370359">
        <w:tc>
          <w:tcPr>
            <w:tcW w:w="2830" w:type="dxa"/>
            <w:shd w:val="clear" w:color="auto" w:fill="auto"/>
          </w:tcPr>
          <w:p w14:paraId="531AF091" w14:textId="77777777" w:rsidR="00B2584A" w:rsidRPr="00E804AC" w:rsidRDefault="00B2584A" w:rsidP="00C62DFE">
            <w:pPr>
              <w:ind w:firstLine="589"/>
              <w:rPr>
                <w:rFonts w:ascii="Times New Roman" w:eastAsia="Calibri" w:hAnsi="Times New Roman" w:cs="Times New Roman"/>
                <w:sz w:val="20"/>
                <w:szCs w:val="20"/>
              </w:rPr>
            </w:pPr>
            <w:r w:rsidRPr="00E804AC">
              <w:rPr>
                <w:rFonts w:ascii="Times New Roman" w:eastAsia="Calibri" w:hAnsi="Times New Roman" w:cs="Times New Roman"/>
                <w:sz w:val="20"/>
                <w:szCs w:val="20"/>
              </w:rPr>
              <w:t>2012</w:t>
            </w:r>
          </w:p>
        </w:tc>
        <w:tc>
          <w:tcPr>
            <w:tcW w:w="1843" w:type="dxa"/>
            <w:shd w:val="clear" w:color="auto" w:fill="auto"/>
          </w:tcPr>
          <w:p w14:paraId="4B8BC424"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137 (18.0)</w:t>
            </w:r>
          </w:p>
        </w:tc>
        <w:tc>
          <w:tcPr>
            <w:tcW w:w="1843" w:type="dxa"/>
            <w:shd w:val="clear" w:color="auto" w:fill="auto"/>
          </w:tcPr>
          <w:p w14:paraId="4BF06E45"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195 (13.6)</w:t>
            </w:r>
          </w:p>
        </w:tc>
        <w:tc>
          <w:tcPr>
            <w:tcW w:w="1984" w:type="dxa"/>
            <w:shd w:val="clear" w:color="auto" w:fill="auto"/>
          </w:tcPr>
          <w:p w14:paraId="61C33B0F"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332 (15.1)</w:t>
            </w:r>
          </w:p>
        </w:tc>
      </w:tr>
      <w:tr w:rsidR="00B2584A" w:rsidRPr="00E033DA" w14:paraId="32D43E87" w14:textId="77777777" w:rsidTr="00370359">
        <w:tc>
          <w:tcPr>
            <w:tcW w:w="2830" w:type="dxa"/>
            <w:shd w:val="clear" w:color="auto" w:fill="auto"/>
          </w:tcPr>
          <w:p w14:paraId="1ADCA59F" w14:textId="77777777" w:rsidR="00B2584A" w:rsidRPr="00E804AC" w:rsidRDefault="00B2584A" w:rsidP="00C62DFE">
            <w:pPr>
              <w:ind w:firstLine="589"/>
              <w:rPr>
                <w:rFonts w:ascii="Times New Roman" w:eastAsia="Calibri" w:hAnsi="Times New Roman" w:cs="Times New Roman"/>
                <w:sz w:val="20"/>
                <w:szCs w:val="20"/>
              </w:rPr>
            </w:pPr>
            <w:r w:rsidRPr="00E804AC">
              <w:rPr>
                <w:rFonts w:ascii="Times New Roman" w:eastAsia="Calibri" w:hAnsi="Times New Roman" w:cs="Times New Roman"/>
                <w:sz w:val="20"/>
                <w:szCs w:val="20"/>
              </w:rPr>
              <w:t>2013</w:t>
            </w:r>
          </w:p>
        </w:tc>
        <w:tc>
          <w:tcPr>
            <w:tcW w:w="1843" w:type="dxa"/>
            <w:shd w:val="clear" w:color="auto" w:fill="auto"/>
          </w:tcPr>
          <w:p w14:paraId="1DCA84AE"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126 (16.6)</w:t>
            </w:r>
          </w:p>
        </w:tc>
        <w:tc>
          <w:tcPr>
            <w:tcW w:w="1843" w:type="dxa"/>
            <w:shd w:val="clear" w:color="auto" w:fill="auto"/>
          </w:tcPr>
          <w:p w14:paraId="7D50B85C"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192 (13.4)</w:t>
            </w:r>
          </w:p>
        </w:tc>
        <w:tc>
          <w:tcPr>
            <w:tcW w:w="1984" w:type="dxa"/>
            <w:shd w:val="clear" w:color="auto" w:fill="auto"/>
          </w:tcPr>
          <w:p w14:paraId="1CBDA79F"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318 (14.5)</w:t>
            </w:r>
          </w:p>
        </w:tc>
      </w:tr>
      <w:tr w:rsidR="00B2584A" w:rsidRPr="00E033DA" w14:paraId="44AC2035" w14:textId="77777777" w:rsidTr="00370359">
        <w:tc>
          <w:tcPr>
            <w:tcW w:w="2830" w:type="dxa"/>
            <w:shd w:val="clear" w:color="auto" w:fill="auto"/>
          </w:tcPr>
          <w:p w14:paraId="136F8AA0" w14:textId="77777777" w:rsidR="00B2584A" w:rsidRPr="00E804AC" w:rsidRDefault="00B2584A" w:rsidP="00C62DFE">
            <w:pPr>
              <w:ind w:firstLine="589"/>
              <w:rPr>
                <w:rFonts w:ascii="Times New Roman" w:eastAsia="Calibri" w:hAnsi="Times New Roman" w:cs="Times New Roman"/>
                <w:sz w:val="20"/>
                <w:szCs w:val="20"/>
              </w:rPr>
            </w:pPr>
            <w:r w:rsidRPr="00E804AC">
              <w:rPr>
                <w:rFonts w:ascii="Times New Roman" w:eastAsia="Calibri" w:hAnsi="Times New Roman" w:cs="Times New Roman"/>
                <w:sz w:val="20"/>
                <w:szCs w:val="20"/>
              </w:rPr>
              <w:t>2014</w:t>
            </w:r>
          </w:p>
        </w:tc>
        <w:tc>
          <w:tcPr>
            <w:tcW w:w="1843" w:type="dxa"/>
            <w:shd w:val="clear" w:color="auto" w:fill="auto"/>
          </w:tcPr>
          <w:p w14:paraId="3925DDD6"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121 (16.0)</w:t>
            </w:r>
          </w:p>
        </w:tc>
        <w:tc>
          <w:tcPr>
            <w:tcW w:w="1843" w:type="dxa"/>
            <w:shd w:val="clear" w:color="auto" w:fill="auto"/>
          </w:tcPr>
          <w:p w14:paraId="7CBC400B"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209 (14.6)</w:t>
            </w:r>
          </w:p>
        </w:tc>
        <w:tc>
          <w:tcPr>
            <w:tcW w:w="1984" w:type="dxa"/>
            <w:shd w:val="clear" w:color="auto" w:fill="auto"/>
          </w:tcPr>
          <w:p w14:paraId="5CF1D603"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330 (15.0)</w:t>
            </w:r>
          </w:p>
        </w:tc>
      </w:tr>
      <w:tr w:rsidR="00B2584A" w:rsidRPr="00E033DA" w14:paraId="75DF14C4" w14:textId="77777777" w:rsidTr="00370359">
        <w:tc>
          <w:tcPr>
            <w:tcW w:w="2830" w:type="dxa"/>
            <w:shd w:val="clear" w:color="auto" w:fill="auto"/>
          </w:tcPr>
          <w:p w14:paraId="1A5C7968" w14:textId="77777777" w:rsidR="00B2584A" w:rsidRPr="00E804AC" w:rsidRDefault="00B2584A" w:rsidP="00C62DFE">
            <w:pPr>
              <w:rPr>
                <w:rFonts w:ascii="Times New Roman" w:eastAsia="Calibri" w:hAnsi="Times New Roman" w:cs="Times New Roman"/>
                <w:sz w:val="20"/>
                <w:szCs w:val="20"/>
              </w:rPr>
            </w:pPr>
            <w:r w:rsidRPr="00E804AC">
              <w:rPr>
                <w:rFonts w:ascii="Times New Roman" w:eastAsia="Calibri" w:hAnsi="Times New Roman" w:cs="Times New Roman"/>
                <w:sz w:val="20"/>
                <w:szCs w:val="20"/>
              </w:rPr>
              <w:t>Gender (%)</w:t>
            </w:r>
          </w:p>
        </w:tc>
        <w:tc>
          <w:tcPr>
            <w:tcW w:w="1843" w:type="dxa"/>
            <w:shd w:val="clear" w:color="auto" w:fill="auto"/>
          </w:tcPr>
          <w:p w14:paraId="68AA50B0" w14:textId="77777777" w:rsidR="00B2584A" w:rsidRPr="00E804AC" w:rsidRDefault="00B2584A">
            <w:pPr>
              <w:jc w:val="center"/>
              <w:rPr>
                <w:rFonts w:ascii="Times New Roman" w:eastAsia="Calibri" w:hAnsi="Times New Roman" w:cs="Times New Roman"/>
                <w:sz w:val="20"/>
                <w:szCs w:val="20"/>
              </w:rPr>
            </w:pPr>
          </w:p>
        </w:tc>
        <w:tc>
          <w:tcPr>
            <w:tcW w:w="1843" w:type="dxa"/>
            <w:shd w:val="clear" w:color="auto" w:fill="auto"/>
          </w:tcPr>
          <w:p w14:paraId="68E65BD5" w14:textId="77777777" w:rsidR="00B2584A" w:rsidRPr="00E804AC" w:rsidRDefault="00B2584A">
            <w:pPr>
              <w:jc w:val="center"/>
              <w:rPr>
                <w:rFonts w:ascii="Times New Roman" w:eastAsia="Calibri" w:hAnsi="Times New Roman" w:cs="Times New Roman"/>
                <w:sz w:val="20"/>
                <w:szCs w:val="20"/>
              </w:rPr>
            </w:pPr>
          </w:p>
        </w:tc>
        <w:tc>
          <w:tcPr>
            <w:tcW w:w="1984" w:type="dxa"/>
            <w:shd w:val="clear" w:color="auto" w:fill="auto"/>
          </w:tcPr>
          <w:p w14:paraId="685DE9CC" w14:textId="77777777" w:rsidR="00B2584A" w:rsidRPr="00E804AC" w:rsidRDefault="00B2584A">
            <w:pPr>
              <w:jc w:val="center"/>
              <w:rPr>
                <w:rFonts w:ascii="Times New Roman" w:eastAsia="Calibri" w:hAnsi="Times New Roman" w:cs="Times New Roman"/>
                <w:sz w:val="20"/>
                <w:szCs w:val="20"/>
              </w:rPr>
            </w:pPr>
          </w:p>
        </w:tc>
      </w:tr>
      <w:tr w:rsidR="00B2584A" w:rsidRPr="00E033DA" w14:paraId="7526BE79" w14:textId="77777777" w:rsidTr="00370359">
        <w:tc>
          <w:tcPr>
            <w:tcW w:w="2830" w:type="dxa"/>
            <w:shd w:val="clear" w:color="auto" w:fill="auto"/>
          </w:tcPr>
          <w:p w14:paraId="0A2CA55B" w14:textId="77777777" w:rsidR="00B2584A" w:rsidRPr="00E804AC" w:rsidRDefault="00B2584A" w:rsidP="00C62DFE">
            <w:pPr>
              <w:ind w:firstLine="589"/>
              <w:rPr>
                <w:rFonts w:ascii="Times New Roman" w:eastAsia="Calibri" w:hAnsi="Times New Roman" w:cs="Times New Roman"/>
                <w:sz w:val="20"/>
                <w:szCs w:val="20"/>
              </w:rPr>
            </w:pPr>
            <w:r w:rsidRPr="00E804AC">
              <w:rPr>
                <w:rFonts w:ascii="Times New Roman" w:eastAsia="Calibri" w:hAnsi="Times New Roman" w:cs="Times New Roman"/>
                <w:sz w:val="20"/>
                <w:szCs w:val="20"/>
              </w:rPr>
              <w:t>Male</w:t>
            </w:r>
          </w:p>
        </w:tc>
        <w:tc>
          <w:tcPr>
            <w:tcW w:w="1843" w:type="dxa"/>
            <w:shd w:val="clear" w:color="auto" w:fill="auto"/>
          </w:tcPr>
          <w:p w14:paraId="6DD05B2A"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432 (56.8)</w:t>
            </w:r>
          </w:p>
        </w:tc>
        <w:tc>
          <w:tcPr>
            <w:tcW w:w="1843" w:type="dxa"/>
            <w:shd w:val="clear" w:color="auto" w:fill="auto"/>
          </w:tcPr>
          <w:p w14:paraId="6D46428E"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849 (59.2)</w:t>
            </w:r>
          </w:p>
        </w:tc>
        <w:tc>
          <w:tcPr>
            <w:tcW w:w="1984" w:type="dxa"/>
            <w:shd w:val="clear" w:color="auto" w:fill="auto"/>
          </w:tcPr>
          <w:p w14:paraId="3B743BCB"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1281 (58.3)</w:t>
            </w:r>
          </w:p>
        </w:tc>
      </w:tr>
      <w:tr w:rsidR="00B2584A" w:rsidRPr="00E033DA" w14:paraId="6E166C00" w14:textId="77777777" w:rsidTr="00370359">
        <w:tc>
          <w:tcPr>
            <w:tcW w:w="2830" w:type="dxa"/>
            <w:shd w:val="clear" w:color="auto" w:fill="auto"/>
          </w:tcPr>
          <w:p w14:paraId="6A661F17" w14:textId="77777777" w:rsidR="00B2584A" w:rsidRPr="00E804AC" w:rsidRDefault="00B2584A" w:rsidP="00C62DFE">
            <w:pPr>
              <w:ind w:firstLine="589"/>
              <w:rPr>
                <w:rFonts w:ascii="Times New Roman" w:eastAsia="Calibri" w:hAnsi="Times New Roman" w:cs="Times New Roman"/>
                <w:sz w:val="20"/>
                <w:szCs w:val="20"/>
              </w:rPr>
            </w:pPr>
            <w:r w:rsidRPr="00E804AC">
              <w:rPr>
                <w:rFonts w:ascii="Times New Roman" w:eastAsia="Calibri" w:hAnsi="Times New Roman" w:cs="Times New Roman"/>
                <w:sz w:val="20"/>
                <w:szCs w:val="20"/>
              </w:rPr>
              <w:t>Female</w:t>
            </w:r>
          </w:p>
        </w:tc>
        <w:tc>
          <w:tcPr>
            <w:tcW w:w="1843" w:type="dxa"/>
            <w:shd w:val="clear" w:color="auto" w:fill="auto"/>
          </w:tcPr>
          <w:p w14:paraId="6AC3AE5D"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329(43.2)</w:t>
            </w:r>
          </w:p>
        </w:tc>
        <w:tc>
          <w:tcPr>
            <w:tcW w:w="1843" w:type="dxa"/>
            <w:shd w:val="clear" w:color="auto" w:fill="auto"/>
          </w:tcPr>
          <w:p w14:paraId="70050D09"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587 (40.8)</w:t>
            </w:r>
          </w:p>
        </w:tc>
        <w:tc>
          <w:tcPr>
            <w:tcW w:w="1984" w:type="dxa"/>
            <w:shd w:val="clear" w:color="auto" w:fill="auto"/>
          </w:tcPr>
          <w:p w14:paraId="0CD1F7A7"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915 (41.7)</w:t>
            </w:r>
          </w:p>
        </w:tc>
      </w:tr>
      <w:tr w:rsidR="00B2584A" w:rsidRPr="00E033DA" w14:paraId="37E0FB6F" w14:textId="77777777" w:rsidTr="00370359">
        <w:tc>
          <w:tcPr>
            <w:tcW w:w="2830" w:type="dxa"/>
            <w:shd w:val="clear" w:color="auto" w:fill="auto"/>
          </w:tcPr>
          <w:p w14:paraId="6D3A2DE3" w14:textId="77777777" w:rsidR="00B2584A" w:rsidRPr="00E804AC" w:rsidRDefault="00B2584A" w:rsidP="00C62DFE">
            <w:pPr>
              <w:rPr>
                <w:rFonts w:ascii="Times New Roman" w:eastAsia="Calibri" w:hAnsi="Times New Roman" w:cs="Times New Roman"/>
                <w:sz w:val="20"/>
                <w:szCs w:val="20"/>
              </w:rPr>
            </w:pPr>
            <w:r w:rsidRPr="00E804AC">
              <w:rPr>
                <w:rFonts w:ascii="Times New Roman" w:eastAsia="Calibri" w:hAnsi="Times New Roman" w:cs="Times New Roman"/>
                <w:sz w:val="20"/>
                <w:szCs w:val="20"/>
              </w:rPr>
              <w:t>Age</w:t>
            </w:r>
          </w:p>
        </w:tc>
        <w:tc>
          <w:tcPr>
            <w:tcW w:w="1843" w:type="dxa"/>
            <w:shd w:val="clear" w:color="auto" w:fill="auto"/>
          </w:tcPr>
          <w:p w14:paraId="6BFF6143" w14:textId="77777777" w:rsidR="00B2584A" w:rsidRPr="00E804AC" w:rsidRDefault="00B2584A">
            <w:pPr>
              <w:jc w:val="center"/>
              <w:rPr>
                <w:rFonts w:ascii="Times New Roman" w:eastAsia="Calibri" w:hAnsi="Times New Roman" w:cs="Times New Roman"/>
                <w:sz w:val="20"/>
                <w:szCs w:val="20"/>
              </w:rPr>
            </w:pPr>
          </w:p>
        </w:tc>
        <w:tc>
          <w:tcPr>
            <w:tcW w:w="1843" w:type="dxa"/>
            <w:shd w:val="clear" w:color="auto" w:fill="auto"/>
          </w:tcPr>
          <w:p w14:paraId="3F4334A9" w14:textId="77777777" w:rsidR="00B2584A" w:rsidRPr="00E804AC" w:rsidRDefault="00B2584A">
            <w:pPr>
              <w:jc w:val="center"/>
              <w:rPr>
                <w:rFonts w:ascii="Times New Roman" w:eastAsia="Calibri" w:hAnsi="Times New Roman" w:cs="Times New Roman"/>
                <w:sz w:val="20"/>
                <w:szCs w:val="20"/>
              </w:rPr>
            </w:pPr>
          </w:p>
        </w:tc>
        <w:tc>
          <w:tcPr>
            <w:tcW w:w="1984" w:type="dxa"/>
            <w:shd w:val="clear" w:color="auto" w:fill="auto"/>
          </w:tcPr>
          <w:p w14:paraId="104811D6" w14:textId="77777777" w:rsidR="00B2584A" w:rsidRPr="00E804AC" w:rsidRDefault="00B2584A">
            <w:pPr>
              <w:jc w:val="center"/>
              <w:rPr>
                <w:rFonts w:ascii="Times New Roman" w:eastAsia="Calibri" w:hAnsi="Times New Roman" w:cs="Times New Roman"/>
                <w:sz w:val="20"/>
                <w:szCs w:val="20"/>
              </w:rPr>
            </w:pPr>
          </w:p>
        </w:tc>
      </w:tr>
      <w:tr w:rsidR="00B2584A" w:rsidRPr="00E033DA" w14:paraId="6DAF7857" w14:textId="77777777" w:rsidTr="00370359">
        <w:tc>
          <w:tcPr>
            <w:tcW w:w="2830" w:type="dxa"/>
            <w:shd w:val="clear" w:color="auto" w:fill="auto"/>
          </w:tcPr>
          <w:p w14:paraId="4D1AB01C" w14:textId="77777777" w:rsidR="00B2584A" w:rsidRPr="00E804AC" w:rsidRDefault="00B2584A" w:rsidP="00C62DFE">
            <w:pPr>
              <w:ind w:firstLine="589"/>
              <w:rPr>
                <w:rFonts w:ascii="Times New Roman" w:eastAsia="Calibri" w:hAnsi="Times New Roman" w:cs="Times New Roman"/>
                <w:sz w:val="20"/>
                <w:szCs w:val="20"/>
              </w:rPr>
            </w:pPr>
            <w:r w:rsidRPr="00E804AC">
              <w:rPr>
                <w:rFonts w:ascii="Times New Roman" w:eastAsia="Calibri" w:hAnsi="Times New Roman" w:cs="Times New Roman"/>
                <w:sz w:val="20"/>
                <w:szCs w:val="20"/>
              </w:rPr>
              <w:t>Mean ± std. Error</w:t>
            </w:r>
          </w:p>
        </w:tc>
        <w:tc>
          <w:tcPr>
            <w:tcW w:w="1843" w:type="dxa"/>
            <w:shd w:val="clear" w:color="auto" w:fill="auto"/>
          </w:tcPr>
          <w:p w14:paraId="13E2F366"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62.5 ± 0.350</w:t>
            </w:r>
          </w:p>
        </w:tc>
        <w:tc>
          <w:tcPr>
            <w:tcW w:w="1843" w:type="dxa"/>
            <w:shd w:val="clear" w:color="auto" w:fill="auto"/>
          </w:tcPr>
          <w:p w14:paraId="04A03FA3"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68.9 ± 0.289</w:t>
            </w:r>
          </w:p>
        </w:tc>
        <w:tc>
          <w:tcPr>
            <w:tcW w:w="1984" w:type="dxa"/>
            <w:shd w:val="clear" w:color="auto" w:fill="auto"/>
          </w:tcPr>
          <w:p w14:paraId="12B610CE"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66.7 ± 0.234</w:t>
            </w:r>
          </w:p>
        </w:tc>
      </w:tr>
      <w:tr w:rsidR="00B2584A" w:rsidRPr="00E033DA" w14:paraId="6B06D952" w14:textId="77777777" w:rsidTr="00370359">
        <w:tc>
          <w:tcPr>
            <w:tcW w:w="2830" w:type="dxa"/>
            <w:shd w:val="clear" w:color="auto" w:fill="auto"/>
          </w:tcPr>
          <w:p w14:paraId="7FA882B5" w14:textId="77777777" w:rsidR="00B2584A" w:rsidRPr="00E804AC" w:rsidRDefault="00B2584A" w:rsidP="00C62DFE">
            <w:pPr>
              <w:rPr>
                <w:rFonts w:ascii="Times New Roman" w:eastAsia="Calibri" w:hAnsi="Times New Roman" w:cs="Times New Roman"/>
                <w:sz w:val="20"/>
                <w:szCs w:val="20"/>
              </w:rPr>
            </w:pPr>
            <w:r w:rsidRPr="00E804AC">
              <w:rPr>
                <w:rFonts w:ascii="Times New Roman" w:eastAsia="Calibri" w:hAnsi="Times New Roman" w:cs="Times New Roman"/>
                <w:sz w:val="20"/>
                <w:szCs w:val="20"/>
              </w:rPr>
              <w:t>PS (%)</w:t>
            </w:r>
          </w:p>
        </w:tc>
        <w:tc>
          <w:tcPr>
            <w:tcW w:w="1843" w:type="dxa"/>
            <w:shd w:val="clear" w:color="auto" w:fill="auto"/>
          </w:tcPr>
          <w:p w14:paraId="7EAB698A" w14:textId="77777777" w:rsidR="00B2584A" w:rsidRPr="00E804AC" w:rsidRDefault="00B2584A">
            <w:pPr>
              <w:jc w:val="center"/>
              <w:rPr>
                <w:rFonts w:ascii="Times New Roman" w:eastAsia="Calibri" w:hAnsi="Times New Roman" w:cs="Times New Roman"/>
                <w:sz w:val="20"/>
                <w:szCs w:val="20"/>
              </w:rPr>
            </w:pPr>
          </w:p>
        </w:tc>
        <w:tc>
          <w:tcPr>
            <w:tcW w:w="1843" w:type="dxa"/>
            <w:shd w:val="clear" w:color="auto" w:fill="auto"/>
          </w:tcPr>
          <w:p w14:paraId="10FCC2DB" w14:textId="77777777" w:rsidR="00B2584A" w:rsidRPr="00E804AC" w:rsidRDefault="00B2584A">
            <w:pPr>
              <w:jc w:val="center"/>
              <w:rPr>
                <w:rFonts w:ascii="Times New Roman" w:eastAsia="Calibri" w:hAnsi="Times New Roman" w:cs="Times New Roman"/>
                <w:sz w:val="20"/>
                <w:szCs w:val="20"/>
              </w:rPr>
            </w:pPr>
          </w:p>
        </w:tc>
        <w:tc>
          <w:tcPr>
            <w:tcW w:w="1984" w:type="dxa"/>
            <w:shd w:val="clear" w:color="auto" w:fill="auto"/>
          </w:tcPr>
          <w:p w14:paraId="4BCBF871" w14:textId="77777777" w:rsidR="00B2584A" w:rsidRPr="00E804AC" w:rsidRDefault="00B2584A">
            <w:pPr>
              <w:jc w:val="center"/>
              <w:rPr>
                <w:rFonts w:ascii="Times New Roman" w:eastAsia="Calibri" w:hAnsi="Times New Roman" w:cs="Times New Roman"/>
                <w:sz w:val="20"/>
                <w:szCs w:val="20"/>
              </w:rPr>
            </w:pPr>
          </w:p>
        </w:tc>
      </w:tr>
      <w:tr w:rsidR="00B2584A" w:rsidRPr="00E033DA" w14:paraId="3386BEE2" w14:textId="77777777" w:rsidTr="00370359">
        <w:tc>
          <w:tcPr>
            <w:tcW w:w="2830" w:type="dxa"/>
            <w:shd w:val="clear" w:color="auto" w:fill="auto"/>
          </w:tcPr>
          <w:p w14:paraId="00CC0991" w14:textId="77777777" w:rsidR="00B2584A" w:rsidRPr="00E804AC" w:rsidRDefault="00B2584A" w:rsidP="00C62DFE">
            <w:pPr>
              <w:ind w:firstLine="592"/>
              <w:rPr>
                <w:rFonts w:ascii="Times New Roman" w:eastAsia="Calibri" w:hAnsi="Times New Roman" w:cs="Times New Roman"/>
                <w:sz w:val="20"/>
                <w:szCs w:val="20"/>
              </w:rPr>
            </w:pPr>
            <w:r w:rsidRPr="00E804AC">
              <w:rPr>
                <w:rFonts w:ascii="Times New Roman" w:eastAsia="Calibri" w:hAnsi="Times New Roman" w:cs="Times New Roman"/>
                <w:sz w:val="20"/>
                <w:szCs w:val="20"/>
              </w:rPr>
              <w:t>Good (0 -1)</w:t>
            </w:r>
          </w:p>
        </w:tc>
        <w:tc>
          <w:tcPr>
            <w:tcW w:w="1843" w:type="dxa"/>
            <w:shd w:val="clear" w:color="auto" w:fill="auto"/>
          </w:tcPr>
          <w:p w14:paraId="2E97AD02"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640 (84.1)</w:t>
            </w:r>
          </w:p>
        </w:tc>
        <w:tc>
          <w:tcPr>
            <w:tcW w:w="1843" w:type="dxa"/>
            <w:shd w:val="clear" w:color="auto" w:fill="auto"/>
          </w:tcPr>
          <w:p w14:paraId="0BD4FB73"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731 (50.9)</w:t>
            </w:r>
          </w:p>
        </w:tc>
        <w:tc>
          <w:tcPr>
            <w:tcW w:w="1984" w:type="dxa"/>
            <w:shd w:val="clear" w:color="auto" w:fill="auto"/>
          </w:tcPr>
          <w:p w14:paraId="04BF21F7"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1371 (62.4)</w:t>
            </w:r>
          </w:p>
        </w:tc>
      </w:tr>
      <w:tr w:rsidR="00B2584A" w:rsidRPr="00E033DA" w14:paraId="0436BF4C" w14:textId="77777777" w:rsidTr="00370359">
        <w:tc>
          <w:tcPr>
            <w:tcW w:w="2830" w:type="dxa"/>
            <w:shd w:val="clear" w:color="auto" w:fill="auto"/>
          </w:tcPr>
          <w:p w14:paraId="5355C47F" w14:textId="77777777" w:rsidR="00B2584A" w:rsidRPr="00E804AC" w:rsidRDefault="00B2584A" w:rsidP="00C62DFE">
            <w:pPr>
              <w:ind w:firstLine="589"/>
              <w:rPr>
                <w:rFonts w:ascii="Times New Roman" w:eastAsia="Calibri" w:hAnsi="Times New Roman" w:cs="Times New Roman"/>
                <w:sz w:val="20"/>
                <w:szCs w:val="20"/>
              </w:rPr>
            </w:pPr>
            <w:r w:rsidRPr="00E804AC">
              <w:rPr>
                <w:rFonts w:ascii="Times New Roman" w:eastAsia="Calibri" w:hAnsi="Times New Roman" w:cs="Times New Roman"/>
                <w:sz w:val="20"/>
                <w:szCs w:val="20"/>
              </w:rPr>
              <w:t>Bad (2 – 4)</w:t>
            </w:r>
          </w:p>
        </w:tc>
        <w:tc>
          <w:tcPr>
            <w:tcW w:w="1843" w:type="dxa"/>
            <w:shd w:val="clear" w:color="auto" w:fill="auto"/>
          </w:tcPr>
          <w:p w14:paraId="1C601CE9"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86 (11.3)</w:t>
            </w:r>
          </w:p>
        </w:tc>
        <w:tc>
          <w:tcPr>
            <w:tcW w:w="1843" w:type="dxa"/>
            <w:shd w:val="clear" w:color="auto" w:fill="auto"/>
          </w:tcPr>
          <w:p w14:paraId="2E41CD7E"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598 (41.7)</w:t>
            </w:r>
          </w:p>
        </w:tc>
        <w:tc>
          <w:tcPr>
            <w:tcW w:w="1984" w:type="dxa"/>
            <w:shd w:val="clear" w:color="auto" w:fill="auto"/>
          </w:tcPr>
          <w:p w14:paraId="2D75331E"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684 (31.1)</w:t>
            </w:r>
          </w:p>
        </w:tc>
      </w:tr>
      <w:tr w:rsidR="00B2584A" w:rsidRPr="00E033DA" w14:paraId="2AF6B8A4" w14:textId="77777777" w:rsidTr="00370359">
        <w:tc>
          <w:tcPr>
            <w:tcW w:w="2830" w:type="dxa"/>
            <w:shd w:val="clear" w:color="auto" w:fill="auto"/>
          </w:tcPr>
          <w:p w14:paraId="43557F55" w14:textId="77777777" w:rsidR="00B2584A" w:rsidRPr="00E804AC" w:rsidRDefault="00B2584A" w:rsidP="00C62DFE">
            <w:pPr>
              <w:ind w:firstLine="589"/>
              <w:rPr>
                <w:rFonts w:ascii="Times New Roman" w:eastAsia="Calibri" w:hAnsi="Times New Roman" w:cs="Times New Roman"/>
                <w:sz w:val="20"/>
                <w:szCs w:val="20"/>
              </w:rPr>
            </w:pPr>
            <w:r w:rsidRPr="00E804AC">
              <w:rPr>
                <w:rFonts w:ascii="Times New Roman" w:eastAsia="Calibri" w:hAnsi="Times New Roman" w:cs="Times New Roman"/>
                <w:sz w:val="20"/>
                <w:szCs w:val="20"/>
              </w:rPr>
              <w:t xml:space="preserve">Unknown </w:t>
            </w:r>
          </w:p>
        </w:tc>
        <w:tc>
          <w:tcPr>
            <w:tcW w:w="1843" w:type="dxa"/>
            <w:shd w:val="clear" w:color="auto" w:fill="auto"/>
          </w:tcPr>
          <w:p w14:paraId="4202A69D"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35 (4.6)</w:t>
            </w:r>
          </w:p>
        </w:tc>
        <w:tc>
          <w:tcPr>
            <w:tcW w:w="1843" w:type="dxa"/>
            <w:shd w:val="clear" w:color="auto" w:fill="auto"/>
          </w:tcPr>
          <w:p w14:paraId="7ABE9A7E"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106 (7.4)</w:t>
            </w:r>
          </w:p>
        </w:tc>
        <w:tc>
          <w:tcPr>
            <w:tcW w:w="1984" w:type="dxa"/>
            <w:shd w:val="clear" w:color="auto" w:fill="auto"/>
          </w:tcPr>
          <w:p w14:paraId="7D39BC38"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141 (6.4)</w:t>
            </w:r>
          </w:p>
        </w:tc>
      </w:tr>
      <w:tr w:rsidR="00B2584A" w:rsidRPr="00E033DA" w14:paraId="6A5147E0" w14:textId="77777777" w:rsidTr="00370359">
        <w:tc>
          <w:tcPr>
            <w:tcW w:w="2830" w:type="dxa"/>
            <w:shd w:val="clear" w:color="auto" w:fill="auto"/>
          </w:tcPr>
          <w:p w14:paraId="56162EA3" w14:textId="77777777" w:rsidR="00B2584A" w:rsidRPr="00E804AC" w:rsidRDefault="00B2584A" w:rsidP="00C62DFE">
            <w:pPr>
              <w:rPr>
                <w:rFonts w:ascii="Times New Roman" w:eastAsia="Calibri" w:hAnsi="Times New Roman" w:cs="Times New Roman"/>
                <w:sz w:val="20"/>
                <w:szCs w:val="20"/>
              </w:rPr>
            </w:pPr>
            <w:r w:rsidRPr="00E804AC">
              <w:rPr>
                <w:rFonts w:ascii="Times New Roman" w:eastAsia="Calibri" w:hAnsi="Times New Roman" w:cs="Times New Roman"/>
                <w:sz w:val="20"/>
                <w:szCs w:val="20"/>
              </w:rPr>
              <w:t>CCI (%)</w:t>
            </w:r>
          </w:p>
        </w:tc>
        <w:tc>
          <w:tcPr>
            <w:tcW w:w="1843" w:type="dxa"/>
            <w:shd w:val="clear" w:color="auto" w:fill="auto"/>
          </w:tcPr>
          <w:p w14:paraId="2C0812DC" w14:textId="77777777" w:rsidR="00B2584A" w:rsidRPr="00E804AC" w:rsidRDefault="00B2584A">
            <w:pPr>
              <w:jc w:val="center"/>
              <w:rPr>
                <w:rFonts w:ascii="Times New Roman" w:eastAsia="Calibri" w:hAnsi="Times New Roman" w:cs="Times New Roman"/>
                <w:sz w:val="20"/>
                <w:szCs w:val="20"/>
              </w:rPr>
            </w:pPr>
          </w:p>
        </w:tc>
        <w:tc>
          <w:tcPr>
            <w:tcW w:w="1843" w:type="dxa"/>
            <w:shd w:val="clear" w:color="auto" w:fill="auto"/>
          </w:tcPr>
          <w:p w14:paraId="4CC84E20" w14:textId="77777777" w:rsidR="00B2584A" w:rsidRPr="00E804AC" w:rsidRDefault="00B2584A">
            <w:pPr>
              <w:jc w:val="center"/>
              <w:rPr>
                <w:rFonts w:ascii="Times New Roman" w:eastAsia="Calibri" w:hAnsi="Times New Roman" w:cs="Times New Roman"/>
                <w:sz w:val="20"/>
                <w:szCs w:val="20"/>
              </w:rPr>
            </w:pPr>
          </w:p>
        </w:tc>
        <w:tc>
          <w:tcPr>
            <w:tcW w:w="1984" w:type="dxa"/>
            <w:shd w:val="clear" w:color="auto" w:fill="auto"/>
          </w:tcPr>
          <w:p w14:paraId="3B69F10D" w14:textId="77777777" w:rsidR="00B2584A" w:rsidRPr="00E804AC" w:rsidRDefault="00B2584A">
            <w:pPr>
              <w:jc w:val="center"/>
              <w:rPr>
                <w:rFonts w:ascii="Times New Roman" w:eastAsia="Calibri" w:hAnsi="Times New Roman" w:cs="Times New Roman"/>
                <w:sz w:val="20"/>
                <w:szCs w:val="20"/>
              </w:rPr>
            </w:pPr>
          </w:p>
        </w:tc>
      </w:tr>
      <w:tr w:rsidR="00B2584A" w:rsidRPr="00E033DA" w14:paraId="3A0BF179" w14:textId="77777777" w:rsidTr="00370359">
        <w:tc>
          <w:tcPr>
            <w:tcW w:w="2830" w:type="dxa"/>
            <w:shd w:val="clear" w:color="auto" w:fill="auto"/>
          </w:tcPr>
          <w:p w14:paraId="4B3F5981" w14:textId="77777777" w:rsidR="00B2584A" w:rsidRPr="00E804AC" w:rsidRDefault="00B2584A" w:rsidP="00C62DFE">
            <w:pPr>
              <w:ind w:firstLine="589"/>
              <w:rPr>
                <w:rFonts w:ascii="Times New Roman" w:eastAsia="Calibri" w:hAnsi="Times New Roman" w:cs="Times New Roman"/>
                <w:sz w:val="20"/>
                <w:szCs w:val="20"/>
              </w:rPr>
            </w:pPr>
            <w:r w:rsidRPr="00E804AC">
              <w:rPr>
                <w:rFonts w:ascii="Times New Roman" w:eastAsia="Calibri" w:hAnsi="Times New Roman" w:cs="Times New Roman"/>
                <w:sz w:val="20"/>
                <w:szCs w:val="20"/>
              </w:rPr>
              <w:t>Good (1 – 2)</w:t>
            </w:r>
          </w:p>
        </w:tc>
        <w:tc>
          <w:tcPr>
            <w:tcW w:w="1843" w:type="dxa"/>
            <w:shd w:val="clear" w:color="auto" w:fill="auto"/>
          </w:tcPr>
          <w:p w14:paraId="585990BD"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718(94.3)</w:t>
            </w:r>
          </w:p>
        </w:tc>
        <w:tc>
          <w:tcPr>
            <w:tcW w:w="1843" w:type="dxa"/>
            <w:shd w:val="clear" w:color="auto" w:fill="auto"/>
          </w:tcPr>
          <w:p w14:paraId="7F128B8E"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1266 (88.2)</w:t>
            </w:r>
          </w:p>
        </w:tc>
        <w:tc>
          <w:tcPr>
            <w:tcW w:w="1984" w:type="dxa"/>
            <w:shd w:val="clear" w:color="auto" w:fill="auto"/>
          </w:tcPr>
          <w:p w14:paraId="0580D22E"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1984 (90.3)</w:t>
            </w:r>
          </w:p>
        </w:tc>
      </w:tr>
      <w:tr w:rsidR="00B2584A" w:rsidRPr="00E033DA" w14:paraId="60DB563F" w14:textId="77777777" w:rsidTr="00370359">
        <w:tc>
          <w:tcPr>
            <w:tcW w:w="2830" w:type="dxa"/>
            <w:shd w:val="clear" w:color="auto" w:fill="auto"/>
          </w:tcPr>
          <w:p w14:paraId="773B82B9" w14:textId="77777777" w:rsidR="00B2584A" w:rsidRPr="00E804AC" w:rsidRDefault="00B2584A" w:rsidP="00C62DFE">
            <w:pPr>
              <w:ind w:firstLine="589"/>
              <w:rPr>
                <w:rFonts w:ascii="Times New Roman" w:eastAsia="Calibri" w:hAnsi="Times New Roman" w:cs="Times New Roman"/>
                <w:sz w:val="20"/>
                <w:szCs w:val="20"/>
              </w:rPr>
            </w:pPr>
            <w:r w:rsidRPr="00E804AC">
              <w:rPr>
                <w:rFonts w:ascii="Times New Roman" w:eastAsia="Calibri" w:hAnsi="Times New Roman" w:cs="Times New Roman"/>
                <w:sz w:val="20"/>
                <w:szCs w:val="20"/>
              </w:rPr>
              <w:t>Bad (&gt; 2)</w:t>
            </w:r>
          </w:p>
        </w:tc>
        <w:tc>
          <w:tcPr>
            <w:tcW w:w="1843" w:type="dxa"/>
            <w:shd w:val="clear" w:color="auto" w:fill="auto"/>
          </w:tcPr>
          <w:p w14:paraId="4112F642"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43(5.7)</w:t>
            </w:r>
          </w:p>
        </w:tc>
        <w:tc>
          <w:tcPr>
            <w:tcW w:w="1843" w:type="dxa"/>
            <w:shd w:val="clear" w:color="auto" w:fill="auto"/>
          </w:tcPr>
          <w:p w14:paraId="0F7E0FFB"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169 (11.8)</w:t>
            </w:r>
          </w:p>
        </w:tc>
        <w:tc>
          <w:tcPr>
            <w:tcW w:w="1984" w:type="dxa"/>
            <w:shd w:val="clear" w:color="auto" w:fill="auto"/>
          </w:tcPr>
          <w:p w14:paraId="7237C707"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212 (9.7)</w:t>
            </w:r>
          </w:p>
        </w:tc>
      </w:tr>
      <w:tr w:rsidR="00B2584A" w:rsidRPr="00E033DA" w14:paraId="1E521212" w14:textId="77777777" w:rsidTr="00370359">
        <w:tc>
          <w:tcPr>
            <w:tcW w:w="2830" w:type="dxa"/>
            <w:shd w:val="clear" w:color="auto" w:fill="auto"/>
          </w:tcPr>
          <w:p w14:paraId="59888EB8" w14:textId="77777777" w:rsidR="00B2584A" w:rsidRPr="00E804AC" w:rsidRDefault="00B2584A" w:rsidP="00C62DFE">
            <w:pPr>
              <w:rPr>
                <w:rFonts w:ascii="Times New Roman" w:eastAsia="Calibri" w:hAnsi="Times New Roman" w:cs="Times New Roman"/>
                <w:sz w:val="20"/>
                <w:szCs w:val="20"/>
              </w:rPr>
            </w:pPr>
            <w:r w:rsidRPr="00E804AC">
              <w:rPr>
                <w:rFonts w:ascii="Times New Roman" w:eastAsia="Calibri" w:hAnsi="Times New Roman" w:cs="Times New Roman"/>
                <w:sz w:val="20"/>
                <w:szCs w:val="20"/>
              </w:rPr>
              <w:t>Histology (%)</w:t>
            </w:r>
          </w:p>
        </w:tc>
        <w:tc>
          <w:tcPr>
            <w:tcW w:w="1843" w:type="dxa"/>
            <w:shd w:val="clear" w:color="auto" w:fill="auto"/>
          </w:tcPr>
          <w:p w14:paraId="66D80EE5" w14:textId="77777777" w:rsidR="00B2584A" w:rsidRPr="00E804AC" w:rsidRDefault="00B2584A">
            <w:pPr>
              <w:jc w:val="center"/>
              <w:rPr>
                <w:rFonts w:ascii="Times New Roman" w:eastAsia="Calibri" w:hAnsi="Times New Roman" w:cs="Times New Roman"/>
                <w:sz w:val="20"/>
                <w:szCs w:val="20"/>
              </w:rPr>
            </w:pPr>
          </w:p>
        </w:tc>
        <w:tc>
          <w:tcPr>
            <w:tcW w:w="1843" w:type="dxa"/>
            <w:shd w:val="clear" w:color="auto" w:fill="auto"/>
          </w:tcPr>
          <w:p w14:paraId="09C0502B" w14:textId="77777777" w:rsidR="00B2584A" w:rsidRPr="00E804AC" w:rsidRDefault="00B2584A">
            <w:pPr>
              <w:jc w:val="center"/>
              <w:rPr>
                <w:rFonts w:ascii="Times New Roman" w:eastAsia="Calibri" w:hAnsi="Times New Roman" w:cs="Times New Roman"/>
                <w:sz w:val="20"/>
                <w:szCs w:val="20"/>
              </w:rPr>
            </w:pPr>
          </w:p>
        </w:tc>
        <w:tc>
          <w:tcPr>
            <w:tcW w:w="1984" w:type="dxa"/>
            <w:shd w:val="clear" w:color="auto" w:fill="auto"/>
          </w:tcPr>
          <w:p w14:paraId="31D04775" w14:textId="77777777" w:rsidR="00B2584A" w:rsidRPr="00E804AC" w:rsidRDefault="00B2584A">
            <w:pPr>
              <w:jc w:val="center"/>
              <w:rPr>
                <w:rFonts w:ascii="Times New Roman" w:eastAsia="Calibri" w:hAnsi="Times New Roman" w:cs="Times New Roman"/>
                <w:sz w:val="20"/>
                <w:szCs w:val="20"/>
              </w:rPr>
            </w:pPr>
          </w:p>
        </w:tc>
      </w:tr>
      <w:tr w:rsidR="00B2584A" w:rsidRPr="00E033DA" w14:paraId="01256D9C" w14:textId="77777777" w:rsidTr="00370359">
        <w:tc>
          <w:tcPr>
            <w:tcW w:w="2830" w:type="dxa"/>
            <w:shd w:val="clear" w:color="auto" w:fill="auto"/>
          </w:tcPr>
          <w:p w14:paraId="4D8C09B7" w14:textId="77777777" w:rsidR="00B2584A" w:rsidRPr="00E804AC" w:rsidRDefault="00B2584A" w:rsidP="00C62DFE">
            <w:pPr>
              <w:ind w:firstLine="589"/>
              <w:rPr>
                <w:rFonts w:ascii="Times New Roman" w:eastAsia="Calibri" w:hAnsi="Times New Roman" w:cs="Times New Roman"/>
                <w:sz w:val="20"/>
                <w:szCs w:val="20"/>
              </w:rPr>
            </w:pPr>
            <w:r w:rsidRPr="00E804AC">
              <w:rPr>
                <w:rFonts w:ascii="Times New Roman" w:eastAsia="Calibri" w:hAnsi="Times New Roman" w:cs="Times New Roman"/>
                <w:sz w:val="20"/>
                <w:szCs w:val="20"/>
              </w:rPr>
              <w:t>Adenocarcinoma</w:t>
            </w:r>
          </w:p>
        </w:tc>
        <w:tc>
          <w:tcPr>
            <w:tcW w:w="1843" w:type="dxa"/>
            <w:shd w:val="clear" w:color="auto" w:fill="auto"/>
          </w:tcPr>
          <w:p w14:paraId="105D8EC5"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564 (74.1)</w:t>
            </w:r>
          </w:p>
        </w:tc>
        <w:tc>
          <w:tcPr>
            <w:tcW w:w="1843" w:type="dxa"/>
            <w:shd w:val="clear" w:color="auto" w:fill="auto"/>
          </w:tcPr>
          <w:p w14:paraId="703AD482"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956 (66.6)</w:t>
            </w:r>
          </w:p>
        </w:tc>
        <w:tc>
          <w:tcPr>
            <w:tcW w:w="1984" w:type="dxa"/>
            <w:shd w:val="clear" w:color="auto" w:fill="auto"/>
          </w:tcPr>
          <w:p w14:paraId="1BF7813B"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1520 (69.2)</w:t>
            </w:r>
          </w:p>
        </w:tc>
      </w:tr>
      <w:tr w:rsidR="00B2584A" w:rsidRPr="00E033DA" w14:paraId="4C3E9ED1" w14:textId="77777777" w:rsidTr="00370359">
        <w:tc>
          <w:tcPr>
            <w:tcW w:w="2830" w:type="dxa"/>
            <w:shd w:val="clear" w:color="auto" w:fill="auto"/>
          </w:tcPr>
          <w:p w14:paraId="13EA9D7E" w14:textId="77777777" w:rsidR="00B2584A" w:rsidRPr="00E804AC" w:rsidRDefault="00B2584A" w:rsidP="00C62DFE">
            <w:pPr>
              <w:ind w:firstLine="589"/>
              <w:rPr>
                <w:rFonts w:ascii="Times New Roman" w:eastAsia="Calibri" w:hAnsi="Times New Roman" w:cs="Times New Roman"/>
                <w:sz w:val="20"/>
                <w:szCs w:val="20"/>
              </w:rPr>
            </w:pPr>
            <w:r w:rsidRPr="00E804AC">
              <w:rPr>
                <w:rFonts w:ascii="Times New Roman" w:eastAsia="Calibri" w:hAnsi="Times New Roman" w:cs="Times New Roman"/>
                <w:sz w:val="20"/>
                <w:szCs w:val="20"/>
              </w:rPr>
              <w:t>Large cell</w:t>
            </w:r>
          </w:p>
        </w:tc>
        <w:tc>
          <w:tcPr>
            <w:tcW w:w="1843" w:type="dxa"/>
            <w:shd w:val="clear" w:color="auto" w:fill="auto"/>
          </w:tcPr>
          <w:p w14:paraId="2AA89782"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89 (11.7)</w:t>
            </w:r>
          </w:p>
        </w:tc>
        <w:tc>
          <w:tcPr>
            <w:tcW w:w="1843" w:type="dxa"/>
            <w:shd w:val="clear" w:color="auto" w:fill="auto"/>
          </w:tcPr>
          <w:p w14:paraId="20C92611"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223 (15.5)</w:t>
            </w:r>
          </w:p>
        </w:tc>
        <w:tc>
          <w:tcPr>
            <w:tcW w:w="1984" w:type="dxa"/>
            <w:shd w:val="clear" w:color="auto" w:fill="auto"/>
          </w:tcPr>
          <w:p w14:paraId="5FC60F1C"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312 (14.2)</w:t>
            </w:r>
          </w:p>
        </w:tc>
      </w:tr>
      <w:tr w:rsidR="00B2584A" w:rsidRPr="00E033DA" w14:paraId="79C944F4" w14:textId="77777777" w:rsidTr="00370359">
        <w:tc>
          <w:tcPr>
            <w:tcW w:w="2830" w:type="dxa"/>
            <w:shd w:val="clear" w:color="auto" w:fill="auto"/>
          </w:tcPr>
          <w:p w14:paraId="195FA0D4" w14:textId="77777777" w:rsidR="00B2584A" w:rsidRPr="00E804AC" w:rsidRDefault="00B2584A" w:rsidP="00C62DFE">
            <w:pPr>
              <w:ind w:firstLine="589"/>
              <w:rPr>
                <w:rFonts w:ascii="Times New Roman" w:eastAsia="Calibri" w:hAnsi="Times New Roman" w:cs="Times New Roman"/>
                <w:sz w:val="20"/>
                <w:szCs w:val="20"/>
              </w:rPr>
            </w:pPr>
            <w:r w:rsidRPr="00E804AC">
              <w:rPr>
                <w:rFonts w:ascii="Times New Roman" w:eastAsia="Calibri" w:hAnsi="Times New Roman" w:cs="Times New Roman"/>
                <w:sz w:val="20"/>
                <w:szCs w:val="20"/>
              </w:rPr>
              <w:t>Other or NOS</w:t>
            </w:r>
          </w:p>
        </w:tc>
        <w:tc>
          <w:tcPr>
            <w:tcW w:w="1843" w:type="dxa"/>
            <w:shd w:val="clear" w:color="auto" w:fill="auto"/>
          </w:tcPr>
          <w:p w14:paraId="04A9A3E2"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108 (14.2)</w:t>
            </w:r>
          </w:p>
        </w:tc>
        <w:tc>
          <w:tcPr>
            <w:tcW w:w="1843" w:type="dxa"/>
            <w:shd w:val="clear" w:color="auto" w:fill="auto"/>
          </w:tcPr>
          <w:p w14:paraId="7B00D7C9"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256 (17.8)</w:t>
            </w:r>
          </w:p>
        </w:tc>
        <w:tc>
          <w:tcPr>
            <w:tcW w:w="1984" w:type="dxa"/>
            <w:shd w:val="clear" w:color="auto" w:fill="auto"/>
          </w:tcPr>
          <w:p w14:paraId="6A632D2F"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364 (16.6)</w:t>
            </w:r>
          </w:p>
        </w:tc>
      </w:tr>
      <w:tr w:rsidR="00B2584A" w:rsidRPr="00E033DA" w14:paraId="7ABAAFD7" w14:textId="77777777" w:rsidTr="00370359">
        <w:tc>
          <w:tcPr>
            <w:tcW w:w="2830" w:type="dxa"/>
            <w:shd w:val="clear" w:color="auto" w:fill="auto"/>
          </w:tcPr>
          <w:p w14:paraId="39673F86" w14:textId="77777777" w:rsidR="00B2584A" w:rsidRPr="00E804AC" w:rsidRDefault="00B2584A" w:rsidP="00C62DFE">
            <w:pPr>
              <w:rPr>
                <w:rFonts w:ascii="Times New Roman" w:eastAsia="Calibri" w:hAnsi="Times New Roman" w:cs="Times New Roman"/>
                <w:sz w:val="20"/>
                <w:szCs w:val="20"/>
              </w:rPr>
            </w:pPr>
            <w:r w:rsidRPr="00E804AC">
              <w:rPr>
                <w:rFonts w:ascii="Times New Roman" w:eastAsia="Calibri" w:hAnsi="Times New Roman" w:cs="Times New Roman"/>
                <w:sz w:val="20"/>
                <w:szCs w:val="20"/>
              </w:rPr>
              <w:t>First Line Treatment (%)</w:t>
            </w:r>
          </w:p>
        </w:tc>
        <w:tc>
          <w:tcPr>
            <w:tcW w:w="1843" w:type="dxa"/>
            <w:shd w:val="clear" w:color="auto" w:fill="auto"/>
          </w:tcPr>
          <w:p w14:paraId="48FCCD53" w14:textId="77777777" w:rsidR="00B2584A" w:rsidRPr="00E804AC" w:rsidRDefault="00B2584A">
            <w:pPr>
              <w:rPr>
                <w:rFonts w:ascii="Times New Roman" w:eastAsia="Calibri" w:hAnsi="Times New Roman" w:cs="Times New Roman"/>
                <w:sz w:val="20"/>
                <w:szCs w:val="20"/>
              </w:rPr>
            </w:pPr>
          </w:p>
        </w:tc>
        <w:tc>
          <w:tcPr>
            <w:tcW w:w="1843" w:type="dxa"/>
            <w:shd w:val="clear" w:color="auto" w:fill="auto"/>
          </w:tcPr>
          <w:p w14:paraId="255DB43C" w14:textId="77777777" w:rsidR="00B2584A" w:rsidRPr="00E804AC" w:rsidRDefault="00B2584A">
            <w:pPr>
              <w:rPr>
                <w:rFonts w:ascii="Times New Roman" w:eastAsia="Calibri" w:hAnsi="Times New Roman" w:cs="Times New Roman"/>
                <w:sz w:val="20"/>
                <w:szCs w:val="20"/>
              </w:rPr>
            </w:pPr>
          </w:p>
        </w:tc>
        <w:tc>
          <w:tcPr>
            <w:tcW w:w="1984" w:type="dxa"/>
            <w:shd w:val="clear" w:color="auto" w:fill="auto"/>
          </w:tcPr>
          <w:p w14:paraId="16D8156D" w14:textId="77777777" w:rsidR="00B2584A" w:rsidRPr="00E804AC" w:rsidRDefault="00B2584A">
            <w:pPr>
              <w:rPr>
                <w:rFonts w:ascii="Times New Roman" w:eastAsia="Calibri" w:hAnsi="Times New Roman" w:cs="Times New Roman"/>
                <w:sz w:val="20"/>
                <w:szCs w:val="20"/>
              </w:rPr>
            </w:pPr>
          </w:p>
        </w:tc>
      </w:tr>
      <w:tr w:rsidR="00B2584A" w:rsidRPr="00E033DA" w14:paraId="470F8C56" w14:textId="77777777" w:rsidTr="00370359">
        <w:tc>
          <w:tcPr>
            <w:tcW w:w="2830" w:type="dxa"/>
            <w:shd w:val="clear" w:color="auto" w:fill="auto"/>
          </w:tcPr>
          <w:p w14:paraId="66F8C29D" w14:textId="77777777" w:rsidR="00B2584A" w:rsidRPr="00E804AC" w:rsidRDefault="00B2584A" w:rsidP="00C62DFE">
            <w:pPr>
              <w:rPr>
                <w:rFonts w:ascii="Times New Roman" w:eastAsia="Calibri" w:hAnsi="Times New Roman" w:cs="Times New Roman"/>
                <w:sz w:val="20"/>
                <w:szCs w:val="20"/>
              </w:rPr>
            </w:pPr>
            <w:proofErr w:type="spellStart"/>
            <w:r w:rsidRPr="00E804AC">
              <w:rPr>
                <w:rFonts w:ascii="Times New Roman" w:eastAsia="Calibri" w:hAnsi="Times New Roman" w:cs="Times New Roman"/>
                <w:sz w:val="20"/>
                <w:szCs w:val="20"/>
              </w:rPr>
              <w:t>Cisp</w:t>
            </w:r>
            <w:proofErr w:type="spellEnd"/>
            <w:r w:rsidRPr="00E804AC">
              <w:rPr>
                <w:rFonts w:ascii="Times New Roman" w:eastAsia="Calibri" w:hAnsi="Times New Roman" w:cs="Times New Roman"/>
                <w:sz w:val="20"/>
                <w:szCs w:val="20"/>
              </w:rPr>
              <w:t>. D</w:t>
            </w:r>
          </w:p>
        </w:tc>
        <w:tc>
          <w:tcPr>
            <w:tcW w:w="1843" w:type="dxa"/>
            <w:shd w:val="clear" w:color="auto" w:fill="auto"/>
          </w:tcPr>
          <w:p w14:paraId="704EF672" w14:textId="77777777" w:rsidR="00B2584A" w:rsidRPr="00E804AC" w:rsidRDefault="00B2584A">
            <w:pPr>
              <w:rPr>
                <w:rFonts w:ascii="Times New Roman" w:eastAsia="Calibri" w:hAnsi="Times New Roman" w:cs="Times New Roman"/>
                <w:sz w:val="20"/>
                <w:szCs w:val="20"/>
              </w:rPr>
            </w:pPr>
          </w:p>
        </w:tc>
        <w:tc>
          <w:tcPr>
            <w:tcW w:w="1843" w:type="dxa"/>
            <w:shd w:val="clear" w:color="auto" w:fill="auto"/>
          </w:tcPr>
          <w:p w14:paraId="20516575" w14:textId="77777777" w:rsidR="00B2584A" w:rsidRPr="00E804AC" w:rsidRDefault="00B2584A">
            <w:pPr>
              <w:rPr>
                <w:rFonts w:ascii="Times New Roman" w:eastAsia="Calibri" w:hAnsi="Times New Roman" w:cs="Times New Roman"/>
                <w:sz w:val="20"/>
                <w:szCs w:val="20"/>
              </w:rPr>
            </w:pPr>
          </w:p>
        </w:tc>
        <w:tc>
          <w:tcPr>
            <w:tcW w:w="1984" w:type="dxa"/>
            <w:shd w:val="clear" w:color="auto" w:fill="auto"/>
          </w:tcPr>
          <w:p w14:paraId="6DADFEA9" w14:textId="77777777" w:rsidR="00B2584A" w:rsidRPr="00E804AC" w:rsidRDefault="00B2584A">
            <w:pPr>
              <w:rPr>
                <w:rFonts w:ascii="Times New Roman" w:eastAsia="Calibri" w:hAnsi="Times New Roman" w:cs="Times New Roman"/>
                <w:sz w:val="20"/>
                <w:szCs w:val="20"/>
              </w:rPr>
            </w:pPr>
          </w:p>
        </w:tc>
      </w:tr>
      <w:tr w:rsidR="00B2584A" w:rsidRPr="00E033DA" w14:paraId="5927CFD1" w14:textId="77777777" w:rsidTr="00370359">
        <w:tc>
          <w:tcPr>
            <w:tcW w:w="2830" w:type="dxa"/>
            <w:shd w:val="clear" w:color="auto" w:fill="auto"/>
          </w:tcPr>
          <w:p w14:paraId="3A878B4C" w14:textId="77777777" w:rsidR="00B2584A" w:rsidRPr="00E804AC" w:rsidRDefault="00B2584A" w:rsidP="00C62DFE">
            <w:pPr>
              <w:ind w:firstLine="313"/>
              <w:rPr>
                <w:rFonts w:ascii="Times New Roman" w:eastAsia="Calibri" w:hAnsi="Times New Roman" w:cs="Times New Roman"/>
                <w:sz w:val="20"/>
                <w:szCs w:val="20"/>
              </w:rPr>
            </w:pPr>
            <w:r w:rsidRPr="00E804AC">
              <w:rPr>
                <w:rFonts w:ascii="Times New Roman" w:eastAsia="Calibri" w:hAnsi="Times New Roman" w:cs="Times New Roman"/>
                <w:sz w:val="20"/>
                <w:szCs w:val="20"/>
              </w:rPr>
              <w:t>Cisplatin-pemetrexed</w:t>
            </w:r>
          </w:p>
        </w:tc>
        <w:tc>
          <w:tcPr>
            <w:tcW w:w="1843" w:type="dxa"/>
            <w:shd w:val="clear" w:color="auto" w:fill="auto"/>
          </w:tcPr>
          <w:p w14:paraId="7CF7A418"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291 (</w:t>
            </w:r>
            <w:r w:rsidRPr="00E804AC">
              <w:rPr>
                <w:rFonts w:ascii="Times New Roman" w:eastAsia="Calibri" w:hAnsi="Times New Roman" w:cs="Times New Roman"/>
                <w:i/>
                <w:sz w:val="20"/>
                <w:szCs w:val="20"/>
              </w:rPr>
              <w:t>38.2</w:t>
            </w:r>
            <w:r w:rsidRPr="00E804AC">
              <w:rPr>
                <w:rFonts w:ascii="Times New Roman" w:eastAsia="Calibri" w:hAnsi="Times New Roman" w:cs="Times New Roman"/>
                <w:sz w:val="20"/>
                <w:szCs w:val="20"/>
              </w:rPr>
              <w:t>)</w:t>
            </w:r>
          </w:p>
        </w:tc>
        <w:tc>
          <w:tcPr>
            <w:tcW w:w="1843" w:type="dxa"/>
            <w:shd w:val="clear" w:color="auto" w:fill="auto"/>
          </w:tcPr>
          <w:p w14:paraId="435F237B"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w:t>
            </w:r>
          </w:p>
        </w:tc>
        <w:tc>
          <w:tcPr>
            <w:tcW w:w="1984" w:type="dxa"/>
            <w:shd w:val="clear" w:color="auto" w:fill="auto"/>
          </w:tcPr>
          <w:p w14:paraId="33E0FBC7"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291 (13.3)</w:t>
            </w:r>
          </w:p>
        </w:tc>
      </w:tr>
      <w:tr w:rsidR="00B2584A" w:rsidRPr="00E033DA" w14:paraId="0AF9549D" w14:textId="77777777" w:rsidTr="00370359">
        <w:tc>
          <w:tcPr>
            <w:tcW w:w="2830" w:type="dxa"/>
            <w:shd w:val="clear" w:color="auto" w:fill="auto"/>
          </w:tcPr>
          <w:p w14:paraId="675C6C8D" w14:textId="77777777" w:rsidR="00B2584A" w:rsidRPr="00E804AC" w:rsidRDefault="00B2584A" w:rsidP="00C62DFE">
            <w:pPr>
              <w:ind w:firstLine="313"/>
              <w:rPr>
                <w:rFonts w:ascii="Times New Roman" w:eastAsia="Calibri" w:hAnsi="Times New Roman" w:cs="Times New Roman"/>
                <w:sz w:val="20"/>
                <w:szCs w:val="20"/>
              </w:rPr>
            </w:pPr>
            <w:r w:rsidRPr="00E804AC">
              <w:rPr>
                <w:rFonts w:ascii="Times New Roman" w:eastAsia="Calibri" w:hAnsi="Times New Roman" w:cs="Times New Roman"/>
                <w:sz w:val="20"/>
                <w:szCs w:val="20"/>
              </w:rPr>
              <w:t>Cisplatin-gemcitabine</w:t>
            </w:r>
          </w:p>
        </w:tc>
        <w:tc>
          <w:tcPr>
            <w:tcW w:w="1843" w:type="dxa"/>
            <w:shd w:val="clear" w:color="auto" w:fill="auto"/>
          </w:tcPr>
          <w:p w14:paraId="5FBD3F14"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90 (</w:t>
            </w:r>
            <w:r w:rsidRPr="00E804AC">
              <w:rPr>
                <w:rFonts w:ascii="Times New Roman" w:eastAsia="Calibri" w:hAnsi="Times New Roman" w:cs="Times New Roman"/>
                <w:i/>
                <w:sz w:val="20"/>
                <w:szCs w:val="20"/>
              </w:rPr>
              <w:t>11.8</w:t>
            </w:r>
            <w:r w:rsidRPr="00E804AC">
              <w:rPr>
                <w:rFonts w:ascii="Times New Roman" w:eastAsia="Calibri" w:hAnsi="Times New Roman" w:cs="Times New Roman"/>
                <w:sz w:val="20"/>
                <w:szCs w:val="20"/>
              </w:rPr>
              <w:t>)</w:t>
            </w:r>
          </w:p>
        </w:tc>
        <w:tc>
          <w:tcPr>
            <w:tcW w:w="1843" w:type="dxa"/>
            <w:shd w:val="clear" w:color="auto" w:fill="auto"/>
          </w:tcPr>
          <w:p w14:paraId="7A29C4A5"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w:t>
            </w:r>
          </w:p>
        </w:tc>
        <w:tc>
          <w:tcPr>
            <w:tcW w:w="1984" w:type="dxa"/>
            <w:shd w:val="clear" w:color="auto" w:fill="auto"/>
          </w:tcPr>
          <w:p w14:paraId="2F69DABD"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90 (4.1)</w:t>
            </w:r>
          </w:p>
        </w:tc>
      </w:tr>
      <w:tr w:rsidR="00B2584A" w:rsidRPr="00E033DA" w14:paraId="0DE3F1DC" w14:textId="77777777" w:rsidTr="00370359">
        <w:tc>
          <w:tcPr>
            <w:tcW w:w="2830" w:type="dxa"/>
            <w:shd w:val="clear" w:color="auto" w:fill="auto"/>
          </w:tcPr>
          <w:p w14:paraId="1A2FB73F" w14:textId="77777777" w:rsidR="00B2584A" w:rsidRPr="00E804AC" w:rsidRDefault="00B2584A" w:rsidP="00C62DFE">
            <w:pPr>
              <w:rPr>
                <w:rFonts w:ascii="Times New Roman" w:eastAsia="Calibri" w:hAnsi="Times New Roman" w:cs="Times New Roman"/>
                <w:sz w:val="20"/>
                <w:szCs w:val="20"/>
              </w:rPr>
            </w:pPr>
            <w:r w:rsidRPr="00E804AC">
              <w:rPr>
                <w:rFonts w:ascii="Times New Roman" w:eastAsia="Calibri" w:hAnsi="Times New Roman" w:cs="Times New Roman"/>
                <w:sz w:val="20"/>
                <w:szCs w:val="20"/>
              </w:rPr>
              <w:t>Carbo. D</w:t>
            </w:r>
          </w:p>
        </w:tc>
        <w:tc>
          <w:tcPr>
            <w:tcW w:w="1843" w:type="dxa"/>
            <w:shd w:val="clear" w:color="auto" w:fill="auto"/>
          </w:tcPr>
          <w:p w14:paraId="3395A5CF" w14:textId="77777777" w:rsidR="00B2584A" w:rsidRPr="00E804AC" w:rsidRDefault="00B2584A">
            <w:pPr>
              <w:jc w:val="center"/>
              <w:rPr>
                <w:rFonts w:ascii="Times New Roman" w:eastAsia="Calibri" w:hAnsi="Times New Roman" w:cs="Times New Roman"/>
                <w:sz w:val="20"/>
                <w:szCs w:val="20"/>
              </w:rPr>
            </w:pPr>
          </w:p>
        </w:tc>
        <w:tc>
          <w:tcPr>
            <w:tcW w:w="1843" w:type="dxa"/>
            <w:shd w:val="clear" w:color="auto" w:fill="auto"/>
          </w:tcPr>
          <w:p w14:paraId="0F06B957" w14:textId="77777777" w:rsidR="00B2584A" w:rsidRPr="00E804AC" w:rsidRDefault="00B2584A">
            <w:pPr>
              <w:jc w:val="center"/>
              <w:rPr>
                <w:rFonts w:ascii="Times New Roman" w:eastAsia="Calibri" w:hAnsi="Times New Roman" w:cs="Times New Roman"/>
                <w:sz w:val="20"/>
                <w:szCs w:val="20"/>
              </w:rPr>
            </w:pPr>
          </w:p>
        </w:tc>
        <w:tc>
          <w:tcPr>
            <w:tcW w:w="1984" w:type="dxa"/>
            <w:shd w:val="clear" w:color="auto" w:fill="auto"/>
          </w:tcPr>
          <w:p w14:paraId="1000E87E" w14:textId="77777777" w:rsidR="00B2584A" w:rsidRPr="00E804AC" w:rsidRDefault="00B2584A">
            <w:pPr>
              <w:jc w:val="center"/>
              <w:rPr>
                <w:rFonts w:ascii="Times New Roman" w:eastAsia="Calibri" w:hAnsi="Times New Roman" w:cs="Times New Roman"/>
                <w:sz w:val="20"/>
                <w:szCs w:val="20"/>
              </w:rPr>
            </w:pPr>
          </w:p>
        </w:tc>
      </w:tr>
      <w:tr w:rsidR="00B2584A" w:rsidRPr="00E033DA" w14:paraId="7724A886" w14:textId="77777777" w:rsidTr="00370359">
        <w:tc>
          <w:tcPr>
            <w:tcW w:w="2830" w:type="dxa"/>
            <w:shd w:val="clear" w:color="auto" w:fill="auto"/>
          </w:tcPr>
          <w:p w14:paraId="7CC22E5B" w14:textId="77777777" w:rsidR="00B2584A" w:rsidRPr="00E804AC" w:rsidRDefault="00B2584A" w:rsidP="00C62DFE">
            <w:pPr>
              <w:ind w:left="1021" w:hanging="708"/>
              <w:rPr>
                <w:rFonts w:ascii="Times New Roman" w:eastAsia="Calibri" w:hAnsi="Times New Roman" w:cs="Times New Roman"/>
                <w:sz w:val="20"/>
                <w:szCs w:val="20"/>
              </w:rPr>
            </w:pPr>
            <w:r w:rsidRPr="00E804AC">
              <w:rPr>
                <w:rFonts w:ascii="Times New Roman" w:eastAsia="Calibri" w:hAnsi="Times New Roman" w:cs="Times New Roman"/>
                <w:sz w:val="20"/>
                <w:szCs w:val="20"/>
              </w:rPr>
              <w:t>Carboplatin-pemetrexed</w:t>
            </w:r>
          </w:p>
        </w:tc>
        <w:tc>
          <w:tcPr>
            <w:tcW w:w="1843" w:type="dxa"/>
            <w:shd w:val="clear" w:color="auto" w:fill="auto"/>
          </w:tcPr>
          <w:p w14:paraId="4079440E"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195 (</w:t>
            </w:r>
            <w:r w:rsidRPr="00E804AC">
              <w:rPr>
                <w:rFonts w:ascii="Times New Roman" w:eastAsia="Calibri" w:hAnsi="Times New Roman" w:cs="Times New Roman"/>
                <w:i/>
                <w:sz w:val="20"/>
                <w:szCs w:val="20"/>
              </w:rPr>
              <w:t>25.6</w:t>
            </w:r>
            <w:r w:rsidRPr="00E804AC">
              <w:rPr>
                <w:rFonts w:ascii="Times New Roman" w:eastAsia="Calibri" w:hAnsi="Times New Roman" w:cs="Times New Roman"/>
                <w:sz w:val="20"/>
                <w:szCs w:val="20"/>
              </w:rPr>
              <w:t>)</w:t>
            </w:r>
          </w:p>
        </w:tc>
        <w:tc>
          <w:tcPr>
            <w:tcW w:w="1843" w:type="dxa"/>
            <w:shd w:val="clear" w:color="auto" w:fill="auto"/>
          </w:tcPr>
          <w:p w14:paraId="0734B59D"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w:t>
            </w:r>
          </w:p>
        </w:tc>
        <w:tc>
          <w:tcPr>
            <w:tcW w:w="1984" w:type="dxa"/>
            <w:shd w:val="clear" w:color="auto" w:fill="auto"/>
          </w:tcPr>
          <w:p w14:paraId="0C280A6D"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195 (8.9)</w:t>
            </w:r>
          </w:p>
        </w:tc>
      </w:tr>
      <w:tr w:rsidR="00B2584A" w:rsidRPr="00E033DA" w14:paraId="144566C7" w14:textId="77777777" w:rsidTr="00370359">
        <w:tc>
          <w:tcPr>
            <w:tcW w:w="2830" w:type="dxa"/>
            <w:shd w:val="clear" w:color="auto" w:fill="auto"/>
          </w:tcPr>
          <w:p w14:paraId="54620DF8" w14:textId="77777777" w:rsidR="00B2584A" w:rsidRPr="00E804AC" w:rsidRDefault="00B2584A" w:rsidP="00C62DFE">
            <w:pPr>
              <w:ind w:left="1021" w:hanging="708"/>
              <w:rPr>
                <w:rFonts w:ascii="Times New Roman" w:eastAsia="Calibri" w:hAnsi="Times New Roman" w:cs="Times New Roman"/>
                <w:sz w:val="20"/>
                <w:szCs w:val="20"/>
              </w:rPr>
            </w:pPr>
            <w:r w:rsidRPr="00E804AC">
              <w:rPr>
                <w:rFonts w:ascii="Times New Roman" w:eastAsia="Calibri" w:hAnsi="Times New Roman" w:cs="Times New Roman"/>
                <w:sz w:val="20"/>
                <w:szCs w:val="20"/>
              </w:rPr>
              <w:t>Carboplatin-gemcitabine</w:t>
            </w:r>
          </w:p>
        </w:tc>
        <w:tc>
          <w:tcPr>
            <w:tcW w:w="1843" w:type="dxa"/>
            <w:shd w:val="clear" w:color="auto" w:fill="auto"/>
          </w:tcPr>
          <w:p w14:paraId="50BED582"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87 (</w:t>
            </w:r>
            <w:r w:rsidRPr="00E804AC">
              <w:rPr>
                <w:rFonts w:ascii="Times New Roman" w:eastAsia="Calibri" w:hAnsi="Times New Roman" w:cs="Times New Roman"/>
                <w:i/>
                <w:sz w:val="20"/>
                <w:szCs w:val="20"/>
              </w:rPr>
              <w:t>11.4</w:t>
            </w:r>
            <w:r w:rsidRPr="00E804AC">
              <w:rPr>
                <w:rFonts w:ascii="Times New Roman" w:eastAsia="Calibri" w:hAnsi="Times New Roman" w:cs="Times New Roman"/>
                <w:sz w:val="20"/>
                <w:szCs w:val="20"/>
              </w:rPr>
              <w:t>)</w:t>
            </w:r>
          </w:p>
        </w:tc>
        <w:tc>
          <w:tcPr>
            <w:tcW w:w="1843" w:type="dxa"/>
            <w:shd w:val="clear" w:color="auto" w:fill="auto"/>
          </w:tcPr>
          <w:p w14:paraId="4411C414"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w:t>
            </w:r>
          </w:p>
        </w:tc>
        <w:tc>
          <w:tcPr>
            <w:tcW w:w="1984" w:type="dxa"/>
            <w:shd w:val="clear" w:color="auto" w:fill="auto"/>
          </w:tcPr>
          <w:p w14:paraId="789C03A9"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87 (4.0)</w:t>
            </w:r>
          </w:p>
        </w:tc>
      </w:tr>
      <w:tr w:rsidR="00B2584A" w:rsidRPr="00E033DA" w14:paraId="7C86AC6B" w14:textId="77777777" w:rsidTr="00370359">
        <w:tc>
          <w:tcPr>
            <w:tcW w:w="2830" w:type="dxa"/>
            <w:shd w:val="clear" w:color="auto" w:fill="auto"/>
          </w:tcPr>
          <w:p w14:paraId="4584A7D9" w14:textId="77777777" w:rsidR="00B2584A" w:rsidRPr="00E804AC" w:rsidRDefault="00B2584A" w:rsidP="00C62DFE">
            <w:pPr>
              <w:ind w:left="592" w:hanging="279"/>
              <w:rPr>
                <w:rFonts w:ascii="Times New Roman" w:eastAsia="Calibri" w:hAnsi="Times New Roman" w:cs="Times New Roman"/>
                <w:sz w:val="20"/>
                <w:szCs w:val="20"/>
              </w:rPr>
            </w:pPr>
            <w:r w:rsidRPr="00E804AC">
              <w:rPr>
                <w:rFonts w:ascii="Times New Roman" w:eastAsia="Calibri" w:hAnsi="Times New Roman" w:cs="Times New Roman"/>
                <w:sz w:val="20"/>
                <w:szCs w:val="20"/>
              </w:rPr>
              <w:t>Bevacizumab-carboplatin- paclitaxel</w:t>
            </w:r>
          </w:p>
        </w:tc>
        <w:tc>
          <w:tcPr>
            <w:tcW w:w="1843" w:type="dxa"/>
            <w:shd w:val="clear" w:color="auto" w:fill="auto"/>
          </w:tcPr>
          <w:p w14:paraId="0D281B95"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60 (</w:t>
            </w:r>
            <w:r w:rsidRPr="00E804AC">
              <w:rPr>
                <w:rFonts w:ascii="Times New Roman" w:eastAsia="Calibri" w:hAnsi="Times New Roman" w:cs="Times New Roman"/>
                <w:i/>
                <w:sz w:val="20"/>
                <w:szCs w:val="20"/>
              </w:rPr>
              <w:t>7.9</w:t>
            </w:r>
            <w:r w:rsidRPr="00E804AC">
              <w:rPr>
                <w:rFonts w:ascii="Times New Roman" w:eastAsia="Calibri" w:hAnsi="Times New Roman" w:cs="Times New Roman"/>
                <w:sz w:val="20"/>
                <w:szCs w:val="20"/>
              </w:rPr>
              <w:t>)</w:t>
            </w:r>
          </w:p>
        </w:tc>
        <w:tc>
          <w:tcPr>
            <w:tcW w:w="1843" w:type="dxa"/>
            <w:shd w:val="clear" w:color="auto" w:fill="auto"/>
          </w:tcPr>
          <w:p w14:paraId="56B6DE3F"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w:t>
            </w:r>
          </w:p>
        </w:tc>
        <w:tc>
          <w:tcPr>
            <w:tcW w:w="1984" w:type="dxa"/>
            <w:shd w:val="clear" w:color="auto" w:fill="auto"/>
          </w:tcPr>
          <w:p w14:paraId="4078FCCA"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60 (2.7)</w:t>
            </w:r>
          </w:p>
        </w:tc>
      </w:tr>
      <w:tr w:rsidR="00B2584A" w:rsidRPr="00E033DA" w14:paraId="728123C1" w14:textId="77777777" w:rsidTr="00370359">
        <w:tc>
          <w:tcPr>
            <w:tcW w:w="2830" w:type="dxa"/>
            <w:shd w:val="clear" w:color="auto" w:fill="auto"/>
          </w:tcPr>
          <w:p w14:paraId="5591794F" w14:textId="77777777" w:rsidR="00B2584A" w:rsidRPr="00E804AC" w:rsidRDefault="00B2584A" w:rsidP="00C62DFE">
            <w:pPr>
              <w:ind w:firstLine="313"/>
              <w:rPr>
                <w:rFonts w:ascii="Times New Roman" w:eastAsia="Calibri" w:hAnsi="Times New Roman" w:cs="Times New Roman"/>
                <w:sz w:val="20"/>
                <w:szCs w:val="20"/>
              </w:rPr>
            </w:pPr>
            <w:r w:rsidRPr="00E804AC">
              <w:rPr>
                <w:rFonts w:ascii="Times New Roman" w:eastAsia="Calibri" w:hAnsi="Times New Roman" w:cs="Times New Roman"/>
                <w:sz w:val="20"/>
                <w:szCs w:val="20"/>
              </w:rPr>
              <w:t>Carboplatin-docetaxel</w:t>
            </w:r>
          </w:p>
        </w:tc>
        <w:tc>
          <w:tcPr>
            <w:tcW w:w="1843" w:type="dxa"/>
            <w:shd w:val="clear" w:color="auto" w:fill="auto"/>
          </w:tcPr>
          <w:p w14:paraId="48E7B007"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38 (</w:t>
            </w:r>
            <w:r w:rsidRPr="00E804AC">
              <w:rPr>
                <w:rFonts w:ascii="Times New Roman" w:eastAsia="Calibri" w:hAnsi="Times New Roman" w:cs="Times New Roman"/>
                <w:i/>
                <w:sz w:val="20"/>
                <w:szCs w:val="20"/>
              </w:rPr>
              <w:t>5.0</w:t>
            </w:r>
            <w:r w:rsidRPr="00E804AC">
              <w:rPr>
                <w:rFonts w:ascii="Times New Roman" w:eastAsia="Calibri" w:hAnsi="Times New Roman" w:cs="Times New Roman"/>
                <w:sz w:val="20"/>
                <w:szCs w:val="20"/>
              </w:rPr>
              <w:t>)</w:t>
            </w:r>
          </w:p>
        </w:tc>
        <w:tc>
          <w:tcPr>
            <w:tcW w:w="1843" w:type="dxa"/>
            <w:shd w:val="clear" w:color="auto" w:fill="auto"/>
          </w:tcPr>
          <w:p w14:paraId="7B58DEB2"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w:t>
            </w:r>
          </w:p>
        </w:tc>
        <w:tc>
          <w:tcPr>
            <w:tcW w:w="1984" w:type="dxa"/>
            <w:shd w:val="clear" w:color="auto" w:fill="auto"/>
          </w:tcPr>
          <w:p w14:paraId="1B6450EC"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38 (1.7)</w:t>
            </w:r>
          </w:p>
        </w:tc>
      </w:tr>
      <w:tr w:rsidR="00B2584A" w:rsidRPr="00E033DA" w14:paraId="19943ED2" w14:textId="77777777" w:rsidTr="00370359">
        <w:tc>
          <w:tcPr>
            <w:tcW w:w="2830" w:type="dxa"/>
            <w:shd w:val="clear" w:color="auto" w:fill="auto"/>
          </w:tcPr>
          <w:p w14:paraId="5F45A1E4" w14:textId="77777777" w:rsidR="00B2584A" w:rsidRPr="00E804AC" w:rsidRDefault="00B2584A" w:rsidP="00C62DFE">
            <w:pPr>
              <w:rPr>
                <w:rFonts w:ascii="Times New Roman" w:eastAsia="Calibri" w:hAnsi="Times New Roman" w:cs="Times New Roman"/>
                <w:sz w:val="20"/>
                <w:szCs w:val="20"/>
              </w:rPr>
            </w:pPr>
            <w:r w:rsidRPr="00E804AC">
              <w:rPr>
                <w:rFonts w:ascii="Times New Roman" w:eastAsia="Calibri" w:hAnsi="Times New Roman" w:cs="Times New Roman"/>
                <w:sz w:val="20"/>
                <w:szCs w:val="20"/>
              </w:rPr>
              <w:t>BSC</w:t>
            </w:r>
          </w:p>
        </w:tc>
        <w:tc>
          <w:tcPr>
            <w:tcW w:w="1843" w:type="dxa"/>
            <w:shd w:val="clear" w:color="auto" w:fill="auto"/>
          </w:tcPr>
          <w:p w14:paraId="0D608E8F"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w:t>
            </w:r>
          </w:p>
        </w:tc>
        <w:tc>
          <w:tcPr>
            <w:tcW w:w="1843" w:type="dxa"/>
            <w:shd w:val="clear" w:color="auto" w:fill="auto"/>
          </w:tcPr>
          <w:p w14:paraId="4C49B88C"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w:t>
            </w:r>
          </w:p>
        </w:tc>
        <w:tc>
          <w:tcPr>
            <w:tcW w:w="1984" w:type="dxa"/>
            <w:shd w:val="clear" w:color="auto" w:fill="auto"/>
          </w:tcPr>
          <w:p w14:paraId="4339C054" w14:textId="77777777" w:rsidR="00B2584A" w:rsidRPr="00E804AC" w:rsidDel="00C8644D"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65.34</w:t>
            </w:r>
          </w:p>
        </w:tc>
      </w:tr>
      <w:tr w:rsidR="00B2584A" w:rsidRPr="00E033DA" w14:paraId="6D01FE31" w14:textId="77777777" w:rsidTr="00370359">
        <w:tc>
          <w:tcPr>
            <w:tcW w:w="2830" w:type="dxa"/>
            <w:shd w:val="clear" w:color="auto" w:fill="auto"/>
          </w:tcPr>
          <w:p w14:paraId="673AABC5" w14:textId="77777777" w:rsidR="00B2584A" w:rsidRPr="00E804AC" w:rsidRDefault="00B2584A" w:rsidP="00C62DFE">
            <w:pPr>
              <w:rPr>
                <w:rFonts w:ascii="Times New Roman" w:eastAsia="Calibri" w:hAnsi="Times New Roman" w:cs="Times New Roman"/>
                <w:sz w:val="20"/>
                <w:szCs w:val="20"/>
              </w:rPr>
            </w:pPr>
            <w:r w:rsidRPr="00E804AC">
              <w:rPr>
                <w:rFonts w:ascii="Times New Roman" w:eastAsia="Calibri" w:hAnsi="Times New Roman" w:cs="Times New Roman"/>
                <w:sz w:val="20"/>
                <w:szCs w:val="20"/>
              </w:rPr>
              <w:t xml:space="preserve">Total </w:t>
            </w:r>
          </w:p>
        </w:tc>
        <w:tc>
          <w:tcPr>
            <w:tcW w:w="1843" w:type="dxa"/>
            <w:shd w:val="clear" w:color="auto" w:fill="auto"/>
          </w:tcPr>
          <w:p w14:paraId="50DC8838"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761 (34.7)</w:t>
            </w:r>
          </w:p>
        </w:tc>
        <w:tc>
          <w:tcPr>
            <w:tcW w:w="1843" w:type="dxa"/>
            <w:shd w:val="clear" w:color="auto" w:fill="auto"/>
          </w:tcPr>
          <w:p w14:paraId="3762BC83"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1435 (65.3)</w:t>
            </w:r>
          </w:p>
        </w:tc>
        <w:tc>
          <w:tcPr>
            <w:tcW w:w="1984" w:type="dxa"/>
            <w:shd w:val="clear" w:color="auto" w:fill="auto"/>
          </w:tcPr>
          <w:p w14:paraId="61E6C435" w14:textId="77777777" w:rsidR="00B2584A" w:rsidRPr="00E804AC" w:rsidRDefault="00B2584A">
            <w:pPr>
              <w:jc w:val="center"/>
              <w:rPr>
                <w:rFonts w:ascii="Times New Roman" w:eastAsia="Calibri" w:hAnsi="Times New Roman" w:cs="Times New Roman"/>
                <w:sz w:val="20"/>
                <w:szCs w:val="20"/>
              </w:rPr>
            </w:pPr>
            <w:r w:rsidRPr="00E804AC">
              <w:rPr>
                <w:rFonts w:ascii="Times New Roman" w:eastAsia="Calibri" w:hAnsi="Times New Roman" w:cs="Times New Roman"/>
                <w:sz w:val="20"/>
                <w:szCs w:val="20"/>
              </w:rPr>
              <w:t>2196 (100)</w:t>
            </w:r>
          </w:p>
        </w:tc>
      </w:tr>
    </w:tbl>
    <w:p w14:paraId="059C5CBE" w14:textId="5A2D49B0" w:rsidR="00E9120B" w:rsidRDefault="00B2584A" w:rsidP="00E9120B">
      <w:pPr>
        <w:spacing w:after="200" w:line="480" w:lineRule="auto"/>
        <w:ind w:right="521"/>
        <w:jc w:val="both"/>
        <w:rPr>
          <w:rFonts w:ascii="Times New Roman" w:eastAsia="Calibri" w:hAnsi="Times New Roman" w:cs="Times New Roman"/>
          <w:sz w:val="18"/>
          <w:szCs w:val="18"/>
        </w:rPr>
      </w:pPr>
      <w:r w:rsidRPr="00E804AC">
        <w:rPr>
          <w:rFonts w:ascii="Times New Roman" w:eastAsia="Calibri" w:hAnsi="Times New Roman" w:cs="Times New Roman"/>
          <w:sz w:val="18"/>
          <w:szCs w:val="18"/>
        </w:rPr>
        <w:t xml:space="preserve">Note: </w:t>
      </w:r>
      <w:r w:rsidRPr="00E804AC">
        <w:rPr>
          <w:rFonts w:ascii="Times New Roman" w:eastAsia="Calibri" w:hAnsi="Times New Roman" w:cs="Times New Roman"/>
          <w:sz w:val="18"/>
          <w:szCs w:val="18"/>
          <w:lang w:val="en-GB"/>
        </w:rPr>
        <w:t xml:space="preserve">PS, Eastern Cooperative Oncology Group performance status; CCI, </w:t>
      </w:r>
      <w:proofErr w:type="spellStart"/>
      <w:r w:rsidRPr="00E804AC">
        <w:rPr>
          <w:rFonts w:ascii="Times New Roman" w:eastAsia="Calibri" w:hAnsi="Times New Roman" w:cs="Times New Roman"/>
          <w:sz w:val="18"/>
          <w:szCs w:val="18"/>
          <w:lang w:val="en-GB"/>
        </w:rPr>
        <w:t>Charlson</w:t>
      </w:r>
      <w:proofErr w:type="spellEnd"/>
      <w:r w:rsidRPr="00E804AC">
        <w:rPr>
          <w:rFonts w:ascii="Times New Roman" w:eastAsia="Calibri" w:hAnsi="Times New Roman" w:cs="Times New Roman"/>
          <w:sz w:val="18"/>
          <w:szCs w:val="18"/>
          <w:lang w:val="en-GB"/>
        </w:rPr>
        <w:t xml:space="preserve"> comorbidity index; Year, year of diagnosis; Age, age at diagnosis; BSC, best supportive care; </w:t>
      </w:r>
      <w:proofErr w:type="spellStart"/>
      <w:r w:rsidRPr="00E804AC">
        <w:rPr>
          <w:rFonts w:ascii="Times New Roman" w:eastAsia="Calibri" w:hAnsi="Times New Roman" w:cs="Times New Roman"/>
          <w:sz w:val="18"/>
          <w:szCs w:val="18"/>
          <w:lang w:val="en-GB"/>
        </w:rPr>
        <w:t>Syst</w:t>
      </w:r>
      <w:proofErr w:type="spellEnd"/>
      <w:r w:rsidRPr="00E804AC">
        <w:rPr>
          <w:rFonts w:ascii="Times New Roman" w:eastAsia="Calibri" w:hAnsi="Times New Roman" w:cs="Times New Roman"/>
          <w:sz w:val="18"/>
          <w:szCs w:val="18"/>
          <w:lang w:val="en-GB"/>
        </w:rPr>
        <w:t xml:space="preserve">, systemic chemotherapy; </w:t>
      </w:r>
      <w:proofErr w:type="spellStart"/>
      <w:r w:rsidRPr="00E804AC">
        <w:rPr>
          <w:rFonts w:ascii="Times New Roman" w:eastAsia="Calibri" w:hAnsi="Times New Roman" w:cs="Times New Roman"/>
          <w:sz w:val="18"/>
          <w:szCs w:val="18"/>
          <w:lang w:val="en-GB"/>
        </w:rPr>
        <w:t>Cisp</w:t>
      </w:r>
      <w:proofErr w:type="spellEnd"/>
      <w:r w:rsidRPr="00E804AC">
        <w:rPr>
          <w:rFonts w:ascii="Times New Roman" w:eastAsia="Calibri" w:hAnsi="Times New Roman" w:cs="Times New Roman"/>
          <w:sz w:val="18"/>
          <w:szCs w:val="18"/>
          <w:lang w:val="en-GB"/>
        </w:rPr>
        <w:t>. D, Cisplatin doublet chemotherapy; Carbo. D, Carboplatin doublet chemotherapy</w:t>
      </w:r>
      <w:r w:rsidRPr="00E804AC">
        <w:rPr>
          <w:rFonts w:ascii="Times New Roman" w:eastAsia="Calibri" w:hAnsi="Times New Roman" w:cs="Times New Roman"/>
          <w:sz w:val="18"/>
          <w:szCs w:val="18"/>
        </w:rPr>
        <w:t xml:space="preserve">; std. Error – standard error of the mean. NB., This table provides description of 2196 non squamous cell patients received standard chemotherapy or best supportive care, for more details on the complete cohort, we refer to </w:t>
      </w:r>
      <w:r w:rsidRPr="00E804AC">
        <w:rPr>
          <w:rFonts w:ascii="Times New Roman" w:eastAsia="Calibri" w:hAnsi="Times New Roman" w:cs="Times New Roman"/>
          <w:sz w:val="18"/>
          <w:szCs w:val="18"/>
        </w:rPr>
        <w:fldChar w:fldCharType="begin" w:fldLock="1"/>
      </w:r>
      <w:r w:rsidR="00315CD2" w:rsidRPr="00E804AC">
        <w:rPr>
          <w:rFonts w:ascii="Times New Roman" w:eastAsia="Calibri" w:hAnsi="Times New Roman" w:cs="Times New Roman"/>
          <w:sz w:val="18"/>
          <w:szCs w:val="18"/>
        </w:rPr>
        <w:instrText>ADDIN CSL_CITATION {"citationItems":[{"id":"ITEM-1","itemData":{"DOI":"10.1183/13993003.01100-2018","ISSN":"1399-3003","PMID":"30487206","abstract":"The divergence between clinical trial results and real-world outcomes is largely unknown for many cancer types. The present study aims overall to assess the efficacy-effectiveness gap (difference between outcomes in clinical trials and the real world) in systemic treatment for metastatic nonsmall cell lung cancer (NSCLC).All patients diagnosed with stage IV NSCLC between 2008 and 2014 within a network of seven Dutch large teaching hospitals (Santeon) were studied. For every patient, an efficacy-effectiveness (EE) factor was calculated by dividing individual patients' overall survival (OS) by the pooled median OS assessed from clinical trials with the respective treatment.From 2989 diagnosed patients, 1214 (41%) started with first-line treatment. For all studied regimens, real-world OS was shorter than OS reported in clinical trials. Overall, the EE factor was 0.77 (95% CI 0.70-0.85; p&lt;0.001). Real-world patients completed their treatment plan less often and proceeded less frequently to further lines of treatment. These parameters together with Eastern Cooperative Oncology Group performance status explained 35% of the variation in EE factor.Survival of patients with metastatic NSCLC treated with chemotherapy or targeted therapy in real-world practice is nearly one-quarter shorter than for patients included in trials. Patients' performance status, earlier discontinuation and fewer subsequent lines of treatment partly explained this difference.","author":[{"dropping-particle":"","family":"Cramer-van der Welle","given":"Christine M.","non-dropping-particle":"","parse-names":false,"suffix":""},{"dropping-particle":"","family":"Peters","given":"Bas J M","non-dropping-particle":"","parse-names":false,"suffix":""},{"dropping-particle":"","family":"Schramel","given":"Franz M N H","non-dropping-particle":"","parse-names":false,"suffix":""},{"dropping-particle":"","family":"Klungel","given":"Olaf H.","non-dropping-particle":"","parse-names":false,"suffix":""},{"dropping-particle":"","family":"Groen","given":"Harry J M","non-dropping-particle":"","parse-names":false,"suffix":""},{"dropping-particle":"","family":"Garde","given":"Ewoudt M W","non-dropping-particle":"van de","parse-names":false,"suffix":""},{"dropping-particle":"","family":"Santeon NSCLC Study Group","given":"","non-dropping-particle":"","parse-names":false,"suffix":""},{"dropping-particle":"","family":"Santeon NSCLC study group","given":"","non-dropping-particle":"","parse-names":false,"suffix":""}],"container-title":"The European respiratory journal","id":"ITEM-1","issue":"6","issued":{"date-parts":[["2018","12"]]},"page":"1801100","title":"Systematic evaluation of the efficacy-effectiveness gap of systemic treatments in metastatic nonsmall cell lung cancer.","type":"article-journal","volume":"52"},"uris":["http://www.mendeley.com/documents/?uuid=6115e51d-0b10-4119-ad77-e413452b6506"]}],"mendeley":{"formattedCitation":"[24]","plainTextFormattedCitation":"[24]","previouslyFormattedCitation":"[24]"},"properties":{"noteIndex":0},"schema":"https://github.com/citation-style-language/schema/raw/master/csl-citation.json"}</w:instrText>
      </w:r>
      <w:r w:rsidRPr="00E804AC">
        <w:rPr>
          <w:rFonts w:ascii="Times New Roman" w:eastAsia="Calibri" w:hAnsi="Times New Roman" w:cs="Times New Roman"/>
          <w:sz w:val="18"/>
          <w:szCs w:val="18"/>
        </w:rPr>
        <w:fldChar w:fldCharType="separate"/>
      </w:r>
      <w:r w:rsidR="009F237B" w:rsidRPr="00E804AC">
        <w:rPr>
          <w:rFonts w:ascii="Times New Roman" w:eastAsia="Calibri" w:hAnsi="Times New Roman" w:cs="Times New Roman"/>
          <w:noProof/>
          <w:sz w:val="18"/>
          <w:szCs w:val="18"/>
        </w:rPr>
        <w:t>[24]</w:t>
      </w:r>
      <w:r w:rsidRPr="00E804AC">
        <w:rPr>
          <w:rFonts w:ascii="Times New Roman" w:eastAsia="Calibri" w:hAnsi="Times New Roman" w:cs="Times New Roman"/>
          <w:sz w:val="18"/>
          <w:szCs w:val="18"/>
        </w:rPr>
        <w:fldChar w:fldCharType="end"/>
      </w:r>
      <w:r w:rsidRPr="00E804AC">
        <w:rPr>
          <w:rFonts w:ascii="Times New Roman" w:eastAsia="Calibri" w:hAnsi="Times New Roman" w:cs="Times New Roman"/>
          <w:sz w:val="18"/>
          <w:szCs w:val="18"/>
        </w:rPr>
        <w:t>.</w:t>
      </w:r>
      <w:r w:rsidR="00E9120B">
        <w:rPr>
          <w:rFonts w:ascii="Times New Roman" w:eastAsia="Calibri" w:hAnsi="Times New Roman" w:cs="Times New Roman"/>
          <w:sz w:val="18"/>
          <w:szCs w:val="18"/>
        </w:rPr>
        <w:br w:type="page"/>
      </w:r>
    </w:p>
    <w:p w14:paraId="130174A7" w14:textId="77777777" w:rsidR="00FF7EB3" w:rsidRPr="00B27C7B" w:rsidRDefault="00FF7EB3" w:rsidP="009E5143">
      <w:pPr>
        <w:spacing w:line="480" w:lineRule="auto"/>
        <w:jc w:val="both"/>
        <w:rPr>
          <w:rFonts w:ascii="Calibri" w:eastAsia="Calibri" w:hAnsi="Calibri" w:cs="Times New Roman"/>
          <w:bCs/>
        </w:rPr>
      </w:pPr>
      <w:r w:rsidRPr="00B27C7B">
        <w:rPr>
          <w:rFonts w:ascii="Calibri" w:eastAsia="Calibri" w:hAnsi="Calibri" w:cs="Times New Roman"/>
          <w:bCs/>
        </w:rPr>
        <w:lastRenderedPageBreak/>
        <w:t>Table A</w:t>
      </w:r>
      <w:r>
        <w:rPr>
          <w:rFonts w:ascii="Calibri" w:eastAsia="Calibri" w:hAnsi="Calibri" w:cs="Times New Roman"/>
          <w:bCs/>
        </w:rPr>
        <w:t>2.</w:t>
      </w:r>
      <w:r w:rsidRPr="00B27C7B">
        <w:rPr>
          <w:rFonts w:ascii="Calibri" w:eastAsia="Calibri" w:hAnsi="Calibri" w:cs="Times New Roman"/>
          <w:bCs/>
        </w:rPr>
        <w:t xml:space="preserve"> Bivariate association of baseline characteristics and first-line treatment decision for patients with advanced (inoperable) non-squamous NSCLC diagnosed between 2008 – 2014</w:t>
      </w:r>
    </w:p>
    <w:tbl>
      <w:tblPr>
        <w:tblStyle w:val="TableGrid2"/>
        <w:tblW w:w="9665" w:type="dxa"/>
        <w:tblInd w:w="-5" w:type="dxa"/>
        <w:tblLook w:val="04A0" w:firstRow="1" w:lastRow="0" w:firstColumn="1" w:lastColumn="0" w:noHBand="0" w:noVBand="1"/>
      </w:tblPr>
      <w:tblGrid>
        <w:gridCol w:w="1953"/>
        <w:gridCol w:w="2017"/>
        <w:gridCol w:w="1021"/>
        <w:gridCol w:w="987"/>
        <w:gridCol w:w="923"/>
        <w:gridCol w:w="1049"/>
        <w:gridCol w:w="1715"/>
      </w:tblGrid>
      <w:tr w:rsidR="00FF7EB3" w:rsidRPr="00E033DA" w14:paraId="3B6CDF2B" w14:textId="77777777" w:rsidTr="009B5860">
        <w:tc>
          <w:tcPr>
            <w:tcW w:w="3970" w:type="dxa"/>
            <w:gridSpan w:val="2"/>
          </w:tcPr>
          <w:p w14:paraId="39E4DDFF" w14:textId="77777777" w:rsidR="00FF7EB3" w:rsidRPr="0007340B" w:rsidRDefault="00FF7EB3" w:rsidP="00C62DFE">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Variables</w:t>
            </w:r>
          </w:p>
        </w:tc>
        <w:tc>
          <w:tcPr>
            <w:tcW w:w="1021" w:type="dxa"/>
          </w:tcPr>
          <w:p w14:paraId="1C254360"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Methods</w:t>
            </w:r>
          </w:p>
        </w:tc>
        <w:tc>
          <w:tcPr>
            <w:tcW w:w="2959" w:type="dxa"/>
            <w:gridSpan w:val="3"/>
          </w:tcPr>
          <w:p w14:paraId="5C967524"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 xml:space="preserve">Test-statistic and </w:t>
            </w:r>
            <w:proofErr w:type="spellStart"/>
            <w:r w:rsidRPr="0007340B">
              <w:rPr>
                <w:rFonts w:ascii="Times New Roman" w:eastAsia="Calibri" w:hAnsi="Times New Roman" w:cs="Times New Roman"/>
                <w:sz w:val="20"/>
                <w:szCs w:val="20"/>
              </w:rPr>
              <w:t>pvalues</w:t>
            </w:r>
            <w:proofErr w:type="spellEnd"/>
          </w:p>
        </w:tc>
        <w:tc>
          <w:tcPr>
            <w:tcW w:w="1715" w:type="dxa"/>
          </w:tcPr>
          <w:p w14:paraId="1318D9EC"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 xml:space="preserve">% sim. </w:t>
            </w:r>
            <w:proofErr w:type="spellStart"/>
            <w:r w:rsidRPr="0007340B">
              <w:rPr>
                <w:rFonts w:ascii="Times New Roman" w:eastAsia="Calibri" w:hAnsi="Times New Roman" w:cs="Times New Roman"/>
                <w:sz w:val="20"/>
                <w:szCs w:val="20"/>
              </w:rPr>
              <w:t>pv</w:t>
            </w:r>
            <w:proofErr w:type="spellEnd"/>
            <w:r w:rsidRPr="0007340B">
              <w:rPr>
                <w:rFonts w:ascii="Times New Roman" w:eastAsia="Calibri" w:hAnsi="Times New Roman" w:cs="Times New Roman"/>
                <w:sz w:val="20"/>
                <w:szCs w:val="20"/>
              </w:rPr>
              <w:t xml:space="preserve"> &lt;0.05</w:t>
            </w:r>
          </w:p>
        </w:tc>
      </w:tr>
      <w:tr w:rsidR="00FF7EB3" w:rsidRPr="00E033DA" w14:paraId="50719B42" w14:textId="77777777" w:rsidTr="009B5860">
        <w:tc>
          <w:tcPr>
            <w:tcW w:w="1953" w:type="dxa"/>
          </w:tcPr>
          <w:p w14:paraId="5ABA4372" w14:textId="77777777" w:rsidR="00FF7EB3" w:rsidRPr="0007340B" w:rsidRDefault="00FF7EB3" w:rsidP="00C62DFE">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Variable 1</w:t>
            </w:r>
          </w:p>
        </w:tc>
        <w:tc>
          <w:tcPr>
            <w:tcW w:w="2017" w:type="dxa"/>
          </w:tcPr>
          <w:p w14:paraId="36BA498D" w14:textId="77777777" w:rsidR="00FF7EB3" w:rsidRPr="0007340B" w:rsidRDefault="00FF7EB3">
            <w:pPr>
              <w:tabs>
                <w:tab w:val="center" w:pos="1029"/>
              </w:tabs>
              <w:rPr>
                <w:rFonts w:ascii="Times New Roman" w:eastAsia="Calibri" w:hAnsi="Times New Roman" w:cs="Times New Roman"/>
                <w:sz w:val="20"/>
                <w:szCs w:val="20"/>
              </w:rPr>
            </w:pPr>
            <w:r w:rsidRPr="0007340B">
              <w:rPr>
                <w:rFonts w:ascii="Times New Roman" w:eastAsia="Calibri" w:hAnsi="Times New Roman" w:cs="Times New Roman"/>
                <w:sz w:val="20"/>
                <w:szCs w:val="20"/>
              </w:rPr>
              <w:tab/>
              <w:t>Variable 2</w:t>
            </w:r>
          </w:p>
        </w:tc>
        <w:tc>
          <w:tcPr>
            <w:tcW w:w="1021" w:type="dxa"/>
          </w:tcPr>
          <w:p w14:paraId="23A47799" w14:textId="77777777" w:rsidR="00FF7EB3" w:rsidRPr="00E033DA" w:rsidRDefault="00FF7EB3">
            <w:pPr>
              <w:jc w:val="center"/>
              <w:rPr>
                <w:rFonts w:ascii="Calibri" w:eastAsia="Calibri" w:hAnsi="Calibri" w:cs="Times New Roman"/>
              </w:rPr>
            </w:pPr>
          </w:p>
        </w:tc>
        <w:tc>
          <w:tcPr>
            <w:tcW w:w="987" w:type="dxa"/>
          </w:tcPr>
          <w:p w14:paraId="778CE618"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Statistic</w:t>
            </w:r>
          </w:p>
        </w:tc>
        <w:tc>
          <w:tcPr>
            <w:tcW w:w="923" w:type="dxa"/>
          </w:tcPr>
          <w:p w14:paraId="73642BCA"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df</w:t>
            </w:r>
          </w:p>
        </w:tc>
        <w:tc>
          <w:tcPr>
            <w:tcW w:w="1049" w:type="dxa"/>
          </w:tcPr>
          <w:p w14:paraId="64F0D500" w14:textId="77777777" w:rsidR="00FF7EB3" w:rsidRPr="0007340B" w:rsidRDefault="00FF7EB3">
            <w:pPr>
              <w:jc w:val="center"/>
              <w:rPr>
                <w:rFonts w:ascii="Times New Roman" w:eastAsia="Calibri" w:hAnsi="Times New Roman" w:cs="Times New Roman"/>
                <w:sz w:val="20"/>
                <w:szCs w:val="20"/>
              </w:rPr>
            </w:pPr>
            <w:proofErr w:type="spellStart"/>
            <w:r w:rsidRPr="0007340B">
              <w:rPr>
                <w:rFonts w:ascii="Times New Roman" w:eastAsia="Calibri" w:hAnsi="Times New Roman" w:cs="Times New Roman"/>
                <w:sz w:val="20"/>
                <w:szCs w:val="20"/>
              </w:rPr>
              <w:t>pvalue</w:t>
            </w:r>
            <w:proofErr w:type="spellEnd"/>
          </w:p>
        </w:tc>
        <w:tc>
          <w:tcPr>
            <w:tcW w:w="1715" w:type="dxa"/>
          </w:tcPr>
          <w:p w14:paraId="06283B25" w14:textId="77777777" w:rsidR="00FF7EB3" w:rsidRPr="0007340B" w:rsidRDefault="00FF7EB3">
            <w:pPr>
              <w:jc w:val="center"/>
              <w:rPr>
                <w:rFonts w:ascii="Times New Roman" w:eastAsia="Calibri" w:hAnsi="Times New Roman" w:cs="Times New Roman"/>
                <w:sz w:val="20"/>
                <w:szCs w:val="20"/>
              </w:rPr>
            </w:pPr>
          </w:p>
        </w:tc>
      </w:tr>
      <w:tr w:rsidR="00FF7EB3" w:rsidRPr="00E033DA" w14:paraId="1E2317CF" w14:textId="77777777" w:rsidTr="009B5860">
        <w:tc>
          <w:tcPr>
            <w:tcW w:w="1953" w:type="dxa"/>
          </w:tcPr>
          <w:p w14:paraId="315E223F" w14:textId="77777777" w:rsidR="00FF7EB3" w:rsidRPr="0007340B" w:rsidRDefault="00FF7EB3" w:rsidP="00C62DFE">
            <w:pPr>
              <w:rPr>
                <w:rFonts w:ascii="Times New Roman" w:eastAsia="Calibri" w:hAnsi="Times New Roman" w:cs="Times New Roman"/>
                <w:sz w:val="20"/>
                <w:szCs w:val="20"/>
              </w:rPr>
            </w:pPr>
            <w:r w:rsidRPr="0007340B">
              <w:rPr>
                <w:rFonts w:ascii="Times New Roman" w:eastAsia="Calibri" w:hAnsi="Times New Roman" w:cs="Times New Roman"/>
                <w:sz w:val="20"/>
                <w:szCs w:val="20"/>
              </w:rPr>
              <w:t xml:space="preserve">Year </w:t>
            </w:r>
          </w:p>
        </w:tc>
        <w:tc>
          <w:tcPr>
            <w:tcW w:w="2017" w:type="dxa"/>
          </w:tcPr>
          <w:p w14:paraId="03549A9D"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Gender</w:t>
            </w:r>
          </w:p>
        </w:tc>
        <w:tc>
          <w:tcPr>
            <w:tcW w:w="1021" w:type="dxa"/>
          </w:tcPr>
          <w:p w14:paraId="5FBC36B3" w14:textId="77777777" w:rsidR="00FF7EB3" w:rsidRPr="0007340B" w:rsidRDefault="00FF7EB3">
            <w:pPr>
              <w:jc w:val="center"/>
              <w:rPr>
                <w:rFonts w:ascii="Calibri" w:eastAsia="Calibri" w:hAnsi="Calibri" w:cs="Times New Roman"/>
                <w:sz w:val="20"/>
                <w:szCs w:val="20"/>
                <w:vertAlign w:val="superscript"/>
              </w:rPr>
            </w:pPr>
            <w:r w:rsidRPr="0007340B">
              <w:rPr>
                <w:rFonts w:ascii="Symbol" w:eastAsia="Calibri" w:hAnsi="Symbol" w:cs="Times New Roman"/>
                <w:sz w:val="20"/>
                <w:szCs w:val="20"/>
              </w:rPr>
              <w:t></w:t>
            </w:r>
            <w:r w:rsidRPr="0007340B">
              <w:rPr>
                <w:rFonts w:ascii="Symbol" w:eastAsia="Calibri" w:hAnsi="Symbol" w:cs="Times New Roman"/>
                <w:sz w:val="20"/>
                <w:szCs w:val="20"/>
                <w:vertAlign w:val="superscript"/>
              </w:rPr>
              <w:t></w:t>
            </w:r>
          </w:p>
        </w:tc>
        <w:tc>
          <w:tcPr>
            <w:tcW w:w="987" w:type="dxa"/>
          </w:tcPr>
          <w:p w14:paraId="528B5DAD"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1.94</w:t>
            </w:r>
          </w:p>
        </w:tc>
        <w:tc>
          <w:tcPr>
            <w:tcW w:w="923" w:type="dxa"/>
          </w:tcPr>
          <w:p w14:paraId="47958EDD"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6</w:t>
            </w:r>
          </w:p>
        </w:tc>
        <w:tc>
          <w:tcPr>
            <w:tcW w:w="1049" w:type="dxa"/>
          </w:tcPr>
          <w:p w14:paraId="4F968608"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0.925</w:t>
            </w:r>
          </w:p>
        </w:tc>
        <w:tc>
          <w:tcPr>
            <w:tcW w:w="1715" w:type="dxa"/>
          </w:tcPr>
          <w:p w14:paraId="5CA0C143"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6</w:t>
            </w:r>
          </w:p>
        </w:tc>
      </w:tr>
      <w:tr w:rsidR="00FF7EB3" w:rsidRPr="00E033DA" w14:paraId="23A2694D" w14:textId="77777777" w:rsidTr="009B5860">
        <w:tc>
          <w:tcPr>
            <w:tcW w:w="1953" w:type="dxa"/>
          </w:tcPr>
          <w:p w14:paraId="43552C54" w14:textId="77777777" w:rsidR="00FF7EB3" w:rsidRPr="0007340B" w:rsidRDefault="00FF7EB3" w:rsidP="00C62DFE">
            <w:pPr>
              <w:rPr>
                <w:rFonts w:ascii="Times New Roman" w:eastAsia="Calibri" w:hAnsi="Times New Roman" w:cs="Times New Roman"/>
                <w:sz w:val="20"/>
                <w:szCs w:val="20"/>
              </w:rPr>
            </w:pPr>
          </w:p>
        </w:tc>
        <w:tc>
          <w:tcPr>
            <w:tcW w:w="2017" w:type="dxa"/>
          </w:tcPr>
          <w:p w14:paraId="35925AF9"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PS</w:t>
            </w:r>
          </w:p>
        </w:tc>
        <w:tc>
          <w:tcPr>
            <w:tcW w:w="1021" w:type="dxa"/>
          </w:tcPr>
          <w:p w14:paraId="4AB8CEBC" w14:textId="77777777" w:rsidR="00FF7EB3" w:rsidRPr="0007340B" w:rsidRDefault="00FF7EB3">
            <w:pPr>
              <w:jc w:val="center"/>
              <w:rPr>
                <w:rFonts w:ascii="Calibri" w:eastAsia="Calibri" w:hAnsi="Calibri" w:cs="Times New Roman"/>
                <w:sz w:val="20"/>
                <w:szCs w:val="20"/>
              </w:rPr>
            </w:pPr>
            <w:r w:rsidRPr="0007340B">
              <w:rPr>
                <w:rFonts w:ascii="Symbol" w:eastAsia="Calibri" w:hAnsi="Symbol" w:cs="Times New Roman"/>
                <w:sz w:val="20"/>
                <w:szCs w:val="20"/>
              </w:rPr>
              <w:t></w:t>
            </w:r>
            <w:r w:rsidRPr="0007340B">
              <w:rPr>
                <w:rFonts w:ascii="Symbol" w:eastAsia="Calibri" w:hAnsi="Symbol" w:cs="Times New Roman"/>
                <w:sz w:val="20"/>
                <w:szCs w:val="20"/>
                <w:vertAlign w:val="superscript"/>
              </w:rPr>
              <w:t></w:t>
            </w:r>
          </w:p>
        </w:tc>
        <w:tc>
          <w:tcPr>
            <w:tcW w:w="987" w:type="dxa"/>
          </w:tcPr>
          <w:p w14:paraId="2EDFD8B1"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91.87</w:t>
            </w:r>
          </w:p>
        </w:tc>
        <w:tc>
          <w:tcPr>
            <w:tcW w:w="923" w:type="dxa"/>
          </w:tcPr>
          <w:p w14:paraId="5C88C256" w14:textId="77777777" w:rsidR="00FF7EB3" w:rsidRPr="0007340B" w:rsidRDefault="00FF7EB3">
            <w:pPr>
              <w:jc w:val="center"/>
              <w:rPr>
                <w:rFonts w:ascii="Times New Roman" w:eastAsia="Calibri" w:hAnsi="Times New Roman" w:cs="Times New Roman"/>
                <w:sz w:val="20"/>
                <w:szCs w:val="20"/>
                <w:lang w:val="en-GB"/>
              </w:rPr>
            </w:pPr>
            <w:r w:rsidRPr="0007340B">
              <w:rPr>
                <w:rFonts w:ascii="Times New Roman" w:eastAsia="Calibri" w:hAnsi="Times New Roman" w:cs="Times New Roman"/>
                <w:sz w:val="20"/>
                <w:szCs w:val="20"/>
                <w:lang w:val="en-GB"/>
              </w:rPr>
              <w:t>12</w:t>
            </w:r>
          </w:p>
        </w:tc>
        <w:tc>
          <w:tcPr>
            <w:tcW w:w="1049" w:type="dxa"/>
          </w:tcPr>
          <w:p w14:paraId="05943463"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&lt;0.0001</w:t>
            </w:r>
          </w:p>
        </w:tc>
        <w:tc>
          <w:tcPr>
            <w:tcW w:w="1715" w:type="dxa"/>
          </w:tcPr>
          <w:p w14:paraId="21AA76F5"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100</w:t>
            </w:r>
          </w:p>
        </w:tc>
      </w:tr>
      <w:tr w:rsidR="00FF7EB3" w:rsidRPr="00E033DA" w14:paraId="0E429D6F" w14:textId="77777777" w:rsidTr="009B5860">
        <w:tc>
          <w:tcPr>
            <w:tcW w:w="1953" w:type="dxa"/>
          </w:tcPr>
          <w:p w14:paraId="28AE6FB6" w14:textId="77777777" w:rsidR="00FF7EB3" w:rsidRPr="0007340B" w:rsidRDefault="00FF7EB3" w:rsidP="00C62DFE">
            <w:pPr>
              <w:rPr>
                <w:rFonts w:ascii="Times New Roman" w:eastAsia="Calibri" w:hAnsi="Times New Roman" w:cs="Times New Roman"/>
                <w:sz w:val="20"/>
                <w:szCs w:val="20"/>
              </w:rPr>
            </w:pPr>
          </w:p>
        </w:tc>
        <w:tc>
          <w:tcPr>
            <w:tcW w:w="2017" w:type="dxa"/>
          </w:tcPr>
          <w:p w14:paraId="4700708F"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CCI</w:t>
            </w:r>
          </w:p>
        </w:tc>
        <w:tc>
          <w:tcPr>
            <w:tcW w:w="1021" w:type="dxa"/>
          </w:tcPr>
          <w:p w14:paraId="76EAF6D0" w14:textId="77777777" w:rsidR="00FF7EB3" w:rsidRPr="0007340B" w:rsidRDefault="00FF7EB3">
            <w:pPr>
              <w:jc w:val="center"/>
              <w:rPr>
                <w:rFonts w:ascii="Calibri" w:eastAsia="Calibri" w:hAnsi="Calibri" w:cs="Times New Roman"/>
                <w:sz w:val="20"/>
                <w:szCs w:val="20"/>
              </w:rPr>
            </w:pPr>
            <w:r w:rsidRPr="0007340B">
              <w:rPr>
                <w:rFonts w:ascii="Symbol" w:eastAsia="Calibri" w:hAnsi="Symbol" w:cs="Times New Roman"/>
                <w:sz w:val="20"/>
                <w:szCs w:val="20"/>
              </w:rPr>
              <w:t></w:t>
            </w:r>
            <w:r w:rsidRPr="0007340B">
              <w:rPr>
                <w:rFonts w:ascii="Symbol" w:eastAsia="Calibri" w:hAnsi="Symbol" w:cs="Times New Roman"/>
                <w:sz w:val="20"/>
                <w:szCs w:val="20"/>
                <w:vertAlign w:val="superscript"/>
              </w:rPr>
              <w:t></w:t>
            </w:r>
          </w:p>
        </w:tc>
        <w:tc>
          <w:tcPr>
            <w:tcW w:w="987" w:type="dxa"/>
          </w:tcPr>
          <w:p w14:paraId="2F0B73BD"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5.291</w:t>
            </w:r>
          </w:p>
        </w:tc>
        <w:tc>
          <w:tcPr>
            <w:tcW w:w="923" w:type="dxa"/>
          </w:tcPr>
          <w:p w14:paraId="6563DBF8" w14:textId="77777777" w:rsidR="00FF7EB3" w:rsidRPr="0007340B" w:rsidRDefault="00FF7EB3">
            <w:pPr>
              <w:jc w:val="center"/>
              <w:rPr>
                <w:rFonts w:ascii="Times New Roman" w:eastAsia="Calibri" w:hAnsi="Times New Roman" w:cs="Times New Roman"/>
                <w:sz w:val="20"/>
                <w:szCs w:val="20"/>
                <w:lang w:val="en-GB"/>
              </w:rPr>
            </w:pPr>
            <w:r w:rsidRPr="0007340B">
              <w:rPr>
                <w:rFonts w:ascii="Times New Roman" w:eastAsia="Calibri" w:hAnsi="Times New Roman" w:cs="Times New Roman"/>
                <w:sz w:val="20"/>
                <w:szCs w:val="20"/>
                <w:lang w:val="en-GB"/>
              </w:rPr>
              <w:t>6</w:t>
            </w:r>
          </w:p>
        </w:tc>
        <w:tc>
          <w:tcPr>
            <w:tcW w:w="1049" w:type="dxa"/>
          </w:tcPr>
          <w:p w14:paraId="42FAAFC8"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0.507</w:t>
            </w:r>
          </w:p>
        </w:tc>
        <w:tc>
          <w:tcPr>
            <w:tcW w:w="1715" w:type="dxa"/>
          </w:tcPr>
          <w:p w14:paraId="26365AB5"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5</w:t>
            </w:r>
          </w:p>
        </w:tc>
      </w:tr>
      <w:tr w:rsidR="00FF7EB3" w:rsidRPr="00E033DA" w14:paraId="3A03473B" w14:textId="77777777" w:rsidTr="009B5860">
        <w:tc>
          <w:tcPr>
            <w:tcW w:w="1953" w:type="dxa"/>
          </w:tcPr>
          <w:p w14:paraId="2C9E7056" w14:textId="77777777" w:rsidR="00FF7EB3" w:rsidRPr="0007340B" w:rsidRDefault="00FF7EB3" w:rsidP="00C62DFE">
            <w:pPr>
              <w:rPr>
                <w:rFonts w:ascii="Times New Roman" w:eastAsia="Calibri" w:hAnsi="Times New Roman" w:cs="Times New Roman"/>
                <w:sz w:val="20"/>
                <w:szCs w:val="20"/>
              </w:rPr>
            </w:pPr>
          </w:p>
        </w:tc>
        <w:tc>
          <w:tcPr>
            <w:tcW w:w="2017" w:type="dxa"/>
          </w:tcPr>
          <w:p w14:paraId="554851E2"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Treat (</w:t>
            </w:r>
            <w:proofErr w:type="spellStart"/>
            <w:r w:rsidRPr="0007340B">
              <w:rPr>
                <w:rFonts w:ascii="Times New Roman" w:eastAsia="Calibri" w:hAnsi="Times New Roman" w:cs="Times New Roman"/>
                <w:sz w:val="20"/>
                <w:szCs w:val="20"/>
                <w:lang w:val="en-GB"/>
              </w:rPr>
              <w:t>Syst</w:t>
            </w:r>
            <w:proofErr w:type="spellEnd"/>
            <w:r w:rsidRPr="0007340B">
              <w:rPr>
                <w:rFonts w:ascii="Times New Roman" w:eastAsia="Calibri" w:hAnsi="Times New Roman" w:cs="Times New Roman"/>
                <w:sz w:val="20"/>
                <w:szCs w:val="20"/>
              </w:rPr>
              <w:t xml:space="preserve"> or BSC)</w:t>
            </w:r>
          </w:p>
        </w:tc>
        <w:tc>
          <w:tcPr>
            <w:tcW w:w="1021" w:type="dxa"/>
          </w:tcPr>
          <w:p w14:paraId="527A1F3F" w14:textId="77777777" w:rsidR="00FF7EB3" w:rsidRPr="0007340B" w:rsidRDefault="00FF7EB3">
            <w:pPr>
              <w:jc w:val="center"/>
              <w:rPr>
                <w:rFonts w:ascii="Calibri" w:eastAsia="Calibri" w:hAnsi="Calibri" w:cs="Times New Roman"/>
                <w:sz w:val="20"/>
                <w:szCs w:val="20"/>
              </w:rPr>
            </w:pPr>
            <w:r w:rsidRPr="0007340B">
              <w:rPr>
                <w:rFonts w:ascii="Symbol" w:eastAsia="Calibri" w:hAnsi="Symbol" w:cs="Times New Roman"/>
                <w:sz w:val="20"/>
                <w:szCs w:val="20"/>
              </w:rPr>
              <w:t></w:t>
            </w:r>
            <w:r w:rsidRPr="0007340B">
              <w:rPr>
                <w:rFonts w:ascii="Symbol" w:eastAsia="Calibri" w:hAnsi="Symbol" w:cs="Times New Roman"/>
                <w:sz w:val="20"/>
                <w:szCs w:val="20"/>
                <w:vertAlign w:val="superscript"/>
              </w:rPr>
              <w:t></w:t>
            </w:r>
          </w:p>
        </w:tc>
        <w:tc>
          <w:tcPr>
            <w:tcW w:w="987" w:type="dxa"/>
          </w:tcPr>
          <w:p w14:paraId="320D8D0D"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19.82</w:t>
            </w:r>
          </w:p>
        </w:tc>
        <w:tc>
          <w:tcPr>
            <w:tcW w:w="923" w:type="dxa"/>
          </w:tcPr>
          <w:p w14:paraId="4CE90B68" w14:textId="77777777" w:rsidR="00FF7EB3" w:rsidRPr="0007340B" w:rsidRDefault="00FF7EB3">
            <w:pPr>
              <w:jc w:val="center"/>
              <w:rPr>
                <w:rFonts w:ascii="Times New Roman" w:eastAsia="Calibri" w:hAnsi="Times New Roman" w:cs="Times New Roman"/>
                <w:sz w:val="20"/>
                <w:szCs w:val="20"/>
                <w:lang w:val="en-GB"/>
              </w:rPr>
            </w:pPr>
            <w:r w:rsidRPr="0007340B">
              <w:rPr>
                <w:rFonts w:ascii="Times New Roman" w:eastAsia="Calibri" w:hAnsi="Times New Roman" w:cs="Times New Roman"/>
                <w:sz w:val="20"/>
                <w:szCs w:val="20"/>
                <w:lang w:val="en-GB"/>
              </w:rPr>
              <w:t>6</w:t>
            </w:r>
          </w:p>
        </w:tc>
        <w:tc>
          <w:tcPr>
            <w:tcW w:w="1049" w:type="dxa"/>
          </w:tcPr>
          <w:p w14:paraId="23676CE6"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0.003</w:t>
            </w:r>
          </w:p>
        </w:tc>
        <w:tc>
          <w:tcPr>
            <w:tcW w:w="1715" w:type="dxa"/>
          </w:tcPr>
          <w:p w14:paraId="51C97E68"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97</w:t>
            </w:r>
          </w:p>
        </w:tc>
      </w:tr>
      <w:tr w:rsidR="00FF7EB3" w:rsidRPr="00E033DA" w14:paraId="40627EE8" w14:textId="77777777" w:rsidTr="009B5860">
        <w:tc>
          <w:tcPr>
            <w:tcW w:w="1953" w:type="dxa"/>
          </w:tcPr>
          <w:p w14:paraId="2AD0680B" w14:textId="77777777" w:rsidR="00FF7EB3" w:rsidRPr="0007340B" w:rsidRDefault="00FF7EB3" w:rsidP="00C62DFE">
            <w:pPr>
              <w:rPr>
                <w:rFonts w:ascii="Times New Roman" w:eastAsia="Calibri" w:hAnsi="Times New Roman" w:cs="Times New Roman"/>
                <w:sz w:val="20"/>
                <w:szCs w:val="20"/>
              </w:rPr>
            </w:pPr>
          </w:p>
        </w:tc>
        <w:tc>
          <w:tcPr>
            <w:tcW w:w="2017" w:type="dxa"/>
          </w:tcPr>
          <w:p w14:paraId="18343E06" w14:textId="77777777" w:rsidR="00FF7EB3" w:rsidRPr="0007340B" w:rsidRDefault="00FF7EB3">
            <w:pPr>
              <w:rPr>
                <w:rFonts w:ascii="Times New Roman" w:eastAsia="Calibri" w:hAnsi="Times New Roman" w:cs="Times New Roman"/>
                <w:sz w:val="20"/>
                <w:szCs w:val="20"/>
              </w:rPr>
            </w:pPr>
            <w:proofErr w:type="spellStart"/>
            <w:r w:rsidRPr="0007340B">
              <w:rPr>
                <w:rFonts w:ascii="Times New Roman" w:eastAsia="Calibri" w:hAnsi="Times New Roman" w:cs="Times New Roman"/>
                <w:sz w:val="20"/>
                <w:szCs w:val="20"/>
                <w:lang w:val="en-GB"/>
              </w:rPr>
              <w:t>Syst</w:t>
            </w:r>
            <w:proofErr w:type="spellEnd"/>
            <w:r w:rsidRPr="0007340B" w:rsidDel="00E10735">
              <w:rPr>
                <w:rFonts w:ascii="Times New Roman" w:eastAsia="Calibri" w:hAnsi="Times New Roman" w:cs="Times New Roman"/>
                <w:sz w:val="20"/>
                <w:szCs w:val="20"/>
              </w:rPr>
              <w:t xml:space="preserve"> </w:t>
            </w:r>
          </w:p>
          <w:p w14:paraId="273C1F5C"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w:t>
            </w:r>
            <w:proofErr w:type="spellStart"/>
            <w:r w:rsidRPr="0007340B">
              <w:rPr>
                <w:rFonts w:ascii="Times New Roman" w:eastAsia="Calibri" w:hAnsi="Times New Roman" w:cs="Times New Roman"/>
                <w:sz w:val="20"/>
                <w:szCs w:val="20"/>
              </w:rPr>
              <w:t>Cisp</w:t>
            </w:r>
            <w:proofErr w:type="spellEnd"/>
            <w:r w:rsidRPr="0007340B">
              <w:rPr>
                <w:rFonts w:ascii="Times New Roman" w:eastAsia="Calibri" w:hAnsi="Times New Roman" w:cs="Times New Roman"/>
                <w:sz w:val="20"/>
                <w:szCs w:val="20"/>
              </w:rPr>
              <w:t>. D or Carb. D)</w:t>
            </w:r>
          </w:p>
        </w:tc>
        <w:tc>
          <w:tcPr>
            <w:tcW w:w="1021" w:type="dxa"/>
          </w:tcPr>
          <w:p w14:paraId="488BC238" w14:textId="77777777" w:rsidR="00FF7EB3" w:rsidRPr="0007340B" w:rsidRDefault="00FF7EB3">
            <w:pPr>
              <w:jc w:val="center"/>
              <w:rPr>
                <w:rFonts w:ascii="Calibri" w:eastAsia="Calibri" w:hAnsi="Calibri" w:cs="Times New Roman"/>
                <w:sz w:val="20"/>
                <w:szCs w:val="20"/>
              </w:rPr>
            </w:pPr>
            <w:r w:rsidRPr="0007340B">
              <w:rPr>
                <w:rFonts w:ascii="Symbol" w:eastAsia="Calibri" w:hAnsi="Symbol" w:cs="Times New Roman"/>
                <w:sz w:val="20"/>
                <w:szCs w:val="20"/>
              </w:rPr>
              <w:t></w:t>
            </w:r>
            <w:r w:rsidRPr="0007340B">
              <w:rPr>
                <w:rFonts w:ascii="Symbol" w:eastAsia="Calibri" w:hAnsi="Symbol" w:cs="Times New Roman"/>
                <w:sz w:val="20"/>
                <w:szCs w:val="20"/>
                <w:vertAlign w:val="superscript"/>
              </w:rPr>
              <w:t></w:t>
            </w:r>
          </w:p>
        </w:tc>
        <w:tc>
          <w:tcPr>
            <w:tcW w:w="987" w:type="dxa"/>
          </w:tcPr>
          <w:p w14:paraId="34A6C838"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8.01</w:t>
            </w:r>
          </w:p>
        </w:tc>
        <w:tc>
          <w:tcPr>
            <w:tcW w:w="923" w:type="dxa"/>
          </w:tcPr>
          <w:p w14:paraId="7D5BD911"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6</w:t>
            </w:r>
          </w:p>
        </w:tc>
        <w:tc>
          <w:tcPr>
            <w:tcW w:w="1049" w:type="dxa"/>
          </w:tcPr>
          <w:p w14:paraId="47A36161"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0.237</w:t>
            </w:r>
          </w:p>
        </w:tc>
        <w:tc>
          <w:tcPr>
            <w:tcW w:w="1715" w:type="dxa"/>
          </w:tcPr>
          <w:p w14:paraId="61DB97FC"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7</w:t>
            </w:r>
          </w:p>
        </w:tc>
      </w:tr>
      <w:tr w:rsidR="00FF7EB3" w:rsidRPr="00E033DA" w14:paraId="5EFA1787" w14:textId="77777777" w:rsidTr="009B5860">
        <w:tc>
          <w:tcPr>
            <w:tcW w:w="1953" w:type="dxa"/>
          </w:tcPr>
          <w:p w14:paraId="1DAB5463" w14:textId="77777777" w:rsidR="00FF7EB3" w:rsidRPr="0007340B" w:rsidRDefault="00FF7EB3" w:rsidP="00C62DFE">
            <w:pPr>
              <w:rPr>
                <w:rFonts w:ascii="Times New Roman" w:eastAsia="Calibri" w:hAnsi="Times New Roman" w:cs="Times New Roman"/>
                <w:sz w:val="20"/>
                <w:szCs w:val="20"/>
              </w:rPr>
            </w:pPr>
          </w:p>
        </w:tc>
        <w:tc>
          <w:tcPr>
            <w:tcW w:w="2017" w:type="dxa"/>
          </w:tcPr>
          <w:p w14:paraId="50D12617"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Age</w:t>
            </w:r>
          </w:p>
        </w:tc>
        <w:tc>
          <w:tcPr>
            <w:tcW w:w="1021" w:type="dxa"/>
          </w:tcPr>
          <w:p w14:paraId="02AF2F2E" w14:textId="77777777" w:rsidR="00FF7EB3" w:rsidRPr="0007340B" w:rsidRDefault="00FF7EB3">
            <w:pPr>
              <w:jc w:val="center"/>
              <w:rPr>
                <w:rFonts w:ascii="Times New Roman" w:eastAsia="Calibri" w:hAnsi="Times New Roman" w:cs="Times New Roman"/>
                <w:sz w:val="20"/>
                <w:szCs w:val="20"/>
              </w:rPr>
            </w:pPr>
            <w:proofErr w:type="spellStart"/>
            <w:r w:rsidRPr="0007340B">
              <w:rPr>
                <w:rFonts w:ascii="Times New Roman" w:eastAsia="Calibri" w:hAnsi="Times New Roman" w:cs="Times New Roman"/>
                <w:sz w:val="20"/>
                <w:szCs w:val="20"/>
              </w:rPr>
              <w:t>Anova</w:t>
            </w:r>
            <w:proofErr w:type="spellEnd"/>
          </w:p>
        </w:tc>
        <w:tc>
          <w:tcPr>
            <w:tcW w:w="987" w:type="dxa"/>
          </w:tcPr>
          <w:p w14:paraId="15B19DA1"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1.971</w:t>
            </w:r>
          </w:p>
        </w:tc>
        <w:tc>
          <w:tcPr>
            <w:tcW w:w="923" w:type="dxa"/>
          </w:tcPr>
          <w:p w14:paraId="59F8D985" w14:textId="77777777" w:rsidR="00FF7EB3" w:rsidRPr="0007340B" w:rsidRDefault="00FF7EB3">
            <w:pPr>
              <w:rPr>
                <w:rFonts w:ascii="Times New Roman" w:eastAsia="Calibri" w:hAnsi="Times New Roman" w:cs="Times New Roman"/>
                <w:sz w:val="20"/>
                <w:szCs w:val="20"/>
                <w:lang w:val="en-GB"/>
              </w:rPr>
            </w:pPr>
            <w:r w:rsidRPr="0007340B">
              <w:rPr>
                <w:rFonts w:ascii="Times New Roman" w:eastAsia="Calibri" w:hAnsi="Times New Roman" w:cs="Times New Roman"/>
                <w:sz w:val="20"/>
                <w:szCs w:val="20"/>
                <w:lang w:val="en-GB"/>
              </w:rPr>
              <w:t>6; 2189</w:t>
            </w:r>
          </w:p>
        </w:tc>
        <w:tc>
          <w:tcPr>
            <w:tcW w:w="1049" w:type="dxa"/>
          </w:tcPr>
          <w:p w14:paraId="3ABD9E5B"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0.064</w:t>
            </w:r>
          </w:p>
        </w:tc>
        <w:tc>
          <w:tcPr>
            <w:tcW w:w="1715" w:type="dxa"/>
          </w:tcPr>
          <w:p w14:paraId="1770D723"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6</w:t>
            </w:r>
          </w:p>
        </w:tc>
      </w:tr>
      <w:tr w:rsidR="00FF7EB3" w:rsidRPr="00E033DA" w14:paraId="4ED7988B" w14:textId="77777777" w:rsidTr="009B5860">
        <w:tc>
          <w:tcPr>
            <w:tcW w:w="1953" w:type="dxa"/>
          </w:tcPr>
          <w:p w14:paraId="3B6590A0" w14:textId="77777777" w:rsidR="00FF7EB3" w:rsidRPr="0007340B" w:rsidRDefault="00FF7EB3" w:rsidP="00C62DFE">
            <w:pPr>
              <w:rPr>
                <w:rFonts w:ascii="Times New Roman" w:eastAsia="Calibri" w:hAnsi="Times New Roman" w:cs="Times New Roman"/>
                <w:sz w:val="20"/>
                <w:szCs w:val="20"/>
              </w:rPr>
            </w:pPr>
            <w:r w:rsidRPr="0007340B">
              <w:rPr>
                <w:rFonts w:ascii="Times New Roman" w:eastAsia="Calibri" w:hAnsi="Times New Roman" w:cs="Times New Roman"/>
                <w:sz w:val="20"/>
                <w:szCs w:val="20"/>
              </w:rPr>
              <w:t>Gender</w:t>
            </w:r>
          </w:p>
        </w:tc>
        <w:tc>
          <w:tcPr>
            <w:tcW w:w="2017" w:type="dxa"/>
          </w:tcPr>
          <w:p w14:paraId="426A2A42"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PS</w:t>
            </w:r>
          </w:p>
        </w:tc>
        <w:tc>
          <w:tcPr>
            <w:tcW w:w="1021" w:type="dxa"/>
          </w:tcPr>
          <w:p w14:paraId="7DE40189" w14:textId="77777777" w:rsidR="00FF7EB3" w:rsidRPr="0007340B" w:rsidRDefault="00FF7EB3">
            <w:pPr>
              <w:jc w:val="center"/>
              <w:rPr>
                <w:rFonts w:ascii="Calibri" w:eastAsia="Calibri" w:hAnsi="Calibri" w:cs="Times New Roman"/>
                <w:sz w:val="20"/>
                <w:szCs w:val="20"/>
              </w:rPr>
            </w:pPr>
            <w:r w:rsidRPr="0007340B">
              <w:rPr>
                <w:rFonts w:ascii="Symbol" w:eastAsia="Calibri" w:hAnsi="Symbol" w:cs="Times New Roman"/>
                <w:sz w:val="20"/>
                <w:szCs w:val="20"/>
              </w:rPr>
              <w:t></w:t>
            </w:r>
            <w:r w:rsidRPr="0007340B">
              <w:rPr>
                <w:rFonts w:ascii="Symbol" w:eastAsia="Calibri" w:hAnsi="Symbol" w:cs="Times New Roman"/>
                <w:sz w:val="20"/>
                <w:szCs w:val="20"/>
                <w:vertAlign w:val="superscript"/>
              </w:rPr>
              <w:t></w:t>
            </w:r>
          </w:p>
        </w:tc>
        <w:tc>
          <w:tcPr>
            <w:tcW w:w="987" w:type="dxa"/>
          </w:tcPr>
          <w:p w14:paraId="2F1BE3A0"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2.97</w:t>
            </w:r>
          </w:p>
        </w:tc>
        <w:tc>
          <w:tcPr>
            <w:tcW w:w="923" w:type="dxa"/>
          </w:tcPr>
          <w:p w14:paraId="5BF83888"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2</w:t>
            </w:r>
          </w:p>
        </w:tc>
        <w:tc>
          <w:tcPr>
            <w:tcW w:w="1049" w:type="dxa"/>
          </w:tcPr>
          <w:p w14:paraId="5C9D9737"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0.227</w:t>
            </w:r>
          </w:p>
        </w:tc>
        <w:tc>
          <w:tcPr>
            <w:tcW w:w="1715" w:type="dxa"/>
          </w:tcPr>
          <w:p w14:paraId="24BF02B5"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25</w:t>
            </w:r>
          </w:p>
        </w:tc>
      </w:tr>
      <w:tr w:rsidR="00FF7EB3" w:rsidRPr="00E033DA" w14:paraId="6340954D" w14:textId="77777777" w:rsidTr="009B5860">
        <w:tc>
          <w:tcPr>
            <w:tcW w:w="1953" w:type="dxa"/>
          </w:tcPr>
          <w:p w14:paraId="4003EE94" w14:textId="77777777" w:rsidR="00FF7EB3" w:rsidRPr="0007340B" w:rsidRDefault="00FF7EB3" w:rsidP="00C62DFE">
            <w:pPr>
              <w:rPr>
                <w:rFonts w:ascii="Times New Roman" w:eastAsia="Calibri" w:hAnsi="Times New Roman" w:cs="Times New Roman"/>
                <w:sz w:val="20"/>
                <w:szCs w:val="20"/>
              </w:rPr>
            </w:pPr>
          </w:p>
        </w:tc>
        <w:tc>
          <w:tcPr>
            <w:tcW w:w="2017" w:type="dxa"/>
          </w:tcPr>
          <w:p w14:paraId="71E474AF"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CCI</w:t>
            </w:r>
          </w:p>
        </w:tc>
        <w:tc>
          <w:tcPr>
            <w:tcW w:w="1021" w:type="dxa"/>
          </w:tcPr>
          <w:p w14:paraId="645D645E" w14:textId="77777777" w:rsidR="00FF7EB3" w:rsidRPr="0007340B" w:rsidRDefault="00FF7EB3">
            <w:pPr>
              <w:jc w:val="center"/>
              <w:rPr>
                <w:rFonts w:ascii="Calibri" w:eastAsia="Calibri" w:hAnsi="Calibri" w:cs="Times New Roman"/>
                <w:sz w:val="20"/>
                <w:szCs w:val="20"/>
              </w:rPr>
            </w:pPr>
            <w:r w:rsidRPr="0007340B">
              <w:rPr>
                <w:rFonts w:ascii="Symbol" w:eastAsia="Calibri" w:hAnsi="Symbol" w:cs="Times New Roman"/>
                <w:sz w:val="20"/>
                <w:szCs w:val="20"/>
              </w:rPr>
              <w:t></w:t>
            </w:r>
            <w:r w:rsidRPr="0007340B">
              <w:rPr>
                <w:rFonts w:ascii="Symbol" w:eastAsia="Calibri" w:hAnsi="Symbol" w:cs="Times New Roman"/>
                <w:sz w:val="20"/>
                <w:szCs w:val="20"/>
                <w:vertAlign w:val="superscript"/>
              </w:rPr>
              <w:t></w:t>
            </w:r>
          </w:p>
        </w:tc>
        <w:tc>
          <w:tcPr>
            <w:tcW w:w="987" w:type="dxa"/>
          </w:tcPr>
          <w:p w14:paraId="6DE061A8"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14.34</w:t>
            </w:r>
          </w:p>
        </w:tc>
        <w:tc>
          <w:tcPr>
            <w:tcW w:w="923" w:type="dxa"/>
          </w:tcPr>
          <w:p w14:paraId="540F5F5E" w14:textId="77777777" w:rsidR="00FF7EB3" w:rsidRPr="0007340B" w:rsidRDefault="00FF7EB3">
            <w:pPr>
              <w:jc w:val="center"/>
              <w:rPr>
                <w:rFonts w:ascii="Times New Roman" w:eastAsia="Calibri" w:hAnsi="Times New Roman" w:cs="Times New Roman"/>
                <w:sz w:val="20"/>
                <w:szCs w:val="20"/>
                <w:lang w:val="en-GB"/>
              </w:rPr>
            </w:pPr>
            <w:r w:rsidRPr="0007340B">
              <w:rPr>
                <w:rFonts w:ascii="Times New Roman" w:eastAsia="Calibri" w:hAnsi="Times New Roman" w:cs="Times New Roman"/>
                <w:sz w:val="20"/>
                <w:szCs w:val="20"/>
                <w:lang w:val="en-GB"/>
              </w:rPr>
              <w:t>1</w:t>
            </w:r>
          </w:p>
        </w:tc>
        <w:tc>
          <w:tcPr>
            <w:tcW w:w="1049" w:type="dxa"/>
          </w:tcPr>
          <w:p w14:paraId="6CCA845E"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0.0002</w:t>
            </w:r>
          </w:p>
        </w:tc>
        <w:tc>
          <w:tcPr>
            <w:tcW w:w="1715" w:type="dxa"/>
          </w:tcPr>
          <w:p w14:paraId="30450794"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98</w:t>
            </w:r>
          </w:p>
        </w:tc>
      </w:tr>
      <w:tr w:rsidR="00FF7EB3" w:rsidRPr="00E033DA" w14:paraId="7F4D10A0" w14:textId="77777777" w:rsidTr="009B5860">
        <w:tc>
          <w:tcPr>
            <w:tcW w:w="1953" w:type="dxa"/>
          </w:tcPr>
          <w:p w14:paraId="3FAC9153" w14:textId="77777777" w:rsidR="00FF7EB3" w:rsidRPr="0007340B" w:rsidRDefault="00FF7EB3" w:rsidP="00C62DFE">
            <w:pPr>
              <w:rPr>
                <w:rFonts w:ascii="Times New Roman" w:eastAsia="Calibri" w:hAnsi="Times New Roman" w:cs="Times New Roman"/>
                <w:sz w:val="20"/>
                <w:szCs w:val="20"/>
              </w:rPr>
            </w:pPr>
          </w:p>
        </w:tc>
        <w:tc>
          <w:tcPr>
            <w:tcW w:w="2017" w:type="dxa"/>
          </w:tcPr>
          <w:p w14:paraId="5A4FFBA3"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Treat (</w:t>
            </w:r>
            <w:proofErr w:type="spellStart"/>
            <w:r w:rsidRPr="0007340B">
              <w:rPr>
                <w:rFonts w:ascii="Times New Roman" w:eastAsia="Calibri" w:hAnsi="Times New Roman" w:cs="Times New Roman"/>
                <w:sz w:val="20"/>
                <w:szCs w:val="20"/>
                <w:lang w:val="en-GB"/>
              </w:rPr>
              <w:t>Syst</w:t>
            </w:r>
            <w:proofErr w:type="spellEnd"/>
            <w:r w:rsidRPr="0007340B">
              <w:rPr>
                <w:rFonts w:ascii="Times New Roman" w:eastAsia="Calibri" w:hAnsi="Times New Roman" w:cs="Times New Roman"/>
                <w:sz w:val="20"/>
                <w:szCs w:val="20"/>
              </w:rPr>
              <w:t xml:space="preserve"> or BSC)</w:t>
            </w:r>
          </w:p>
        </w:tc>
        <w:tc>
          <w:tcPr>
            <w:tcW w:w="1021" w:type="dxa"/>
          </w:tcPr>
          <w:p w14:paraId="497577ED" w14:textId="77777777" w:rsidR="00FF7EB3" w:rsidRPr="0007340B" w:rsidRDefault="00FF7EB3">
            <w:pPr>
              <w:jc w:val="center"/>
              <w:rPr>
                <w:rFonts w:ascii="Calibri" w:eastAsia="Calibri" w:hAnsi="Calibri" w:cs="Times New Roman"/>
                <w:sz w:val="20"/>
                <w:szCs w:val="20"/>
              </w:rPr>
            </w:pPr>
            <w:r w:rsidRPr="0007340B">
              <w:rPr>
                <w:rFonts w:ascii="Symbol" w:eastAsia="Calibri" w:hAnsi="Symbol" w:cs="Times New Roman"/>
                <w:sz w:val="20"/>
                <w:szCs w:val="20"/>
              </w:rPr>
              <w:t></w:t>
            </w:r>
            <w:r w:rsidRPr="0007340B">
              <w:rPr>
                <w:rFonts w:ascii="Symbol" w:eastAsia="Calibri" w:hAnsi="Symbol" w:cs="Times New Roman"/>
                <w:sz w:val="20"/>
                <w:szCs w:val="20"/>
                <w:vertAlign w:val="superscript"/>
              </w:rPr>
              <w:t></w:t>
            </w:r>
          </w:p>
        </w:tc>
        <w:tc>
          <w:tcPr>
            <w:tcW w:w="987" w:type="dxa"/>
          </w:tcPr>
          <w:p w14:paraId="3A86A586"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1.078</w:t>
            </w:r>
          </w:p>
        </w:tc>
        <w:tc>
          <w:tcPr>
            <w:tcW w:w="923" w:type="dxa"/>
          </w:tcPr>
          <w:p w14:paraId="5A88EB22" w14:textId="77777777" w:rsidR="00FF7EB3" w:rsidRPr="0007340B" w:rsidRDefault="00FF7EB3">
            <w:pPr>
              <w:jc w:val="center"/>
              <w:rPr>
                <w:rFonts w:ascii="Times New Roman" w:eastAsia="Calibri" w:hAnsi="Times New Roman" w:cs="Times New Roman"/>
                <w:sz w:val="20"/>
                <w:szCs w:val="20"/>
                <w:lang w:val="en-GB"/>
              </w:rPr>
            </w:pPr>
            <w:r w:rsidRPr="0007340B">
              <w:rPr>
                <w:rFonts w:ascii="Times New Roman" w:eastAsia="Calibri" w:hAnsi="Times New Roman" w:cs="Times New Roman"/>
                <w:sz w:val="20"/>
                <w:szCs w:val="20"/>
                <w:lang w:val="en-GB"/>
              </w:rPr>
              <w:t>1</w:t>
            </w:r>
          </w:p>
        </w:tc>
        <w:tc>
          <w:tcPr>
            <w:tcW w:w="1049" w:type="dxa"/>
          </w:tcPr>
          <w:p w14:paraId="51B14EF1"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0.299</w:t>
            </w:r>
          </w:p>
        </w:tc>
        <w:tc>
          <w:tcPr>
            <w:tcW w:w="1715" w:type="dxa"/>
          </w:tcPr>
          <w:p w14:paraId="1A2E5A5B"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44</w:t>
            </w:r>
          </w:p>
        </w:tc>
      </w:tr>
      <w:tr w:rsidR="00FF7EB3" w:rsidRPr="00E033DA" w14:paraId="7E8FDEA6" w14:textId="77777777" w:rsidTr="009B5860">
        <w:tc>
          <w:tcPr>
            <w:tcW w:w="1953" w:type="dxa"/>
          </w:tcPr>
          <w:p w14:paraId="4A83B379" w14:textId="77777777" w:rsidR="00FF7EB3" w:rsidRPr="0007340B" w:rsidRDefault="00FF7EB3" w:rsidP="00C62DFE">
            <w:pPr>
              <w:rPr>
                <w:rFonts w:ascii="Times New Roman" w:eastAsia="Calibri" w:hAnsi="Times New Roman" w:cs="Times New Roman"/>
                <w:sz w:val="20"/>
                <w:szCs w:val="20"/>
              </w:rPr>
            </w:pPr>
          </w:p>
        </w:tc>
        <w:tc>
          <w:tcPr>
            <w:tcW w:w="2017" w:type="dxa"/>
          </w:tcPr>
          <w:p w14:paraId="398911C8" w14:textId="77777777" w:rsidR="00FF7EB3" w:rsidRPr="0007340B" w:rsidRDefault="00FF7EB3">
            <w:pPr>
              <w:rPr>
                <w:rFonts w:ascii="Times New Roman" w:eastAsia="Calibri" w:hAnsi="Times New Roman" w:cs="Times New Roman"/>
                <w:sz w:val="20"/>
                <w:szCs w:val="20"/>
              </w:rPr>
            </w:pPr>
            <w:proofErr w:type="spellStart"/>
            <w:r w:rsidRPr="0007340B">
              <w:rPr>
                <w:rFonts w:ascii="Times New Roman" w:eastAsia="Calibri" w:hAnsi="Times New Roman" w:cs="Times New Roman"/>
                <w:sz w:val="20"/>
                <w:szCs w:val="20"/>
                <w:lang w:val="en-GB"/>
              </w:rPr>
              <w:t>Syst</w:t>
            </w:r>
            <w:proofErr w:type="spellEnd"/>
            <w:r w:rsidRPr="0007340B" w:rsidDel="00E10735">
              <w:rPr>
                <w:rFonts w:ascii="Times New Roman" w:eastAsia="Calibri" w:hAnsi="Times New Roman" w:cs="Times New Roman"/>
                <w:sz w:val="20"/>
                <w:szCs w:val="20"/>
              </w:rPr>
              <w:t xml:space="preserve"> </w:t>
            </w:r>
          </w:p>
          <w:p w14:paraId="5A7C03EA"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w:t>
            </w:r>
            <w:proofErr w:type="spellStart"/>
            <w:r w:rsidRPr="0007340B">
              <w:rPr>
                <w:rFonts w:ascii="Times New Roman" w:eastAsia="Calibri" w:hAnsi="Times New Roman" w:cs="Times New Roman"/>
                <w:sz w:val="20"/>
                <w:szCs w:val="20"/>
              </w:rPr>
              <w:t>Cisp</w:t>
            </w:r>
            <w:proofErr w:type="spellEnd"/>
            <w:r w:rsidRPr="0007340B">
              <w:rPr>
                <w:rFonts w:ascii="Times New Roman" w:eastAsia="Calibri" w:hAnsi="Times New Roman" w:cs="Times New Roman"/>
                <w:sz w:val="20"/>
                <w:szCs w:val="20"/>
              </w:rPr>
              <w:t>. D or Carb. D)</w:t>
            </w:r>
          </w:p>
        </w:tc>
        <w:tc>
          <w:tcPr>
            <w:tcW w:w="1021" w:type="dxa"/>
          </w:tcPr>
          <w:p w14:paraId="62AF152D" w14:textId="77777777" w:rsidR="00FF7EB3" w:rsidRPr="0007340B" w:rsidRDefault="00FF7EB3">
            <w:pPr>
              <w:jc w:val="center"/>
              <w:rPr>
                <w:rFonts w:ascii="Calibri" w:eastAsia="Calibri" w:hAnsi="Calibri" w:cs="Times New Roman"/>
                <w:sz w:val="20"/>
                <w:szCs w:val="20"/>
              </w:rPr>
            </w:pPr>
            <w:r w:rsidRPr="0007340B">
              <w:rPr>
                <w:rFonts w:ascii="Symbol" w:eastAsia="Calibri" w:hAnsi="Symbol" w:cs="Times New Roman"/>
                <w:sz w:val="20"/>
                <w:szCs w:val="20"/>
              </w:rPr>
              <w:t></w:t>
            </w:r>
            <w:r w:rsidRPr="0007340B">
              <w:rPr>
                <w:rFonts w:ascii="Symbol" w:eastAsia="Calibri" w:hAnsi="Symbol" w:cs="Times New Roman"/>
                <w:sz w:val="20"/>
                <w:szCs w:val="20"/>
                <w:vertAlign w:val="superscript"/>
              </w:rPr>
              <w:t></w:t>
            </w:r>
          </w:p>
        </w:tc>
        <w:tc>
          <w:tcPr>
            <w:tcW w:w="987" w:type="dxa"/>
          </w:tcPr>
          <w:p w14:paraId="71CC5223"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4.07</w:t>
            </w:r>
          </w:p>
        </w:tc>
        <w:tc>
          <w:tcPr>
            <w:tcW w:w="923" w:type="dxa"/>
          </w:tcPr>
          <w:p w14:paraId="4677ED0B"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1</w:t>
            </w:r>
          </w:p>
        </w:tc>
        <w:tc>
          <w:tcPr>
            <w:tcW w:w="1049" w:type="dxa"/>
          </w:tcPr>
          <w:p w14:paraId="01CDA13B"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0.044</w:t>
            </w:r>
          </w:p>
        </w:tc>
        <w:tc>
          <w:tcPr>
            <w:tcW w:w="1715" w:type="dxa"/>
          </w:tcPr>
          <w:p w14:paraId="48AF0CEE" w14:textId="77777777" w:rsidR="00FF7EB3" w:rsidRPr="0007340B" w:rsidRDefault="00FF7EB3">
            <w:pPr>
              <w:jc w:val="center"/>
              <w:rPr>
                <w:rFonts w:ascii="Times New Roman" w:eastAsia="Calibri" w:hAnsi="Times New Roman" w:cs="Times New Roman"/>
                <w:sz w:val="20"/>
                <w:szCs w:val="20"/>
                <w:lang w:val="en-GB"/>
              </w:rPr>
            </w:pPr>
            <w:r w:rsidRPr="0007340B">
              <w:rPr>
                <w:rFonts w:ascii="Times New Roman" w:eastAsia="Calibri" w:hAnsi="Times New Roman" w:cs="Times New Roman"/>
                <w:sz w:val="20"/>
                <w:szCs w:val="20"/>
              </w:rPr>
              <w:t>8</w:t>
            </w:r>
          </w:p>
        </w:tc>
      </w:tr>
      <w:tr w:rsidR="00FF7EB3" w:rsidRPr="00E033DA" w14:paraId="68D86FC0" w14:textId="77777777" w:rsidTr="009B5860">
        <w:tc>
          <w:tcPr>
            <w:tcW w:w="1953" w:type="dxa"/>
          </w:tcPr>
          <w:p w14:paraId="705D957D" w14:textId="77777777" w:rsidR="00FF7EB3" w:rsidRPr="0007340B" w:rsidRDefault="00FF7EB3" w:rsidP="00C62DFE">
            <w:pPr>
              <w:rPr>
                <w:rFonts w:ascii="Times New Roman" w:eastAsia="Calibri" w:hAnsi="Times New Roman" w:cs="Times New Roman"/>
                <w:sz w:val="20"/>
                <w:szCs w:val="20"/>
              </w:rPr>
            </w:pPr>
          </w:p>
        </w:tc>
        <w:tc>
          <w:tcPr>
            <w:tcW w:w="2017" w:type="dxa"/>
          </w:tcPr>
          <w:p w14:paraId="513CE11C"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 xml:space="preserve">Age </w:t>
            </w:r>
          </w:p>
        </w:tc>
        <w:tc>
          <w:tcPr>
            <w:tcW w:w="1021" w:type="dxa"/>
          </w:tcPr>
          <w:p w14:paraId="2794BD06" w14:textId="77777777" w:rsidR="00FF7EB3" w:rsidRPr="0007340B" w:rsidRDefault="00FF7EB3">
            <w:pPr>
              <w:jc w:val="center"/>
              <w:rPr>
                <w:rFonts w:ascii="Times New Roman" w:eastAsia="Calibri" w:hAnsi="Times New Roman" w:cs="Times New Roman"/>
                <w:sz w:val="20"/>
                <w:szCs w:val="20"/>
              </w:rPr>
            </w:pPr>
            <w:proofErr w:type="spellStart"/>
            <w:r w:rsidRPr="0007340B">
              <w:rPr>
                <w:rFonts w:ascii="Times New Roman" w:eastAsia="Calibri" w:hAnsi="Times New Roman" w:cs="Times New Roman"/>
                <w:sz w:val="20"/>
                <w:szCs w:val="20"/>
              </w:rPr>
              <w:t>ttest</w:t>
            </w:r>
            <w:proofErr w:type="spellEnd"/>
          </w:p>
        </w:tc>
        <w:tc>
          <w:tcPr>
            <w:tcW w:w="987" w:type="dxa"/>
          </w:tcPr>
          <w:p w14:paraId="10245E75"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6.10</w:t>
            </w:r>
          </w:p>
        </w:tc>
        <w:tc>
          <w:tcPr>
            <w:tcW w:w="923" w:type="dxa"/>
          </w:tcPr>
          <w:p w14:paraId="5E4868B9" w14:textId="77777777" w:rsidR="00FF7EB3" w:rsidRPr="0007340B" w:rsidRDefault="00FF7EB3">
            <w:pPr>
              <w:jc w:val="center"/>
              <w:rPr>
                <w:rFonts w:ascii="Times New Roman" w:eastAsia="Calibri" w:hAnsi="Times New Roman" w:cs="Times New Roman"/>
                <w:sz w:val="20"/>
                <w:szCs w:val="20"/>
                <w:lang w:val="en-GB"/>
              </w:rPr>
            </w:pPr>
            <w:r w:rsidRPr="0007340B">
              <w:rPr>
                <w:rFonts w:ascii="Times New Roman" w:eastAsia="Calibri" w:hAnsi="Times New Roman" w:cs="Times New Roman"/>
                <w:sz w:val="20"/>
                <w:szCs w:val="20"/>
                <w:lang w:val="en-GB"/>
              </w:rPr>
              <w:t>1865.7</w:t>
            </w:r>
          </w:p>
        </w:tc>
        <w:tc>
          <w:tcPr>
            <w:tcW w:w="1049" w:type="dxa"/>
          </w:tcPr>
          <w:p w14:paraId="1AE66038"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&lt;0.0001</w:t>
            </w:r>
          </w:p>
        </w:tc>
        <w:tc>
          <w:tcPr>
            <w:tcW w:w="1715" w:type="dxa"/>
          </w:tcPr>
          <w:p w14:paraId="1306041C"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100</w:t>
            </w:r>
          </w:p>
        </w:tc>
      </w:tr>
      <w:tr w:rsidR="00FF7EB3" w:rsidRPr="00E033DA" w14:paraId="43A9EB5A" w14:textId="77777777" w:rsidTr="009B5860">
        <w:tc>
          <w:tcPr>
            <w:tcW w:w="1953" w:type="dxa"/>
          </w:tcPr>
          <w:p w14:paraId="524400D3" w14:textId="77777777" w:rsidR="00FF7EB3" w:rsidRPr="0007340B" w:rsidRDefault="00FF7EB3" w:rsidP="00C62DFE">
            <w:pPr>
              <w:rPr>
                <w:rFonts w:ascii="Times New Roman" w:eastAsia="Calibri" w:hAnsi="Times New Roman" w:cs="Times New Roman"/>
                <w:sz w:val="20"/>
                <w:szCs w:val="20"/>
              </w:rPr>
            </w:pPr>
            <w:r w:rsidRPr="0007340B">
              <w:rPr>
                <w:rFonts w:ascii="Times New Roman" w:eastAsia="Calibri" w:hAnsi="Times New Roman" w:cs="Times New Roman"/>
                <w:sz w:val="20"/>
                <w:szCs w:val="20"/>
              </w:rPr>
              <w:t>PS</w:t>
            </w:r>
          </w:p>
        </w:tc>
        <w:tc>
          <w:tcPr>
            <w:tcW w:w="2017" w:type="dxa"/>
          </w:tcPr>
          <w:p w14:paraId="15E083F5"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CCI</w:t>
            </w:r>
          </w:p>
        </w:tc>
        <w:tc>
          <w:tcPr>
            <w:tcW w:w="1021" w:type="dxa"/>
          </w:tcPr>
          <w:p w14:paraId="613317A8" w14:textId="77777777" w:rsidR="00FF7EB3" w:rsidRPr="0007340B" w:rsidRDefault="00FF7EB3">
            <w:pPr>
              <w:jc w:val="center"/>
              <w:rPr>
                <w:rFonts w:ascii="Calibri" w:eastAsia="Calibri" w:hAnsi="Calibri" w:cs="Times New Roman"/>
                <w:sz w:val="20"/>
                <w:szCs w:val="20"/>
              </w:rPr>
            </w:pPr>
            <w:r w:rsidRPr="0007340B">
              <w:rPr>
                <w:rFonts w:ascii="Symbol" w:eastAsia="Calibri" w:hAnsi="Symbol" w:cs="Times New Roman"/>
                <w:sz w:val="20"/>
                <w:szCs w:val="20"/>
              </w:rPr>
              <w:t></w:t>
            </w:r>
            <w:r w:rsidRPr="0007340B">
              <w:rPr>
                <w:rFonts w:ascii="Symbol" w:eastAsia="Calibri" w:hAnsi="Symbol" w:cs="Times New Roman"/>
                <w:sz w:val="20"/>
                <w:szCs w:val="20"/>
                <w:vertAlign w:val="superscript"/>
              </w:rPr>
              <w:t></w:t>
            </w:r>
          </w:p>
        </w:tc>
        <w:tc>
          <w:tcPr>
            <w:tcW w:w="987" w:type="dxa"/>
          </w:tcPr>
          <w:p w14:paraId="001F7714"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24.89</w:t>
            </w:r>
          </w:p>
        </w:tc>
        <w:tc>
          <w:tcPr>
            <w:tcW w:w="923" w:type="dxa"/>
          </w:tcPr>
          <w:p w14:paraId="5227F515" w14:textId="77777777" w:rsidR="00FF7EB3" w:rsidRPr="0007340B" w:rsidRDefault="00FF7EB3">
            <w:pPr>
              <w:jc w:val="center"/>
              <w:rPr>
                <w:rFonts w:ascii="Times New Roman" w:eastAsia="Calibri" w:hAnsi="Times New Roman" w:cs="Times New Roman"/>
                <w:sz w:val="20"/>
                <w:szCs w:val="20"/>
                <w:lang w:val="en-GB"/>
              </w:rPr>
            </w:pPr>
            <w:r w:rsidRPr="0007340B">
              <w:rPr>
                <w:rFonts w:ascii="Times New Roman" w:eastAsia="Calibri" w:hAnsi="Times New Roman" w:cs="Times New Roman"/>
                <w:sz w:val="20"/>
                <w:szCs w:val="20"/>
                <w:lang w:val="en-GB"/>
              </w:rPr>
              <w:t>2</w:t>
            </w:r>
          </w:p>
        </w:tc>
        <w:tc>
          <w:tcPr>
            <w:tcW w:w="1049" w:type="dxa"/>
          </w:tcPr>
          <w:p w14:paraId="61F21705"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&lt;0.0001</w:t>
            </w:r>
          </w:p>
        </w:tc>
        <w:tc>
          <w:tcPr>
            <w:tcW w:w="1715" w:type="dxa"/>
          </w:tcPr>
          <w:p w14:paraId="1F6A14BA"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100</w:t>
            </w:r>
          </w:p>
        </w:tc>
      </w:tr>
      <w:tr w:rsidR="00FF7EB3" w:rsidRPr="00E033DA" w14:paraId="4AD0662F" w14:textId="77777777" w:rsidTr="009B5860">
        <w:tc>
          <w:tcPr>
            <w:tcW w:w="1953" w:type="dxa"/>
          </w:tcPr>
          <w:p w14:paraId="68B6B5FB" w14:textId="77777777" w:rsidR="00FF7EB3" w:rsidRPr="0007340B" w:rsidRDefault="00FF7EB3" w:rsidP="00C62DFE">
            <w:pPr>
              <w:rPr>
                <w:rFonts w:ascii="Times New Roman" w:eastAsia="Calibri" w:hAnsi="Times New Roman" w:cs="Times New Roman"/>
                <w:sz w:val="20"/>
                <w:szCs w:val="20"/>
              </w:rPr>
            </w:pPr>
          </w:p>
        </w:tc>
        <w:tc>
          <w:tcPr>
            <w:tcW w:w="2017" w:type="dxa"/>
          </w:tcPr>
          <w:p w14:paraId="447059AA"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Treat (</w:t>
            </w:r>
            <w:proofErr w:type="spellStart"/>
            <w:r w:rsidRPr="0007340B">
              <w:rPr>
                <w:rFonts w:ascii="Times New Roman" w:eastAsia="Calibri" w:hAnsi="Times New Roman" w:cs="Times New Roman"/>
                <w:sz w:val="20"/>
                <w:szCs w:val="20"/>
                <w:lang w:val="en-GB"/>
              </w:rPr>
              <w:t>Syst</w:t>
            </w:r>
            <w:proofErr w:type="spellEnd"/>
            <w:r w:rsidRPr="0007340B">
              <w:rPr>
                <w:rFonts w:ascii="Times New Roman" w:eastAsia="Calibri" w:hAnsi="Times New Roman" w:cs="Times New Roman"/>
                <w:sz w:val="20"/>
                <w:szCs w:val="20"/>
              </w:rPr>
              <w:t xml:space="preserve"> or BSC)</w:t>
            </w:r>
          </w:p>
        </w:tc>
        <w:tc>
          <w:tcPr>
            <w:tcW w:w="1021" w:type="dxa"/>
          </w:tcPr>
          <w:p w14:paraId="252CB5C9" w14:textId="77777777" w:rsidR="00FF7EB3" w:rsidRPr="0007340B" w:rsidRDefault="00FF7EB3">
            <w:pPr>
              <w:jc w:val="center"/>
              <w:rPr>
                <w:rFonts w:ascii="Calibri" w:eastAsia="Calibri" w:hAnsi="Calibri" w:cs="Times New Roman"/>
                <w:sz w:val="20"/>
                <w:szCs w:val="20"/>
              </w:rPr>
            </w:pPr>
            <w:r w:rsidRPr="0007340B">
              <w:rPr>
                <w:rFonts w:ascii="Symbol" w:eastAsia="Calibri" w:hAnsi="Symbol" w:cs="Times New Roman"/>
                <w:sz w:val="20"/>
                <w:szCs w:val="20"/>
              </w:rPr>
              <w:t></w:t>
            </w:r>
            <w:r w:rsidRPr="0007340B">
              <w:rPr>
                <w:rFonts w:ascii="Symbol" w:eastAsia="Calibri" w:hAnsi="Symbol" w:cs="Times New Roman"/>
                <w:sz w:val="20"/>
                <w:szCs w:val="20"/>
                <w:vertAlign w:val="superscript"/>
              </w:rPr>
              <w:t></w:t>
            </w:r>
          </w:p>
        </w:tc>
        <w:tc>
          <w:tcPr>
            <w:tcW w:w="987" w:type="dxa"/>
          </w:tcPr>
          <w:p w14:paraId="3F46B07E"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240.87</w:t>
            </w:r>
          </w:p>
        </w:tc>
        <w:tc>
          <w:tcPr>
            <w:tcW w:w="923" w:type="dxa"/>
          </w:tcPr>
          <w:p w14:paraId="15EDAEC3" w14:textId="77777777" w:rsidR="00FF7EB3" w:rsidRPr="0007340B" w:rsidRDefault="00FF7EB3">
            <w:pPr>
              <w:jc w:val="center"/>
              <w:rPr>
                <w:rFonts w:ascii="Times New Roman" w:eastAsia="Calibri" w:hAnsi="Times New Roman" w:cs="Times New Roman"/>
                <w:sz w:val="20"/>
                <w:szCs w:val="20"/>
                <w:lang w:val="en-GB"/>
              </w:rPr>
            </w:pPr>
            <w:r w:rsidRPr="0007340B">
              <w:rPr>
                <w:rFonts w:ascii="Times New Roman" w:eastAsia="Calibri" w:hAnsi="Times New Roman" w:cs="Times New Roman"/>
                <w:sz w:val="20"/>
                <w:szCs w:val="20"/>
                <w:lang w:val="en-GB"/>
              </w:rPr>
              <w:t>2</w:t>
            </w:r>
          </w:p>
        </w:tc>
        <w:tc>
          <w:tcPr>
            <w:tcW w:w="1049" w:type="dxa"/>
          </w:tcPr>
          <w:p w14:paraId="5A563246"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&lt;0.0001</w:t>
            </w:r>
          </w:p>
        </w:tc>
        <w:tc>
          <w:tcPr>
            <w:tcW w:w="1715" w:type="dxa"/>
          </w:tcPr>
          <w:p w14:paraId="37D3938D"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100</w:t>
            </w:r>
          </w:p>
        </w:tc>
      </w:tr>
      <w:tr w:rsidR="00FF7EB3" w:rsidRPr="00E033DA" w14:paraId="77038481" w14:textId="77777777" w:rsidTr="009B5860">
        <w:tc>
          <w:tcPr>
            <w:tcW w:w="1953" w:type="dxa"/>
          </w:tcPr>
          <w:p w14:paraId="37ECEA5F" w14:textId="77777777" w:rsidR="00FF7EB3" w:rsidRPr="0007340B" w:rsidRDefault="00FF7EB3" w:rsidP="00C62DFE">
            <w:pPr>
              <w:rPr>
                <w:rFonts w:ascii="Times New Roman" w:eastAsia="Calibri" w:hAnsi="Times New Roman" w:cs="Times New Roman"/>
                <w:sz w:val="20"/>
                <w:szCs w:val="20"/>
              </w:rPr>
            </w:pPr>
          </w:p>
        </w:tc>
        <w:tc>
          <w:tcPr>
            <w:tcW w:w="2017" w:type="dxa"/>
          </w:tcPr>
          <w:p w14:paraId="16E81B6D" w14:textId="77777777" w:rsidR="00FF7EB3" w:rsidRPr="0007340B" w:rsidRDefault="00FF7EB3">
            <w:pPr>
              <w:rPr>
                <w:rFonts w:ascii="Times New Roman" w:eastAsia="Calibri" w:hAnsi="Times New Roman" w:cs="Times New Roman"/>
                <w:sz w:val="20"/>
                <w:szCs w:val="20"/>
              </w:rPr>
            </w:pPr>
            <w:proofErr w:type="spellStart"/>
            <w:r w:rsidRPr="0007340B">
              <w:rPr>
                <w:rFonts w:ascii="Times New Roman" w:eastAsia="Calibri" w:hAnsi="Times New Roman" w:cs="Times New Roman"/>
                <w:sz w:val="20"/>
                <w:szCs w:val="20"/>
                <w:lang w:val="en-GB"/>
              </w:rPr>
              <w:t>Syst</w:t>
            </w:r>
            <w:proofErr w:type="spellEnd"/>
            <w:r w:rsidRPr="0007340B" w:rsidDel="00E10735">
              <w:rPr>
                <w:rFonts w:ascii="Times New Roman" w:eastAsia="Calibri" w:hAnsi="Times New Roman" w:cs="Times New Roman"/>
                <w:sz w:val="20"/>
                <w:szCs w:val="20"/>
              </w:rPr>
              <w:t xml:space="preserve"> </w:t>
            </w:r>
            <w:r w:rsidRPr="0007340B">
              <w:rPr>
                <w:rFonts w:ascii="Times New Roman" w:eastAsia="Calibri" w:hAnsi="Times New Roman" w:cs="Times New Roman"/>
                <w:sz w:val="20"/>
                <w:szCs w:val="20"/>
              </w:rPr>
              <w:t xml:space="preserve"> </w:t>
            </w:r>
          </w:p>
          <w:p w14:paraId="6170E110"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w:t>
            </w:r>
            <w:proofErr w:type="spellStart"/>
            <w:r w:rsidRPr="0007340B">
              <w:rPr>
                <w:rFonts w:ascii="Times New Roman" w:eastAsia="Calibri" w:hAnsi="Times New Roman" w:cs="Times New Roman"/>
                <w:sz w:val="20"/>
                <w:szCs w:val="20"/>
              </w:rPr>
              <w:t>Cisp.D</w:t>
            </w:r>
            <w:proofErr w:type="spellEnd"/>
            <w:r w:rsidRPr="0007340B">
              <w:rPr>
                <w:rFonts w:ascii="Times New Roman" w:eastAsia="Calibri" w:hAnsi="Times New Roman" w:cs="Times New Roman"/>
                <w:sz w:val="20"/>
                <w:szCs w:val="20"/>
              </w:rPr>
              <w:t xml:space="preserve"> or Carb. D)</w:t>
            </w:r>
          </w:p>
        </w:tc>
        <w:tc>
          <w:tcPr>
            <w:tcW w:w="1021" w:type="dxa"/>
          </w:tcPr>
          <w:p w14:paraId="4277130E" w14:textId="77777777" w:rsidR="00FF7EB3" w:rsidRPr="0007340B" w:rsidRDefault="00FF7EB3">
            <w:pPr>
              <w:jc w:val="center"/>
              <w:rPr>
                <w:rFonts w:ascii="Calibri" w:eastAsia="Calibri" w:hAnsi="Calibri" w:cs="Times New Roman"/>
                <w:sz w:val="20"/>
                <w:szCs w:val="20"/>
              </w:rPr>
            </w:pPr>
            <w:r w:rsidRPr="0007340B">
              <w:rPr>
                <w:rFonts w:ascii="Symbol" w:eastAsia="Calibri" w:hAnsi="Symbol" w:cs="Times New Roman"/>
                <w:sz w:val="20"/>
                <w:szCs w:val="20"/>
              </w:rPr>
              <w:t></w:t>
            </w:r>
            <w:r w:rsidRPr="0007340B">
              <w:rPr>
                <w:rFonts w:ascii="Symbol" w:eastAsia="Calibri" w:hAnsi="Symbol" w:cs="Times New Roman"/>
                <w:sz w:val="20"/>
                <w:szCs w:val="20"/>
                <w:vertAlign w:val="superscript"/>
              </w:rPr>
              <w:t></w:t>
            </w:r>
          </w:p>
        </w:tc>
        <w:tc>
          <w:tcPr>
            <w:tcW w:w="987" w:type="dxa"/>
          </w:tcPr>
          <w:p w14:paraId="6D22DDAB"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10.61</w:t>
            </w:r>
          </w:p>
        </w:tc>
        <w:tc>
          <w:tcPr>
            <w:tcW w:w="923" w:type="dxa"/>
          </w:tcPr>
          <w:p w14:paraId="6D9EE44D"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2</w:t>
            </w:r>
          </w:p>
        </w:tc>
        <w:tc>
          <w:tcPr>
            <w:tcW w:w="1049" w:type="dxa"/>
          </w:tcPr>
          <w:p w14:paraId="03A94F7E"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0.005</w:t>
            </w:r>
          </w:p>
        </w:tc>
        <w:tc>
          <w:tcPr>
            <w:tcW w:w="1715" w:type="dxa"/>
          </w:tcPr>
          <w:p w14:paraId="115B4F72"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93</w:t>
            </w:r>
          </w:p>
        </w:tc>
      </w:tr>
      <w:tr w:rsidR="00FF7EB3" w:rsidRPr="00E033DA" w14:paraId="52D809B8" w14:textId="77777777" w:rsidTr="009B5860">
        <w:tc>
          <w:tcPr>
            <w:tcW w:w="1953" w:type="dxa"/>
          </w:tcPr>
          <w:p w14:paraId="5CFF3CA0" w14:textId="77777777" w:rsidR="00FF7EB3" w:rsidRPr="0007340B" w:rsidRDefault="00FF7EB3" w:rsidP="00C62DFE">
            <w:pPr>
              <w:rPr>
                <w:rFonts w:ascii="Times New Roman" w:eastAsia="Calibri" w:hAnsi="Times New Roman" w:cs="Times New Roman"/>
                <w:sz w:val="20"/>
                <w:szCs w:val="20"/>
              </w:rPr>
            </w:pPr>
          </w:p>
        </w:tc>
        <w:tc>
          <w:tcPr>
            <w:tcW w:w="2017" w:type="dxa"/>
          </w:tcPr>
          <w:p w14:paraId="46C5B864"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 xml:space="preserve">Age at Diagnosis </w:t>
            </w:r>
          </w:p>
        </w:tc>
        <w:tc>
          <w:tcPr>
            <w:tcW w:w="1021" w:type="dxa"/>
          </w:tcPr>
          <w:p w14:paraId="2A3FAE3E" w14:textId="77777777" w:rsidR="00FF7EB3" w:rsidRPr="0007340B" w:rsidRDefault="00FF7EB3">
            <w:pPr>
              <w:jc w:val="center"/>
              <w:rPr>
                <w:rFonts w:ascii="Times New Roman" w:eastAsia="Calibri" w:hAnsi="Times New Roman" w:cs="Times New Roman"/>
                <w:sz w:val="20"/>
                <w:szCs w:val="20"/>
              </w:rPr>
            </w:pPr>
            <w:proofErr w:type="spellStart"/>
            <w:r w:rsidRPr="0007340B">
              <w:rPr>
                <w:rFonts w:ascii="Times New Roman" w:eastAsia="Calibri" w:hAnsi="Times New Roman" w:cs="Times New Roman"/>
                <w:sz w:val="20"/>
                <w:szCs w:val="20"/>
              </w:rPr>
              <w:t>Anova</w:t>
            </w:r>
            <w:proofErr w:type="spellEnd"/>
          </w:p>
        </w:tc>
        <w:tc>
          <w:tcPr>
            <w:tcW w:w="987" w:type="dxa"/>
          </w:tcPr>
          <w:p w14:paraId="680C5929"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46.18</w:t>
            </w:r>
          </w:p>
        </w:tc>
        <w:tc>
          <w:tcPr>
            <w:tcW w:w="923" w:type="dxa"/>
          </w:tcPr>
          <w:p w14:paraId="3CC57587" w14:textId="77777777" w:rsidR="00FF7EB3" w:rsidRPr="0007340B" w:rsidRDefault="00FF7EB3">
            <w:pPr>
              <w:jc w:val="center"/>
              <w:rPr>
                <w:rFonts w:ascii="Times New Roman" w:eastAsia="Calibri" w:hAnsi="Times New Roman" w:cs="Times New Roman"/>
                <w:sz w:val="20"/>
                <w:szCs w:val="20"/>
                <w:lang w:val="en-GB"/>
              </w:rPr>
            </w:pPr>
            <w:r w:rsidRPr="0007340B">
              <w:rPr>
                <w:rFonts w:ascii="Times New Roman" w:eastAsia="Calibri" w:hAnsi="Times New Roman" w:cs="Times New Roman"/>
                <w:sz w:val="20"/>
                <w:szCs w:val="20"/>
                <w:lang w:val="en-GB"/>
              </w:rPr>
              <w:t>2; 2193</w:t>
            </w:r>
          </w:p>
        </w:tc>
        <w:tc>
          <w:tcPr>
            <w:tcW w:w="1049" w:type="dxa"/>
          </w:tcPr>
          <w:p w14:paraId="7E3A8AA4"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&lt;0.0001</w:t>
            </w:r>
          </w:p>
        </w:tc>
        <w:tc>
          <w:tcPr>
            <w:tcW w:w="1715" w:type="dxa"/>
          </w:tcPr>
          <w:p w14:paraId="26E5A42D"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100</w:t>
            </w:r>
          </w:p>
        </w:tc>
      </w:tr>
      <w:tr w:rsidR="00FF7EB3" w:rsidRPr="00E033DA" w14:paraId="2F99D757" w14:textId="77777777" w:rsidTr="009B5860">
        <w:tc>
          <w:tcPr>
            <w:tcW w:w="1953" w:type="dxa"/>
          </w:tcPr>
          <w:p w14:paraId="44F9BA99" w14:textId="77777777" w:rsidR="00FF7EB3" w:rsidRPr="0007340B" w:rsidRDefault="00FF7EB3" w:rsidP="00C62DFE">
            <w:pPr>
              <w:rPr>
                <w:rFonts w:ascii="Times New Roman" w:eastAsia="Calibri" w:hAnsi="Times New Roman" w:cs="Times New Roman"/>
                <w:sz w:val="20"/>
                <w:szCs w:val="20"/>
              </w:rPr>
            </w:pPr>
            <w:r w:rsidRPr="0007340B">
              <w:rPr>
                <w:rFonts w:ascii="Times New Roman" w:eastAsia="Calibri" w:hAnsi="Times New Roman" w:cs="Times New Roman"/>
                <w:sz w:val="20"/>
                <w:szCs w:val="20"/>
              </w:rPr>
              <w:t>CCI</w:t>
            </w:r>
          </w:p>
        </w:tc>
        <w:tc>
          <w:tcPr>
            <w:tcW w:w="2017" w:type="dxa"/>
          </w:tcPr>
          <w:p w14:paraId="3B7868DB"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Treat (</w:t>
            </w:r>
            <w:proofErr w:type="spellStart"/>
            <w:r w:rsidRPr="0007340B">
              <w:rPr>
                <w:rFonts w:ascii="Times New Roman" w:eastAsia="Calibri" w:hAnsi="Times New Roman" w:cs="Times New Roman"/>
                <w:sz w:val="20"/>
                <w:szCs w:val="20"/>
                <w:lang w:val="en-GB"/>
              </w:rPr>
              <w:t>Syst</w:t>
            </w:r>
            <w:proofErr w:type="spellEnd"/>
            <w:r w:rsidRPr="0007340B">
              <w:rPr>
                <w:rFonts w:ascii="Times New Roman" w:eastAsia="Calibri" w:hAnsi="Times New Roman" w:cs="Times New Roman"/>
                <w:sz w:val="20"/>
                <w:szCs w:val="20"/>
              </w:rPr>
              <w:t xml:space="preserve"> or BSC)</w:t>
            </w:r>
          </w:p>
        </w:tc>
        <w:tc>
          <w:tcPr>
            <w:tcW w:w="1021" w:type="dxa"/>
          </w:tcPr>
          <w:p w14:paraId="155B7B45" w14:textId="77777777" w:rsidR="00FF7EB3" w:rsidRPr="0007340B" w:rsidRDefault="00FF7EB3">
            <w:pPr>
              <w:jc w:val="center"/>
              <w:rPr>
                <w:rFonts w:ascii="Calibri" w:eastAsia="Calibri" w:hAnsi="Calibri" w:cs="Times New Roman"/>
                <w:sz w:val="20"/>
                <w:szCs w:val="20"/>
              </w:rPr>
            </w:pPr>
            <w:r w:rsidRPr="0007340B">
              <w:rPr>
                <w:rFonts w:ascii="Symbol" w:eastAsia="Calibri" w:hAnsi="Symbol" w:cs="Times New Roman"/>
                <w:sz w:val="20"/>
                <w:szCs w:val="20"/>
              </w:rPr>
              <w:t></w:t>
            </w:r>
            <w:r w:rsidRPr="0007340B">
              <w:rPr>
                <w:rFonts w:ascii="Symbol" w:eastAsia="Calibri" w:hAnsi="Symbol" w:cs="Times New Roman"/>
                <w:sz w:val="20"/>
                <w:szCs w:val="20"/>
                <w:vertAlign w:val="superscript"/>
              </w:rPr>
              <w:t></w:t>
            </w:r>
          </w:p>
        </w:tc>
        <w:tc>
          <w:tcPr>
            <w:tcW w:w="987" w:type="dxa"/>
          </w:tcPr>
          <w:p w14:paraId="7194B425"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20.70</w:t>
            </w:r>
          </w:p>
        </w:tc>
        <w:tc>
          <w:tcPr>
            <w:tcW w:w="923" w:type="dxa"/>
          </w:tcPr>
          <w:p w14:paraId="70CFE47A"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1</w:t>
            </w:r>
          </w:p>
        </w:tc>
        <w:tc>
          <w:tcPr>
            <w:tcW w:w="1049" w:type="dxa"/>
          </w:tcPr>
          <w:p w14:paraId="727D1208"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&lt;0.0001</w:t>
            </w:r>
          </w:p>
        </w:tc>
        <w:tc>
          <w:tcPr>
            <w:tcW w:w="1715" w:type="dxa"/>
          </w:tcPr>
          <w:p w14:paraId="4329A488"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100</w:t>
            </w:r>
          </w:p>
        </w:tc>
      </w:tr>
      <w:tr w:rsidR="00FF7EB3" w:rsidRPr="00E033DA" w14:paraId="3DF531C8" w14:textId="77777777" w:rsidTr="009B5860">
        <w:tc>
          <w:tcPr>
            <w:tcW w:w="1953" w:type="dxa"/>
          </w:tcPr>
          <w:p w14:paraId="3BE6E798" w14:textId="77777777" w:rsidR="00FF7EB3" w:rsidRPr="0007340B" w:rsidRDefault="00FF7EB3" w:rsidP="00C62DFE">
            <w:pPr>
              <w:rPr>
                <w:rFonts w:ascii="Times New Roman" w:eastAsia="Calibri" w:hAnsi="Times New Roman" w:cs="Times New Roman"/>
                <w:sz w:val="20"/>
                <w:szCs w:val="20"/>
              </w:rPr>
            </w:pPr>
          </w:p>
        </w:tc>
        <w:tc>
          <w:tcPr>
            <w:tcW w:w="2017" w:type="dxa"/>
          </w:tcPr>
          <w:p w14:paraId="244F7488" w14:textId="77777777" w:rsidR="00FF7EB3" w:rsidRPr="0007340B" w:rsidRDefault="00FF7EB3">
            <w:pPr>
              <w:rPr>
                <w:rFonts w:ascii="Times New Roman" w:eastAsia="Calibri" w:hAnsi="Times New Roman" w:cs="Times New Roman"/>
                <w:sz w:val="20"/>
                <w:szCs w:val="20"/>
              </w:rPr>
            </w:pPr>
            <w:proofErr w:type="spellStart"/>
            <w:r w:rsidRPr="0007340B">
              <w:rPr>
                <w:rFonts w:ascii="Times New Roman" w:eastAsia="Calibri" w:hAnsi="Times New Roman" w:cs="Times New Roman"/>
                <w:sz w:val="20"/>
                <w:szCs w:val="20"/>
                <w:lang w:val="en-GB"/>
              </w:rPr>
              <w:t>Syst</w:t>
            </w:r>
            <w:proofErr w:type="spellEnd"/>
            <w:r w:rsidRPr="0007340B" w:rsidDel="00E10735">
              <w:rPr>
                <w:rFonts w:ascii="Times New Roman" w:eastAsia="Calibri" w:hAnsi="Times New Roman" w:cs="Times New Roman"/>
                <w:sz w:val="20"/>
                <w:szCs w:val="20"/>
              </w:rPr>
              <w:t xml:space="preserve"> </w:t>
            </w:r>
          </w:p>
          <w:p w14:paraId="173655BB"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w:t>
            </w:r>
            <w:proofErr w:type="spellStart"/>
            <w:r w:rsidRPr="0007340B">
              <w:rPr>
                <w:rFonts w:ascii="Times New Roman" w:eastAsia="Calibri" w:hAnsi="Times New Roman" w:cs="Times New Roman"/>
                <w:sz w:val="20"/>
                <w:szCs w:val="20"/>
              </w:rPr>
              <w:t>Cisp</w:t>
            </w:r>
            <w:proofErr w:type="spellEnd"/>
            <w:r w:rsidRPr="0007340B">
              <w:rPr>
                <w:rFonts w:ascii="Times New Roman" w:eastAsia="Calibri" w:hAnsi="Times New Roman" w:cs="Times New Roman"/>
                <w:sz w:val="20"/>
                <w:szCs w:val="20"/>
              </w:rPr>
              <w:t>. D or Carb. D)</w:t>
            </w:r>
          </w:p>
        </w:tc>
        <w:tc>
          <w:tcPr>
            <w:tcW w:w="1021" w:type="dxa"/>
          </w:tcPr>
          <w:p w14:paraId="1A83B5FC" w14:textId="77777777" w:rsidR="00FF7EB3" w:rsidRPr="0007340B" w:rsidRDefault="00FF7EB3">
            <w:pPr>
              <w:jc w:val="center"/>
              <w:rPr>
                <w:rFonts w:ascii="Calibri" w:eastAsia="Calibri" w:hAnsi="Calibri" w:cs="Times New Roman"/>
                <w:sz w:val="20"/>
                <w:szCs w:val="20"/>
              </w:rPr>
            </w:pPr>
            <w:r w:rsidRPr="0007340B">
              <w:rPr>
                <w:rFonts w:ascii="Symbol" w:eastAsia="Calibri" w:hAnsi="Symbol" w:cs="Times New Roman"/>
                <w:sz w:val="20"/>
                <w:szCs w:val="20"/>
              </w:rPr>
              <w:t></w:t>
            </w:r>
            <w:r w:rsidRPr="0007340B">
              <w:rPr>
                <w:rFonts w:ascii="Symbol" w:eastAsia="Calibri" w:hAnsi="Symbol" w:cs="Times New Roman"/>
                <w:sz w:val="20"/>
                <w:szCs w:val="20"/>
                <w:vertAlign w:val="superscript"/>
              </w:rPr>
              <w:t></w:t>
            </w:r>
          </w:p>
        </w:tc>
        <w:tc>
          <w:tcPr>
            <w:tcW w:w="987" w:type="dxa"/>
          </w:tcPr>
          <w:p w14:paraId="49E95039"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1.60</w:t>
            </w:r>
          </w:p>
        </w:tc>
        <w:tc>
          <w:tcPr>
            <w:tcW w:w="923" w:type="dxa"/>
          </w:tcPr>
          <w:p w14:paraId="16B78615"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1</w:t>
            </w:r>
          </w:p>
        </w:tc>
        <w:tc>
          <w:tcPr>
            <w:tcW w:w="1049" w:type="dxa"/>
          </w:tcPr>
          <w:p w14:paraId="199F9246"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0.2059</w:t>
            </w:r>
          </w:p>
        </w:tc>
        <w:tc>
          <w:tcPr>
            <w:tcW w:w="1715" w:type="dxa"/>
          </w:tcPr>
          <w:p w14:paraId="19BB3537"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100</w:t>
            </w:r>
          </w:p>
        </w:tc>
      </w:tr>
      <w:tr w:rsidR="00FF7EB3" w:rsidRPr="00E033DA" w14:paraId="151D6A1C" w14:textId="77777777" w:rsidTr="009B5860">
        <w:tc>
          <w:tcPr>
            <w:tcW w:w="1953" w:type="dxa"/>
          </w:tcPr>
          <w:p w14:paraId="0283A558" w14:textId="77777777" w:rsidR="00FF7EB3" w:rsidRPr="0007340B" w:rsidRDefault="00FF7EB3" w:rsidP="00C62DFE">
            <w:pPr>
              <w:rPr>
                <w:rFonts w:ascii="Times New Roman" w:eastAsia="Calibri" w:hAnsi="Times New Roman" w:cs="Times New Roman"/>
                <w:sz w:val="20"/>
                <w:szCs w:val="20"/>
              </w:rPr>
            </w:pPr>
          </w:p>
        </w:tc>
        <w:tc>
          <w:tcPr>
            <w:tcW w:w="2017" w:type="dxa"/>
          </w:tcPr>
          <w:p w14:paraId="0F6AD2B9"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Age</w:t>
            </w:r>
          </w:p>
        </w:tc>
        <w:tc>
          <w:tcPr>
            <w:tcW w:w="1021" w:type="dxa"/>
          </w:tcPr>
          <w:p w14:paraId="1022CE11" w14:textId="77777777" w:rsidR="00FF7EB3" w:rsidRPr="0007340B" w:rsidRDefault="00FF7EB3">
            <w:pPr>
              <w:jc w:val="center"/>
              <w:rPr>
                <w:rFonts w:ascii="Times New Roman" w:eastAsia="Calibri" w:hAnsi="Times New Roman" w:cs="Times New Roman"/>
                <w:sz w:val="20"/>
                <w:szCs w:val="20"/>
              </w:rPr>
            </w:pPr>
            <w:proofErr w:type="spellStart"/>
            <w:r w:rsidRPr="0007340B">
              <w:rPr>
                <w:rFonts w:ascii="Times New Roman" w:eastAsia="Calibri" w:hAnsi="Times New Roman" w:cs="Times New Roman"/>
                <w:sz w:val="20"/>
                <w:szCs w:val="20"/>
              </w:rPr>
              <w:t>ttest</w:t>
            </w:r>
            <w:proofErr w:type="spellEnd"/>
          </w:p>
        </w:tc>
        <w:tc>
          <w:tcPr>
            <w:tcW w:w="987" w:type="dxa"/>
          </w:tcPr>
          <w:p w14:paraId="224817E7"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-8.86</w:t>
            </w:r>
          </w:p>
        </w:tc>
        <w:tc>
          <w:tcPr>
            <w:tcW w:w="923" w:type="dxa"/>
          </w:tcPr>
          <w:p w14:paraId="42C9B576" w14:textId="77777777" w:rsidR="00FF7EB3" w:rsidRPr="0007340B" w:rsidRDefault="00FF7EB3">
            <w:pPr>
              <w:jc w:val="center"/>
              <w:rPr>
                <w:rFonts w:ascii="Times New Roman" w:eastAsia="Calibri" w:hAnsi="Times New Roman" w:cs="Times New Roman"/>
                <w:sz w:val="20"/>
                <w:szCs w:val="20"/>
                <w:lang w:val="en-GB"/>
              </w:rPr>
            </w:pPr>
            <w:r w:rsidRPr="0007340B">
              <w:rPr>
                <w:rFonts w:ascii="Times New Roman" w:eastAsia="Calibri" w:hAnsi="Times New Roman" w:cs="Times New Roman"/>
                <w:sz w:val="20"/>
                <w:szCs w:val="20"/>
                <w:lang w:val="en-GB"/>
              </w:rPr>
              <w:t>273.9</w:t>
            </w:r>
          </w:p>
        </w:tc>
        <w:tc>
          <w:tcPr>
            <w:tcW w:w="1049" w:type="dxa"/>
          </w:tcPr>
          <w:p w14:paraId="4F4340B7"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&lt;0.0001</w:t>
            </w:r>
          </w:p>
        </w:tc>
        <w:tc>
          <w:tcPr>
            <w:tcW w:w="1715" w:type="dxa"/>
          </w:tcPr>
          <w:p w14:paraId="621685F1"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100</w:t>
            </w:r>
          </w:p>
        </w:tc>
      </w:tr>
      <w:tr w:rsidR="00FF7EB3" w:rsidRPr="00E033DA" w14:paraId="04999C57" w14:textId="77777777" w:rsidTr="009B5860">
        <w:tc>
          <w:tcPr>
            <w:tcW w:w="1953" w:type="dxa"/>
          </w:tcPr>
          <w:p w14:paraId="247C7BCE" w14:textId="77777777" w:rsidR="00FF7EB3" w:rsidRPr="0007340B" w:rsidRDefault="00FF7EB3" w:rsidP="00C62DFE">
            <w:pPr>
              <w:rPr>
                <w:rFonts w:ascii="Times New Roman" w:eastAsia="Calibri" w:hAnsi="Times New Roman" w:cs="Times New Roman"/>
                <w:sz w:val="20"/>
                <w:szCs w:val="20"/>
              </w:rPr>
            </w:pPr>
            <w:r w:rsidRPr="0007340B">
              <w:rPr>
                <w:rFonts w:ascii="Times New Roman" w:eastAsia="Calibri" w:hAnsi="Times New Roman" w:cs="Times New Roman"/>
                <w:sz w:val="20"/>
                <w:szCs w:val="20"/>
              </w:rPr>
              <w:t>Treat (</w:t>
            </w:r>
            <w:proofErr w:type="spellStart"/>
            <w:r w:rsidRPr="0007340B">
              <w:rPr>
                <w:rFonts w:ascii="Times New Roman" w:eastAsia="Calibri" w:hAnsi="Times New Roman" w:cs="Times New Roman"/>
                <w:sz w:val="20"/>
                <w:szCs w:val="20"/>
                <w:lang w:val="en-GB"/>
              </w:rPr>
              <w:t>Syst</w:t>
            </w:r>
            <w:proofErr w:type="spellEnd"/>
            <w:r w:rsidRPr="0007340B" w:rsidDel="00E10735">
              <w:rPr>
                <w:rFonts w:ascii="Times New Roman" w:eastAsia="Calibri" w:hAnsi="Times New Roman" w:cs="Times New Roman"/>
                <w:sz w:val="20"/>
                <w:szCs w:val="20"/>
              </w:rPr>
              <w:t xml:space="preserve"> </w:t>
            </w:r>
            <w:r w:rsidRPr="0007340B">
              <w:rPr>
                <w:rFonts w:ascii="Times New Roman" w:eastAsia="Calibri" w:hAnsi="Times New Roman" w:cs="Times New Roman"/>
                <w:sz w:val="20"/>
                <w:szCs w:val="20"/>
              </w:rPr>
              <w:t>or BSC)</w:t>
            </w:r>
          </w:p>
        </w:tc>
        <w:tc>
          <w:tcPr>
            <w:tcW w:w="2017" w:type="dxa"/>
          </w:tcPr>
          <w:p w14:paraId="56A65A30"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Age</w:t>
            </w:r>
          </w:p>
        </w:tc>
        <w:tc>
          <w:tcPr>
            <w:tcW w:w="1021" w:type="dxa"/>
          </w:tcPr>
          <w:p w14:paraId="46DEC0CC" w14:textId="77777777" w:rsidR="00FF7EB3" w:rsidRPr="0007340B" w:rsidRDefault="00FF7EB3">
            <w:pPr>
              <w:jc w:val="center"/>
              <w:rPr>
                <w:rFonts w:ascii="Times New Roman" w:eastAsia="Calibri" w:hAnsi="Times New Roman" w:cs="Times New Roman"/>
                <w:sz w:val="20"/>
                <w:szCs w:val="20"/>
              </w:rPr>
            </w:pPr>
            <w:proofErr w:type="spellStart"/>
            <w:r w:rsidRPr="0007340B">
              <w:rPr>
                <w:rFonts w:ascii="Times New Roman" w:eastAsia="Calibri" w:hAnsi="Times New Roman" w:cs="Times New Roman"/>
                <w:sz w:val="20"/>
                <w:szCs w:val="20"/>
              </w:rPr>
              <w:t>ttest</w:t>
            </w:r>
            <w:proofErr w:type="spellEnd"/>
          </w:p>
        </w:tc>
        <w:tc>
          <w:tcPr>
            <w:tcW w:w="987" w:type="dxa"/>
          </w:tcPr>
          <w:p w14:paraId="6A973862"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14.14</w:t>
            </w:r>
          </w:p>
        </w:tc>
        <w:tc>
          <w:tcPr>
            <w:tcW w:w="923" w:type="dxa"/>
          </w:tcPr>
          <w:p w14:paraId="465B057B" w14:textId="77777777" w:rsidR="00FF7EB3" w:rsidRPr="0007340B" w:rsidRDefault="00FF7EB3">
            <w:pPr>
              <w:jc w:val="center"/>
              <w:rPr>
                <w:rFonts w:ascii="Times New Roman" w:eastAsia="Calibri" w:hAnsi="Times New Roman" w:cs="Times New Roman"/>
                <w:sz w:val="20"/>
                <w:szCs w:val="20"/>
                <w:lang w:val="en-GB"/>
              </w:rPr>
            </w:pPr>
            <w:r w:rsidRPr="0007340B">
              <w:rPr>
                <w:rFonts w:ascii="Times New Roman" w:eastAsia="Calibri" w:hAnsi="Times New Roman" w:cs="Times New Roman"/>
                <w:sz w:val="20"/>
                <w:szCs w:val="20"/>
                <w:lang w:val="en-GB"/>
              </w:rPr>
              <w:t>1727.7</w:t>
            </w:r>
          </w:p>
        </w:tc>
        <w:tc>
          <w:tcPr>
            <w:tcW w:w="1049" w:type="dxa"/>
          </w:tcPr>
          <w:p w14:paraId="2CEE1F85"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&lt;0.0001</w:t>
            </w:r>
          </w:p>
        </w:tc>
        <w:tc>
          <w:tcPr>
            <w:tcW w:w="1715" w:type="dxa"/>
          </w:tcPr>
          <w:p w14:paraId="463BF101"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100</w:t>
            </w:r>
          </w:p>
        </w:tc>
      </w:tr>
      <w:tr w:rsidR="00FF7EB3" w:rsidRPr="00E033DA" w14:paraId="709A7F19" w14:textId="77777777" w:rsidTr="009B5860">
        <w:tc>
          <w:tcPr>
            <w:tcW w:w="1953" w:type="dxa"/>
            <w:shd w:val="clear" w:color="auto" w:fill="auto"/>
          </w:tcPr>
          <w:p w14:paraId="140F7B71" w14:textId="77777777" w:rsidR="00FF7EB3" w:rsidRPr="0007340B" w:rsidRDefault="00FF7EB3" w:rsidP="00C62DFE">
            <w:pPr>
              <w:rPr>
                <w:rFonts w:ascii="Times New Roman" w:eastAsia="Calibri" w:hAnsi="Times New Roman" w:cs="Times New Roman"/>
                <w:sz w:val="20"/>
                <w:szCs w:val="20"/>
              </w:rPr>
            </w:pPr>
            <w:r w:rsidRPr="0007340B">
              <w:rPr>
                <w:rFonts w:ascii="Times New Roman" w:eastAsia="Calibri" w:hAnsi="Times New Roman" w:cs="Times New Roman"/>
                <w:sz w:val="20"/>
                <w:szCs w:val="20"/>
              </w:rPr>
              <w:t xml:space="preserve">Type of </w:t>
            </w:r>
            <w:proofErr w:type="spellStart"/>
            <w:r w:rsidRPr="0007340B">
              <w:rPr>
                <w:rFonts w:ascii="Times New Roman" w:eastAsia="Calibri" w:hAnsi="Times New Roman" w:cs="Times New Roman"/>
                <w:sz w:val="20"/>
                <w:szCs w:val="20"/>
                <w:lang w:val="en-GB"/>
              </w:rPr>
              <w:t>Syst</w:t>
            </w:r>
            <w:proofErr w:type="spellEnd"/>
            <w:r w:rsidRPr="0007340B" w:rsidDel="00E10735">
              <w:rPr>
                <w:rFonts w:ascii="Times New Roman" w:eastAsia="Calibri" w:hAnsi="Times New Roman" w:cs="Times New Roman"/>
                <w:sz w:val="20"/>
                <w:szCs w:val="20"/>
              </w:rPr>
              <w:t xml:space="preserve"> </w:t>
            </w:r>
            <w:r w:rsidRPr="0007340B">
              <w:rPr>
                <w:rFonts w:ascii="Times New Roman" w:eastAsia="Calibri" w:hAnsi="Times New Roman" w:cs="Times New Roman"/>
                <w:sz w:val="20"/>
                <w:szCs w:val="20"/>
              </w:rPr>
              <w:t xml:space="preserve"> </w:t>
            </w:r>
          </w:p>
          <w:p w14:paraId="30FF5C9E"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w:t>
            </w:r>
            <w:proofErr w:type="spellStart"/>
            <w:r w:rsidRPr="0007340B">
              <w:rPr>
                <w:rFonts w:ascii="Times New Roman" w:eastAsia="Calibri" w:hAnsi="Times New Roman" w:cs="Times New Roman"/>
                <w:sz w:val="20"/>
                <w:szCs w:val="20"/>
              </w:rPr>
              <w:t>Cisp</w:t>
            </w:r>
            <w:proofErr w:type="spellEnd"/>
            <w:r w:rsidRPr="0007340B">
              <w:rPr>
                <w:rFonts w:ascii="Times New Roman" w:eastAsia="Calibri" w:hAnsi="Times New Roman" w:cs="Times New Roman"/>
                <w:sz w:val="20"/>
                <w:szCs w:val="20"/>
              </w:rPr>
              <w:t>. D or Carb. D)</w:t>
            </w:r>
          </w:p>
        </w:tc>
        <w:tc>
          <w:tcPr>
            <w:tcW w:w="2017" w:type="dxa"/>
            <w:shd w:val="clear" w:color="auto" w:fill="auto"/>
          </w:tcPr>
          <w:p w14:paraId="4F90E693"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Age</w:t>
            </w:r>
          </w:p>
        </w:tc>
        <w:tc>
          <w:tcPr>
            <w:tcW w:w="1021" w:type="dxa"/>
            <w:shd w:val="clear" w:color="auto" w:fill="auto"/>
          </w:tcPr>
          <w:p w14:paraId="04EA72B1" w14:textId="77777777" w:rsidR="00FF7EB3" w:rsidRPr="0007340B" w:rsidRDefault="00FF7EB3">
            <w:pPr>
              <w:jc w:val="center"/>
              <w:rPr>
                <w:rFonts w:ascii="Times New Roman" w:eastAsia="Calibri" w:hAnsi="Times New Roman" w:cs="Times New Roman"/>
                <w:sz w:val="20"/>
                <w:szCs w:val="20"/>
              </w:rPr>
            </w:pPr>
            <w:proofErr w:type="spellStart"/>
            <w:r w:rsidRPr="0007340B">
              <w:rPr>
                <w:rFonts w:ascii="Times New Roman" w:eastAsia="Calibri" w:hAnsi="Times New Roman" w:cs="Times New Roman"/>
                <w:sz w:val="20"/>
                <w:szCs w:val="20"/>
              </w:rPr>
              <w:t>ttest</w:t>
            </w:r>
            <w:proofErr w:type="spellEnd"/>
          </w:p>
        </w:tc>
        <w:tc>
          <w:tcPr>
            <w:tcW w:w="987" w:type="dxa"/>
            <w:shd w:val="clear" w:color="auto" w:fill="auto"/>
          </w:tcPr>
          <w:p w14:paraId="313EA93F"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-4.96</w:t>
            </w:r>
          </w:p>
        </w:tc>
        <w:tc>
          <w:tcPr>
            <w:tcW w:w="923" w:type="dxa"/>
            <w:shd w:val="clear" w:color="auto" w:fill="auto"/>
          </w:tcPr>
          <w:p w14:paraId="4BEFB186" w14:textId="77777777" w:rsidR="00FF7EB3" w:rsidRPr="0007340B" w:rsidRDefault="00FF7EB3">
            <w:pPr>
              <w:rPr>
                <w:rFonts w:ascii="Times New Roman" w:eastAsia="Calibri" w:hAnsi="Times New Roman" w:cs="Times New Roman"/>
                <w:sz w:val="20"/>
                <w:szCs w:val="20"/>
              </w:rPr>
            </w:pPr>
            <w:r w:rsidRPr="0007340B">
              <w:rPr>
                <w:rFonts w:ascii="Times New Roman" w:eastAsia="Calibri" w:hAnsi="Times New Roman" w:cs="Times New Roman"/>
                <w:sz w:val="20"/>
                <w:szCs w:val="20"/>
              </w:rPr>
              <w:t>758.8</w:t>
            </w:r>
          </w:p>
        </w:tc>
        <w:tc>
          <w:tcPr>
            <w:tcW w:w="1049" w:type="dxa"/>
            <w:shd w:val="clear" w:color="auto" w:fill="auto"/>
          </w:tcPr>
          <w:p w14:paraId="457A4123"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&lt;0.0001</w:t>
            </w:r>
          </w:p>
        </w:tc>
        <w:tc>
          <w:tcPr>
            <w:tcW w:w="1715" w:type="dxa"/>
          </w:tcPr>
          <w:p w14:paraId="7E21C549" w14:textId="77777777" w:rsidR="00FF7EB3" w:rsidRPr="0007340B" w:rsidRDefault="00FF7EB3">
            <w:pPr>
              <w:jc w:val="center"/>
              <w:rPr>
                <w:rFonts w:ascii="Times New Roman" w:eastAsia="Calibri" w:hAnsi="Times New Roman" w:cs="Times New Roman"/>
                <w:sz w:val="20"/>
                <w:szCs w:val="20"/>
              </w:rPr>
            </w:pPr>
            <w:r w:rsidRPr="0007340B">
              <w:rPr>
                <w:rFonts w:ascii="Times New Roman" w:eastAsia="Calibri" w:hAnsi="Times New Roman" w:cs="Times New Roman"/>
                <w:sz w:val="20"/>
                <w:szCs w:val="20"/>
              </w:rPr>
              <w:t>100</w:t>
            </w:r>
          </w:p>
        </w:tc>
      </w:tr>
    </w:tbl>
    <w:p w14:paraId="6702B8F8" w14:textId="5E91937C" w:rsidR="003D6FF3" w:rsidRDefault="00FF7EB3" w:rsidP="003D6FF3">
      <w:pPr>
        <w:spacing w:line="480" w:lineRule="auto"/>
        <w:jc w:val="both"/>
        <w:rPr>
          <w:rFonts w:ascii="Calibri" w:eastAsia="Calibri" w:hAnsi="Calibri" w:cs="Calibri"/>
          <w:sz w:val="18"/>
          <w:szCs w:val="18"/>
        </w:rPr>
      </w:pPr>
      <w:r w:rsidRPr="00E70A58">
        <w:rPr>
          <w:rFonts w:ascii="Symbol" w:eastAsia="Calibri" w:hAnsi="Symbol" w:cs="Times New Roman"/>
          <w:sz w:val="18"/>
          <w:szCs w:val="18"/>
        </w:rPr>
        <w:t></w:t>
      </w:r>
      <w:r w:rsidRPr="00E70A58">
        <w:rPr>
          <w:rFonts w:ascii="Symbol" w:eastAsia="Calibri" w:hAnsi="Symbol" w:cs="Times New Roman"/>
          <w:sz w:val="18"/>
          <w:szCs w:val="18"/>
          <w:vertAlign w:val="superscript"/>
        </w:rPr>
        <w:t></w:t>
      </w:r>
      <w:r w:rsidRPr="00E70A58">
        <w:rPr>
          <w:rFonts w:ascii="Calibri" w:eastAsia="Calibri" w:hAnsi="Calibri" w:cs="Times New Roman"/>
          <w:sz w:val="18"/>
          <w:szCs w:val="18"/>
          <w:lang w:val="en-GB"/>
        </w:rPr>
        <w:t xml:space="preserve">, </w:t>
      </w:r>
      <w:r w:rsidRPr="0007340B">
        <w:rPr>
          <w:rFonts w:ascii="Times New Roman" w:eastAsia="Calibri" w:hAnsi="Times New Roman" w:cs="Times New Roman"/>
          <w:sz w:val="18"/>
          <w:szCs w:val="18"/>
          <w:lang w:val="en-GB"/>
        </w:rPr>
        <w:t xml:space="preserve">Chi-square test of association; </w:t>
      </w:r>
      <w:proofErr w:type="spellStart"/>
      <w:r w:rsidRPr="0007340B">
        <w:rPr>
          <w:rFonts w:ascii="Times New Roman" w:eastAsia="Calibri" w:hAnsi="Times New Roman" w:cs="Times New Roman"/>
          <w:sz w:val="18"/>
          <w:szCs w:val="18"/>
          <w:lang w:val="en-GB"/>
        </w:rPr>
        <w:t>Anova</w:t>
      </w:r>
      <w:proofErr w:type="spellEnd"/>
      <w:r w:rsidRPr="0007340B">
        <w:rPr>
          <w:rFonts w:ascii="Times New Roman" w:eastAsia="Calibri" w:hAnsi="Times New Roman" w:cs="Times New Roman"/>
          <w:sz w:val="18"/>
          <w:szCs w:val="18"/>
          <w:lang w:val="en-GB"/>
        </w:rPr>
        <w:t xml:space="preserve">, one way analysis of variance; </w:t>
      </w:r>
      <w:proofErr w:type="spellStart"/>
      <w:r w:rsidRPr="0007340B">
        <w:rPr>
          <w:rFonts w:ascii="Times New Roman" w:eastAsia="Calibri" w:hAnsi="Times New Roman" w:cs="Times New Roman"/>
          <w:sz w:val="18"/>
          <w:szCs w:val="18"/>
          <w:lang w:val="en-GB"/>
        </w:rPr>
        <w:t>ttest</w:t>
      </w:r>
      <w:proofErr w:type="spellEnd"/>
      <w:r w:rsidRPr="0007340B">
        <w:rPr>
          <w:rFonts w:ascii="Times New Roman" w:eastAsia="Calibri" w:hAnsi="Times New Roman" w:cs="Times New Roman"/>
          <w:sz w:val="18"/>
          <w:szCs w:val="18"/>
          <w:lang w:val="en-GB"/>
        </w:rPr>
        <w:t xml:space="preserve">, two independent samples student’s T test PS, Eastern Cooperative Oncology Group performance status; CCI, </w:t>
      </w:r>
      <w:proofErr w:type="spellStart"/>
      <w:r w:rsidRPr="0007340B">
        <w:rPr>
          <w:rFonts w:ascii="Times New Roman" w:eastAsia="Calibri" w:hAnsi="Times New Roman" w:cs="Times New Roman"/>
          <w:sz w:val="18"/>
          <w:szCs w:val="18"/>
          <w:lang w:val="en-GB"/>
        </w:rPr>
        <w:t>Charlson</w:t>
      </w:r>
      <w:proofErr w:type="spellEnd"/>
      <w:r w:rsidRPr="0007340B">
        <w:rPr>
          <w:rFonts w:ascii="Times New Roman" w:eastAsia="Calibri" w:hAnsi="Times New Roman" w:cs="Times New Roman"/>
          <w:sz w:val="18"/>
          <w:szCs w:val="18"/>
          <w:lang w:val="en-GB"/>
        </w:rPr>
        <w:t xml:space="preserve"> comorbidity index; Year, year of diagnosis; Age, age at diagnosis; BSC, best supportive care; </w:t>
      </w:r>
      <w:proofErr w:type="spellStart"/>
      <w:r w:rsidRPr="0007340B">
        <w:rPr>
          <w:rFonts w:ascii="Times New Roman" w:eastAsia="Calibri" w:hAnsi="Times New Roman" w:cs="Times New Roman"/>
          <w:sz w:val="18"/>
          <w:szCs w:val="18"/>
          <w:lang w:val="en-GB"/>
        </w:rPr>
        <w:t>Syst</w:t>
      </w:r>
      <w:proofErr w:type="spellEnd"/>
      <w:r w:rsidRPr="0007340B">
        <w:rPr>
          <w:rFonts w:ascii="Times New Roman" w:eastAsia="Calibri" w:hAnsi="Times New Roman" w:cs="Times New Roman"/>
          <w:sz w:val="18"/>
          <w:szCs w:val="18"/>
          <w:lang w:val="en-GB"/>
        </w:rPr>
        <w:t xml:space="preserve">, systemic chemotherapy; </w:t>
      </w:r>
      <w:proofErr w:type="spellStart"/>
      <w:r w:rsidRPr="0007340B">
        <w:rPr>
          <w:rFonts w:ascii="Times New Roman" w:eastAsia="Calibri" w:hAnsi="Times New Roman" w:cs="Times New Roman"/>
          <w:sz w:val="18"/>
          <w:szCs w:val="18"/>
          <w:lang w:val="en-GB"/>
        </w:rPr>
        <w:t>Cisp</w:t>
      </w:r>
      <w:proofErr w:type="spellEnd"/>
      <w:r w:rsidRPr="0007340B">
        <w:rPr>
          <w:rFonts w:ascii="Times New Roman" w:eastAsia="Calibri" w:hAnsi="Times New Roman" w:cs="Times New Roman"/>
          <w:sz w:val="18"/>
          <w:szCs w:val="18"/>
          <w:lang w:val="en-GB"/>
        </w:rPr>
        <w:t>. D, Cisplatin doublet chemotherapy; Carbo. D, Carboplatin doublet chemotherapy</w:t>
      </w:r>
      <w:r w:rsidRPr="0007340B">
        <w:rPr>
          <w:rFonts w:ascii="Times New Roman" w:eastAsia="Calibri" w:hAnsi="Times New Roman" w:cs="Times New Roman"/>
          <w:sz w:val="18"/>
          <w:szCs w:val="18"/>
        </w:rPr>
        <w:t>;</w:t>
      </w:r>
      <w:r w:rsidRPr="0007340B">
        <w:rPr>
          <w:rFonts w:ascii="Times New Roman" w:eastAsia="Calibri" w:hAnsi="Times New Roman" w:cs="Times New Roman"/>
          <w:sz w:val="18"/>
          <w:szCs w:val="18"/>
          <w:lang w:val="en-GB"/>
        </w:rPr>
        <w:t xml:space="preserve"> % sim. </w:t>
      </w:r>
      <w:proofErr w:type="spellStart"/>
      <w:r w:rsidRPr="0007340B">
        <w:rPr>
          <w:rFonts w:ascii="Times New Roman" w:eastAsia="Calibri" w:hAnsi="Times New Roman" w:cs="Times New Roman"/>
          <w:sz w:val="18"/>
          <w:szCs w:val="18"/>
          <w:lang w:val="en-GB"/>
        </w:rPr>
        <w:t>pv</w:t>
      </w:r>
      <w:proofErr w:type="spellEnd"/>
      <w:r w:rsidRPr="0007340B">
        <w:rPr>
          <w:rFonts w:ascii="Times New Roman" w:eastAsia="Calibri" w:hAnsi="Times New Roman" w:cs="Times New Roman"/>
          <w:sz w:val="18"/>
          <w:szCs w:val="18"/>
          <w:lang w:val="en-GB"/>
        </w:rPr>
        <w:t xml:space="preserve"> ≤ 0.05, proportion of simulations with p-value less than 0.05, out of 1000 runs each with 2196 patients</w:t>
      </w:r>
      <w:r w:rsidRPr="0007340B">
        <w:rPr>
          <w:rFonts w:ascii="Times New Roman" w:eastAsia="Calibri" w:hAnsi="Times New Roman" w:cs="Times New Roman"/>
          <w:sz w:val="18"/>
          <w:szCs w:val="18"/>
        </w:rPr>
        <w:t>.</w:t>
      </w:r>
      <w:r w:rsidRPr="00E70A58">
        <w:rPr>
          <w:rFonts w:ascii="Calibri" w:eastAsia="Calibri" w:hAnsi="Calibri" w:cs="Calibri"/>
          <w:sz w:val="18"/>
          <w:szCs w:val="18"/>
        </w:rPr>
        <w:t xml:space="preserve"> </w:t>
      </w:r>
      <w:r w:rsidR="003D6FF3">
        <w:rPr>
          <w:rFonts w:ascii="Calibri" w:eastAsia="Calibri" w:hAnsi="Calibri" w:cs="Calibri"/>
          <w:sz w:val="18"/>
          <w:szCs w:val="18"/>
        </w:rPr>
        <w:br w:type="page"/>
      </w:r>
    </w:p>
    <w:p w14:paraId="10268AE0" w14:textId="77777777" w:rsidR="00FF7EB3" w:rsidRPr="0007340B" w:rsidRDefault="00FF7EB3" w:rsidP="00AB7D4E">
      <w:pPr>
        <w:spacing w:line="480" w:lineRule="auto"/>
        <w:rPr>
          <w:rFonts w:ascii="Times New Roman" w:hAnsi="Times New Roman" w:cs="Times New Roman"/>
          <w:sz w:val="20"/>
          <w:szCs w:val="20"/>
        </w:rPr>
      </w:pPr>
      <w:r w:rsidRPr="0007340B">
        <w:rPr>
          <w:rFonts w:ascii="Times New Roman" w:hAnsi="Times New Roman" w:cs="Times New Roman"/>
          <w:sz w:val="20"/>
          <w:szCs w:val="20"/>
        </w:rPr>
        <w:lastRenderedPageBreak/>
        <w:t xml:space="preserve">Table A3. Prevalence of molecular biomarkers in the population </w:t>
      </w:r>
    </w:p>
    <w:tbl>
      <w:tblPr>
        <w:tblW w:w="6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8"/>
        <w:gridCol w:w="1346"/>
        <w:gridCol w:w="1719"/>
        <w:gridCol w:w="1208"/>
      </w:tblGrid>
      <w:tr w:rsidR="00FF7EB3" w:rsidRPr="0007340B" w14:paraId="79187B53" w14:textId="77777777" w:rsidTr="008949F2">
        <w:tc>
          <w:tcPr>
            <w:tcW w:w="2668" w:type="dxa"/>
          </w:tcPr>
          <w:p w14:paraId="31AA6CB2" w14:textId="77777777"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t>Biomarker (subgroup)</w:t>
            </w:r>
          </w:p>
        </w:tc>
        <w:tc>
          <w:tcPr>
            <w:tcW w:w="1346" w:type="dxa"/>
          </w:tcPr>
          <w:p w14:paraId="7218C0C7" w14:textId="77777777"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t xml:space="preserve">Proportion </w:t>
            </w:r>
          </w:p>
        </w:tc>
        <w:tc>
          <w:tcPr>
            <w:tcW w:w="1719" w:type="dxa"/>
          </w:tcPr>
          <w:p w14:paraId="3AA88383" w14:textId="77777777"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t xml:space="preserve">Standard error </w:t>
            </w:r>
          </w:p>
        </w:tc>
        <w:tc>
          <w:tcPr>
            <w:tcW w:w="1208" w:type="dxa"/>
          </w:tcPr>
          <w:p w14:paraId="6DC9FDBF" w14:textId="77777777"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t xml:space="preserve">Reference </w:t>
            </w:r>
          </w:p>
        </w:tc>
      </w:tr>
      <w:tr w:rsidR="00FF7EB3" w:rsidRPr="0007340B" w14:paraId="2CDD094D" w14:textId="77777777" w:rsidTr="008949F2">
        <w:tc>
          <w:tcPr>
            <w:tcW w:w="2668" w:type="dxa"/>
          </w:tcPr>
          <w:p w14:paraId="3B401192" w14:textId="51650CD4"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t>EGFR</w:t>
            </w:r>
            <w:r w:rsidRPr="0007340B">
              <w:rPr>
                <w:rFonts w:ascii="Times New Roman" w:hAnsi="Times New Roman" w:cs="Times New Roman"/>
                <w:sz w:val="20"/>
                <w:szCs w:val="20"/>
                <w:vertAlign w:val="subscript"/>
              </w:rPr>
              <w:t>(classic)</w:t>
            </w:r>
            <w:r w:rsidR="0071422F" w:rsidRPr="0007340B">
              <w:rPr>
                <w:rFonts w:ascii="Times New Roman" w:hAnsi="Times New Roman" w:cs="Times New Roman"/>
                <w:sz w:val="20"/>
                <w:szCs w:val="20"/>
                <w:vertAlign w:val="superscript"/>
              </w:rPr>
              <w:t>a</w:t>
            </w:r>
          </w:p>
        </w:tc>
        <w:tc>
          <w:tcPr>
            <w:tcW w:w="1346" w:type="dxa"/>
          </w:tcPr>
          <w:p w14:paraId="23EECF9A" w14:textId="77777777"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0.07</w:t>
            </w:r>
          </w:p>
        </w:tc>
        <w:tc>
          <w:tcPr>
            <w:tcW w:w="1719" w:type="dxa"/>
          </w:tcPr>
          <w:p w14:paraId="1B9F1E50" w14:textId="77777777"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0.008</w:t>
            </w:r>
          </w:p>
        </w:tc>
        <w:tc>
          <w:tcPr>
            <w:tcW w:w="1208" w:type="dxa"/>
          </w:tcPr>
          <w:p w14:paraId="425AB4F6" w14:textId="0E9D9A92"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fldChar w:fldCharType="begin" w:fldLock="1"/>
            </w:r>
            <w:r w:rsidR="00315CD2" w:rsidRPr="0007340B">
              <w:rPr>
                <w:rFonts w:ascii="Times New Roman" w:hAnsi="Times New Roman" w:cs="Times New Roman"/>
                <w:sz w:val="20"/>
                <w:szCs w:val="20"/>
              </w:rPr>
              <w:instrText>ADDIN CSL_CITATION {"citationItems":[{"id":"ITEM-1","itemData":{"DOI":"10.1016/j.lungcan.2018.05.006","ISSN":"18728332","PMID":"29858031","abstract":"Objectives: Biological predisposition for specific metastatic organs might differ between molecular subgroups of lung cancer. We aimed to assess the association between molecular status and metastatic organs at diagnosis in a nationwide stage IV non-squamous non-small cell lung cancer ((ns)-NSCLC) cohort. Methods: All ns-NSCLC from 2013 that were stage IV at diagnosis were identified from the Netherlands Cancer Registry, which records information on metastatic organs at diagnosis. Tumors were matched to the Dutch Pathology Registry (PALGA) from which data on molecular status established in routine practice was extracted. Four molecular subgroups (EGFR+, KRAS+, ALK+, triple-negative) were identified. For each metastatic organ, proportions of tumors metastasized to this organ were, per molecular subgroup, compared to triple-negative tumors by multivariable logistic regression analyses (adjusted odds ratios (OR) with 95% confidence intervals (CI)), taking clinicopathological variables into account. Results: 160 EGFR+ (exon 19 del, exon 21 L858R), 784 KRAS+, 42 ALK+, and 1008 triple-negative tumors were identified. Most frequent metastatic organs were the bone (34%), pleura (24%), lung (23%), and brain (22%). Compared to triple-negatives, EGFR+ tumors had more often metastases to the bone (31.5 vs 53.8%; OR 2.55 (95% CI 1.80–3.62)) and pleura (24.1 vs 37.5%; OR 2.06 (1.42–2.98)), and less often to the brain (22.0 vs 12.5%; OR 0.53 (0.32–0.88)) and adrenal glands (19.1 vs 7.5%; OR 0.46 (0.28–0.75)). Compared to triple-negatives, KRAS+ and ALK+ tumors had at diagnosis metastasized more often to the lung (20.3 vs 26.7%; OR 1.40 (1.12–1.76)) and the liver (13.1 vs 23.8%; OR 2.07 (1.00–4.32)), respectively. Conclusion: NSCLC molecular status was associated with metastatic pattern at diagnosis. 54% of stage IV EGFR+ ns-NSCLC patients had bone metastases at diagnosis. These observational results are hypothesis generating, and call for a prospective study where EGFR+ patients are screened for bone metastases, and treated to prevent skeletal related events.","author":[{"dropping-particle":"","family":"Kuijpers","given":"C. C.H.J.","non-dropping-particle":"","parse-names":false,"suffix":""},{"dropping-particle":"","family":"Hendriks","given":"L. E.L.","non-dropping-particle":"","parse-names":false,"suffix":""},{"dropping-particle":"","family":"Derks","given":"J. L.","non-dropping-particle":"","parse-names":false,"suffix":""},{"dropping-particle":"","family":"Dingemans","given":"A. M.C.","non-dropping-particle":"","parse-names":false,"suffix":""},{"dropping-particle":"","family":"Lindert","given":"A. S.R.","non-dropping-particle":"van","parse-names":false,"suffix":""},{"dropping-particle":"","family":"Heuvel","given":"M. M.","non-dropping-particle":"van den","parse-names":false,"suffix":""},{"dropping-particle":"","family":"Damhuis","given":"R. A.","non-dropping-particle":"","parse-names":false,"suffix":""},{"dropping-particle":"","family":"Willems","given":"S. M.","non-dropping-particle":"","parse-names":false,"suffix":""}],"container-title":"Lung Cancer","id":"ITEM-1","issued":{"date-parts":[["2018","7","1"]]},"page":"76-81","publisher":"Elsevier Ireland Ltd","title":"Association of molecular status and metastatic organs at diagnosis in patients with stage IV non-squamous non-small cell lung cancer","type":"article-journal","volume":"121"},"uris":["http://www.mendeley.com/documents/?uuid=a9bbcce5-739c-3a4f-b80c-2f83201cddcf"]}],"mendeley":{"formattedCitation":"[28]","plainTextFormattedCitation":"[28]","previouslyFormattedCitation":"[28]"},"properties":{"noteIndex":0},"schema":"https://github.com/citation-style-language/schema/raw/master/csl-citation.json"}</w:instrText>
            </w:r>
            <w:r w:rsidRPr="0007340B">
              <w:rPr>
                <w:rFonts w:ascii="Times New Roman" w:hAnsi="Times New Roman" w:cs="Times New Roman"/>
                <w:sz w:val="20"/>
                <w:szCs w:val="20"/>
              </w:rPr>
              <w:fldChar w:fldCharType="separate"/>
            </w:r>
            <w:r w:rsidR="009F237B" w:rsidRPr="0007340B">
              <w:rPr>
                <w:rFonts w:ascii="Times New Roman" w:hAnsi="Times New Roman" w:cs="Times New Roman"/>
                <w:noProof/>
                <w:sz w:val="20"/>
                <w:szCs w:val="20"/>
              </w:rPr>
              <w:t>[28]</w:t>
            </w:r>
            <w:r w:rsidRPr="0007340B">
              <w:rPr>
                <w:rFonts w:ascii="Times New Roman" w:hAnsi="Times New Roman" w:cs="Times New Roman"/>
                <w:sz w:val="20"/>
                <w:szCs w:val="20"/>
              </w:rPr>
              <w:fldChar w:fldCharType="end"/>
            </w:r>
          </w:p>
        </w:tc>
      </w:tr>
      <w:tr w:rsidR="00FF7EB3" w:rsidRPr="0007340B" w14:paraId="21969A6F" w14:textId="77777777" w:rsidTr="008949F2">
        <w:tc>
          <w:tcPr>
            <w:tcW w:w="2668" w:type="dxa"/>
          </w:tcPr>
          <w:p w14:paraId="36BA90D6" w14:textId="1D07C47A"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t>EGFR</w:t>
            </w:r>
            <w:r w:rsidRPr="0007340B">
              <w:rPr>
                <w:rFonts w:ascii="Times New Roman" w:hAnsi="Times New Roman" w:cs="Times New Roman"/>
                <w:sz w:val="20"/>
                <w:szCs w:val="20"/>
                <w:vertAlign w:val="subscript"/>
              </w:rPr>
              <w:t>(non-classic)</w:t>
            </w:r>
            <w:r w:rsidR="0071422F" w:rsidRPr="0007340B">
              <w:rPr>
                <w:rFonts w:ascii="Times New Roman" w:hAnsi="Times New Roman" w:cs="Times New Roman"/>
                <w:sz w:val="20"/>
                <w:szCs w:val="20"/>
                <w:vertAlign w:val="superscript"/>
              </w:rPr>
              <w:t>b</w:t>
            </w:r>
          </w:p>
        </w:tc>
        <w:tc>
          <w:tcPr>
            <w:tcW w:w="1346" w:type="dxa"/>
          </w:tcPr>
          <w:p w14:paraId="2E532E9F" w14:textId="77777777"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0.01</w:t>
            </w:r>
          </w:p>
        </w:tc>
        <w:tc>
          <w:tcPr>
            <w:tcW w:w="1719" w:type="dxa"/>
          </w:tcPr>
          <w:p w14:paraId="48304B2D" w14:textId="77777777"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0.001</w:t>
            </w:r>
          </w:p>
        </w:tc>
        <w:tc>
          <w:tcPr>
            <w:tcW w:w="1208" w:type="dxa"/>
          </w:tcPr>
          <w:p w14:paraId="7FC0C6C6" w14:textId="15F082AB"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fldChar w:fldCharType="begin" w:fldLock="1"/>
            </w:r>
            <w:r w:rsidR="00315CD2" w:rsidRPr="0007340B">
              <w:rPr>
                <w:rFonts w:ascii="Times New Roman" w:hAnsi="Times New Roman" w:cs="Times New Roman"/>
                <w:sz w:val="20"/>
                <w:szCs w:val="20"/>
              </w:rPr>
              <w:instrText>ADDIN CSL_CITATION {"citationItems":[{"id":"ITEM-1","itemData":{"DOI":"10.1016/j.lungcan.2018.05.006","ISSN":"18728332","PMID":"29858031","abstract":"Objectives: Biological predisposition for specific metastatic organs might differ between molecular subgroups of lung cancer. We aimed to assess the association between molecular status and metastatic organs at diagnosis in a nationwide stage IV non-squamous non-small cell lung cancer ((ns)-NSCLC) cohort. Methods: All ns-NSCLC from 2013 that were stage IV at diagnosis were identified from the Netherlands Cancer Registry, which records information on metastatic organs at diagnosis. Tumors were matched to the Dutch Pathology Registry (PALGA) from which data on molecular status established in routine practice was extracted. Four molecular subgroups (EGFR+, KRAS+, ALK+, triple-negative) were identified. For each metastatic organ, proportions of tumors metastasized to this organ were, per molecular subgroup, compared to triple-negative tumors by multivariable logistic regression analyses (adjusted odds ratios (OR) with 95% confidence intervals (CI)), taking clinicopathological variables into account. Results: 160 EGFR+ (exon 19 del, exon 21 L858R), 784 KRAS+, 42 ALK+, and 1008 triple-negative tumors were identified. Most frequent metastatic organs were the bone (34%), pleura (24%), lung (23%), and brain (22%). Compared to triple-negatives, EGFR+ tumors had more often metastases to the bone (31.5 vs 53.8%; OR 2.55 (95% CI 1.80–3.62)) and pleura (24.1 vs 37.5%; OR 2.06 (1.42–2.98)), and less often to the brain (22.0 vs 12.5%; OR 0.53 (0.32–0.88)) and adrenal glands (19.1 vs 7.5%; OR 0.46 (0.28–0.75)). Compared to triple-negatives, KRAS+ and ALK+ tumors had at diagnosis metastasized more often to the lung (20.3 vs 26.7%; OR 1.40 (1.12–1.76)) and the liver (13.1 vs 23.8%; OR 2.07 (1.00–4.32)), respectively. Conclusion: NSCLC molecular status was associated with metastatic pattern at diagnosis. 54% of stage IV EGFR+ ns-NSCLC patients had bone metastases at diagnosis. These observational results are hypothesis generating, and call for a prospective study where EGFR+ patients are screened for bone metastases, and treated to prevent skeletal related events.","author":[{"dropping-particle":"","family":"Kuijpers","given":"C. C.H.J.","non-dropping-particle":"","parse-names":false,"suffix":""},{"dropping-particle":"","family":"Hendriks","given":"L. E.L.","non-dropping-particle":"","parse-names":false,"suffix":""},{"dropping-particle":"","family":"Derks","given":"J. L.","non-dropping-particle":"","parse-names":false,"suffix":""},{"dropping-particle":"","family":"Dingemans","given":"A. M.C.","non-dropping-particle":"","parse-names":false,"suffix":""},{"dropping-particle":"","family":"Lindert","given":"A. S.R.","non-dropping-particle":"van","parse-names":false,"suffix":""},{"dropping-particle":"","family":"Heuvel","given":"M. M.","non-dropping-particle":"van den","parse-names":false,"suffix":""},{"dropping-particle":"","family":"Damhuis","given":"R. A.","non-dropping-particle":"","parse-names":false,"suffix":""},{"dropping-particle":"","family":"Willems","given":"S. M.","non-dropping-particle":"","parse-names":false,"suffix":""}],"container-title":"Lung Cancer","id":"ITEM-1","issued":{"date-parts":[["2018","7","1"]]},"page":"76-81","publisher":"Elsevier Ireland Ltd","title":"Association of molecular status and metastatic organs at diagnosis in patients with stage IV non-squamous non-small cell lung cancer","type":"article-journal","volume":"121"},"uris":["http://www.mendeley.com/documents/?uuid=a9bbcce5-739c-3a4f-b80c-2f83201cddcf"]}],"mendeley":{"formattedCitation":"[28]","plainTextFormattedCitation":"[28]","previouslyFormattedCitation":"[28]"},"properties":{"noteIndex":0},"schema":"https://github.com/citation-style-language/schema/raw/master/csl-citation.json"}</w:instrText>
            </w:r>
            <w:r w:rsidRPr="0007340B">
              <w:rPr>
                <w:rFonts w:ascii="Times New Roman" w:hAnsi="Times New Roman" w:cs="Times New Roman"/>
                <w:sz w:val="20"/>
                <w:szCs w:val="20"/>
              </w:rPr>
              <w:fldChar w:fldCharType="separate"/>
            </w:r>
            <w:r w:rsidR="009F237B" w:rsidRPr="0007340B">
              <w:rPr>
                <w:rFonts w:ascii="Times New Roman" w:hAnsi="Times New Roman" w:cs="Times New Roman"/>
                <w:noProof/>
                <w:sz w:val="20"/>
                <w:szCs w:val="20"/>
              </w:rPr>
              <w:t>[28]</w:t>
            </w:r>
            <w:r w:rsidRPr="0007340B">
              <w:rPr>
                <w:rFonts w:ascii="Times New Roman" w:hAnsi="Times New Roman" w:cs="Times New Roman"/>
                <w:sz w:val="20"/>
                <w:szCs w:val="20"/>
              </w:rPr>
              <w:fldChar w:fldCharType="end"/>
            </w:r>
          </w:p>
        </w:tc>
      </w:tr>
      <w:tr w:rsidR="00FF7EB3" w:rsidRPr="0007340B" w14:paraId="1C4F817A" w14:textId="77777777" w:rsidTr="008949F2">
        <w:tc>
          <w:tcPr>
            <w:tcW w:w="2668" w:type="dxa"/>
          </w:tcPr>
          <w:p w14:paraId="29AF5B95" w14:textId="77777777"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t xml:space="preserve">ALK </w:t>
            </w:r>
          </w:p>
        </w:tc>
        <w:tc>
          <w:tcPr>
            <w:tcW w:w="1346" w:type="dxa"/>
          </w:tcPr>
          <w:p w14:paraId="47593301" w14:textId="77777777"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0.02</w:t>
            </w:r>
          </w:p>
        </w:tc>
        <w:tc>
          <w:tcPr>
            <w:tcW w:w="1719" w:type="dxa"/>
          </w:tcPr>
          <w:p w14:paraId="440678F7" w14:textId="77777777"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0.002</w:t>
            </w:r>
          </w:p>
        </w:tc>
        <w:tc>
          <w:tcPr>
            <w:tcW w:w="1208" w:type="dxa"/>
          </w:tcPr>
          <w:p w14:paraId="475B8022" w14:textId="682890F5"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fldChar w:fldCharType="begin" w:fldLock="1"/>
            </w:r>
            <w:r w:rsidR="00315CD2" w:rsidRPr="0007340B">
              <w:rPr>
                <w:rFonts w:ascii="Times New Roman" w:hAnsi="Times New Roman" w:cs="Times New Roman"/>
                <w:sz w:val="20"/>
                <w:szCs w:val="20"/>
              </w:rPr>
              <w:instrText>ADDIN CSL_CITATION {"citationItems":[{"id":"ITEM-1","itemData":{"DOI":"10.1016/j.lungcan.2018.05.006","ISSN":"18728332","PMID":"29858031","abstract":"Objectives: Biological predisposition for specific metastatic organs might differ between molecular subgroups of lung cancer. We aimed to assess the association between molecular status and metastatic organs at diagnosis in a nationwide stage IV non-squamous non-small cell lung cancer ((ns)-NSCLC) cohort. Methods: All ns-NSCLC from 2013 that were stage IV at diagnosis were identified from the Netherlands Cancer Registry, which records information on metastatic organs at diagnosis. Tumors were matched to the Dutch Pathology Registry (PALGA) from which data on molecular status established in routine practice was extracted. Four molecular subgroups (EGFR+, KRAS+, ALK+, triple-negative) were identified. For each metastatic organ, proportions of tumors metastasized to this organ were, per molecular subgroup, compared to triple-negative tumors by multivariable logistic regression analyses (adjusted odds ratios (OR) with 95% confidence intervals (CI)), taking clinicopathological variables into account. Results: 160 EGFR+ (exon 19 del, exon 21 L858R), 784 KRAS+, 42 ALK+, and 1008 triple-negative tumors were identified. Most frequent metastatic organs were the bone (34%), pleura (24%), lung (23%), and brain (22%). Compared to triple-negatives, EGFR+ tumors had more often metastases to the bone (31.5 vs 53.8%; OR 2.55 (95% CI 1.80–3.62)) and pleura (24.1 vs 37.5%; OR 2.06 (1.42–2.98)), and less often to the brain (22.0 vs 12.5%; OR 0.53 (0.32–0.88)) and adrenal glands (19.1 vs 7.5%; OR 0.46 (0.28–0.75)). Compared to triple-negatives, KRAS+ and ALK+ tumors had at diagnosis metastasized more often to the lung (20.3 vs 26.7%; OR 1.40 (1.12–1.76)) and the liver (13.1 vs 23.8%; OR 2.07 (1.00–4.32)), respectively. Conclusion: NSCLC molecular status was associated with metastatic pattern at diagnosis. 54% of stage IV EGFR+ ns-NSCLC patients had bone metastases at diagnosis. These observational results are hypothesis generating, and call for a prospective study where EGFR+ patients are screened for bone metastases, and treated to prevent skeletal related events.","author":[{"dropping-particle":"","family":"Kuijpers","given":"C. C.H.J.","non-dropping-particle":"","parse-names":false,"suffix":""},{"dropping-particle":"","family":"Hendriks","given":"L. E.L.","non-dropping-particle":"","parse-names":false,"suffix":""},{"dropping-particle":"","family":"Derks","given":"J. L.","non-dropping-particle":"","parse-names":false,"suffix":""},{"dropping-particle":"","family":"Dingemans","given":"A. M.C.","non-dropping-particle":"","parse-names":false,"suffix":""},{"dropping-particle":"","family":"Lindert","given":"A. S.R.","non-dropping-particle":"van","parse-names":false,"suffix":""},{"dropping-particle":"","family":"Heuvel","given":"M. M.","non-dropping-particle":"van den","parse-names":false,"suffix":""},{"dropping-particle":"","family":"Damhuis","given":"R. A.","non-dropping-particle":"","parse-names":false,"suffix":""},{"dropping-particle":"","family":"Willems","given":"S. M.","non-dropping-particle":"","parse-names":false,"suffix":""}],"container-title":"Lung Cancer","id":"ITEM-1","issued":{"date-parts":[["2018","7","1"]]},"page":"76-81","publisher":"Elsevier Ireland Ltd","title":"Association of molecular status and metastatic organs at diagnosis in patients with stage IV non-squamous non-small cell lung cancer","type":"article-journal","volume":"121"},"uris":["http://www.mendeley.com/documents/?uuid=a9bbcce5-739c-3a4f-b80c-2f83201cddcf"]}],"mendeley":{"formattedCitation":"[28]","plainTextFormattedCitation":"[28]","previouslyFormattedCitation":"[28]"},"properties":{"noteIndex":0},"schema":"https://github.com/citation-style-language/schema/raw/master/csl-citation.json"}</w:instrText>
            </w:r>
            <w:r w:rsidRPr="0007340B">
              <w:rPr>
                <w:rFonts w:ascii="Times New Roman" w:hAnsi="Times New Roman" w:cs="Times New Roman"/>
                <w:sz w:val="20"/>
                <w:szCs w:val="20"/>
              </w:rPr>
              <w:fldChar w:fldCharType="separate"/>
            </w:r>
            <w:r w:rsidR="009F237B" w:rsidRPr="0007340B">
              <w:rPr>
                <w:rFonts w:ascii="Times New Roman" w:hAnsi="Times New Roman" w:cs="Times New Roman"/>
                <w:noProof/>
                <w:sz w:val="20"/>
                <w:szCs w:val="20"/>
              </w:rPr>
              <w:t>[28]</w:t>
            </w:r>
            <w:r w:rsidRPr="0007340B">
              <w:rPr>
                <w:rFonts w:ascii="Times New Roman" w:hAnsi="Times New Roman" w:cs="Times New Roman"/>
                <w:sz w:val="20"/>
                <w:szCs w:val="20"/>
              </w:rPr>
              <w:fldChar w:fldCharType="end"/>
            </w:r>
          </w:p>
        </w:tc>
      </w:tr>
      <w:tr w:rsidR="00FF7EB3" w:rsidRPr="0007340B" w14:paraId="2A8FF949" w14:textId="77777777" w:rsidTr="008949F2">
        <w:tc>
          <w:tcPr>
            <w:tcW w:w="2668" w:type="dxa"/>
          </w:tcPr>
          <w:p w14:paraId="3126F917" w14:textId="77777777"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t xml:space="preserve">ROS1 </w:t>
            </w:r>
          </w:p>
        </w:tc>
        <w:tc>
          <w:tcPr>
            <w:tcW w:w="1346" w:type="dxa"/>
          </w:tcPr>
          <w:p w14:paraId="3F2EC40B" w14:textId="77777777"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0.019</w:t>
            </w:r>
          </w:p>
        </w:tc>
        <w:tc>
          <w:tcPr>
            <w:tcW w:w="1719" w:type="dxa"/>
          </w:tcPr>
          <w:p w14:paraId="0023A7ED" w14:textId="77777777"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0.002</w:t>
            </w:r>
          </w:p>
        </w:tc>
        <w:tc>
          <w:tcPr>
            <w:tcW w:w="1208" w:type="dxa"/>
          </w:tcPr>
          <w:p w14:paraId="72EDDEF9" w14:textId="1A6A6A06"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fldChar w:fldCharType="begin" w:fldLock="1"/>
            </w:r>
            <w:r w:rsidR="00315CD2" w:rsidRPr="0007340B">
              <w:rPr>
                <w:rFonts w:ascii="Times New Roman" w:hAnsi="Times New Roman" w:cs="Times New Roman"/>
                <w:sz w:val="20"/>
                <w:szCs w:val="20"/>
              </w:rPr>
              <w:instrText>ADDIN CSL_CITATION {"citationItems":[{"id":"ITEM-1","itemData":{"DOI":"10.1038/s41568-019-0179-8","ISBN":"0471140864","ISSN":"1474-175X","abstract":"Genetic and epigenetic heterogeneity is emerging as a fundamental property of human cancers. Reflecting the genesis of tumors as an evolutionary process driven by clonal selection. The complexity of clonal architecture has been known for many years in the setting of acute myeloid leukemia (AML), based on karyotyping studies. However the true complexity of AMLs is only now being understood thanks to in depth genome sequencing studies in humans, which reveal that heterogeneity is a multilayered and involves not only the genome but also the epigenome. Here, we review recent advances in genetic and epigenetic heterogeneity and clonal dynamics in AML and their relevance to biology, clinical outcomes and therapeutic implications. Special attention is focused on somatic mutations affecting regulators of cytosine methylation, since these tend to occur early in disease evolution, reprogram the epigenome of hematopoietic stem cells, and are linked to unfavorable outcome.","author":[{"dropping-particle":"","family":"Skoulidis","given":"Ferdinandos","non-dropping-particle":"","parse-names":false,"suffix":""},{"dropping-particle":"V.","family":"Heymach","given":"John","non-dropping-particle":"","parse-names":false,"suffix":""}],"container-title":"Nature Reviews Cancer","id":"ITEM-1","issue":"9","issued":{"date-parts":[["2019","9","12"]]},"page":"495-509","title":"Co-occurring genomic alterations in non-small-cell lung cancer biology and therapy","type":"article-journal","volume":"19"},"uris":["http://www.mendeley.com/documents/?uuid=c667856d-4fe4-4a44-9c50-95635dc13245"]}],"mendeley":{"formattedCitation":"[30]","plainTextFormattedCitation":"[30]","previouslyFormattedCitation":"[30]"},"properties":{"noteIndex":0},"schema":"https://github.com/citation-style-language/schema/raw/master/csl-citation.json"}</w:instrText>
            </w:r>
            <w:r w:rsidRPr="0007340B">
              <w:rPr>
                <w:rFonts w:ascii="Times New Roman" w:hAnsi="Times New Roman" w:cs="Times New Roman"/>
                <w:sz w:val="20"/>
                <w:szCs w:val="20"/>
              </w:rPr>
              <w:fldChar w:fldCharType="separate"/>
            </w:r>
            <w:r w:rsidR="009F237B" w:rsidRPr="0007340B">
              <w:rPr>
                <w:rFonts w:ascii="Times New Roman" w:hAnsi="Times New Roman" w:cs="Times New Roman"/>
                <w:noProof/>
                <w:sz w:val="20"/>
                <w:szCs w:val="20"/>
              </w:rPr>
              <w:t>[30]</w:t>
            </w:r>
            <w:r w:rsidRPr="0007340B">
              <w:rPr>
                <w:rFonts w:ascii="Times New Roman" w:hAnsi="Times New Roman" w:cs="Times New Roman"/>
                <w:sz w:val="20"/>
                <w:szCs w:val="20"/>
              </w:rPr>
              <w:fldChar w:fldCharType="end"/>
            </w:r>
          </w:p>
        </w:tc>
      </w:tr>
      <w:tr w:rsidR="00FF7EB3" w:rsidRPr="0007340B" w14:paraId="6C44F7E7" w14:textId="77777777" w:rsidTr="008949F2">
        <w:tc>
          <w:tcPr>
            <w:tcW w:w="2668" w:type="dxa"/>
          </w:tcPr>
          <w:p w14:paraId="705B2CEC" w14:textId="01A078D8"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t>BRAF</w:t>
            </w:r>
            <w:r w:rsidRPr="0007340B">
              <w:rPr>
                <w:rFonts w:ascii="Times New Roman" w:hAnsi="Times New Roman" w:cs="Times New Roman"/>
                <w:sz w:val="20"/>
                <w:szCs w:val="20"/>
                <w:vertAlign w:val="subscript"/>
              </w:rPr>
              <w:t>(V600E)</w:t>
            </w:r>
            <w:r w:rsidRPr="0007340B">
              <w:rPr>
                <w:rFonts w:ascii="Times New Roman" w:hAnsi="Times New Roman" w:cs="Times New Roman"/>
                <w:sz w:val="20"/>
                <w:szCs w:val="20"/>
              </w:rPr>
              <w:t xml:space="preserve"> </w:t>
            </w:r>
          </w:p>
        </w:tc>
        <w:tc>
          <w:tcPr>
            <w:tcW w:w="1346" w:type="dxa"/>
          </w:tcPr>
          <w:p w14:paraId="74D75DE8" w14:textId="77777777"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0.021</w:t>
            </w:r>
          </w:p>
        </w:tc>
        <w:tc>
          <w:tcPr>
            <w:tcW w:w="1719" w:type="dxa"/>
          </w:tcPr>
          <w:p w14:paraId="053A7702" w14:textId="77777777"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0.002</w:t>
            </w:r>
          </w:p>
        </w:tc>
        <w:tc>
          <w:tcPr>
            <w:tcW w:w="1208" w:type="dxa"/>
          </w:tcPr>
          <w:p w14:paraId="2EF44698" w14:textId="109F1D4F"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fldChar w:fldCharType="begin" w:fldLock="1"/>
            </w:r>
            <w:r w:rsidR="00315CD2" w:rsidRPr="0007340B">
              <w:rPr>
                <w:rFonts w:ascii="Times New Roman" w:hAnsi="Times New Roman" w:cs="Times New Roman"/>
                <w:sz w:val="20"/>
                <w:szCs w:val="20"/>
              </w:rPr>
              <w:instrText>ADDIN CSL_CITATION {"citationItems":[{"id":"ITEM-1","itemData":{"DOI":"10.1158/2159-8290.CD-16-1337","ISSN":"21598290","PMID":"28336552","abstract":"Tumor genetic testing is standard of care for patients with advanced lung adenocarcinoma, but the fraction of patients who derive clinical benefit remains undefined. Here, we report the experience of 860 patients with metastatic lung adenocarcinoma analyzed prospectively for mutations in &gt;300 cancer-associated genes. Potentially actionable genetic events were stratified into one of four levels based upon published clinical or laboratory evidence that the mutation in question confers increased sensitivity to standard or investigational therapies. Overall, 37.1% (319/860) of patients received a matched therapy guided by their tumor molecular profile. Excluding alterations associated with standard-of-care therapy, 14.4% (69/478) received matched therapy, with a clinical benefit of 52%. Use of matched therapy was strongly influenced by the level of preexistent clinical evidence that the mutation identified predicts for drug response. Analysis of genes mutated significantly more often in tumors without known actionable mutations nominated STK11 and KEAP1 as possible targetable mitogenic drivers. SIGNIFICANCE: An increasing number of therapies that target molecular alterations required for tumor maintenance and progression have demonstrated clinical activity in patients with lung adenocarcinoma. The data reported here suggest that broader, early testing for molecular alterations that have not yet been recognized as standard-of-care predictive biomarkers of drug response could accelerate the development of targeted agents for rare mutational events and could result in improved clinical outcomes.","author":[{"dropping-particle":"","family":"Jordan","given":"Emmet J.","non-dropping-particle":"","parse-names":false,"suffix":""},{"dropping-particle":"","family":"Kim","given":"Hyunjae R.","non-dropping-particle":"","parse-names":false,"suffix":""},{"dropping-particle":"","family":"Arcila","given":"Maria E.","non-dropping-particle":"","parse-names":false,"suffix":""},{"dropping-particle":"","family":"Barron","given":"David","non-dropping-particle":"","parse-names":false,"suffix":""},{"dropping-particle":"","family":"Chakravarty","given":"Debyani","non-dropping-particle":"","parse-names":false,"suffix":""},{"dropping-particle":"","family":"Gao","given":"Jian Jiong","non-dropping-particle":"","parse-names":false,"suffix":""},{"dropping-particle":"","family":"Chang","given":"Matthew T.","non-dropping-particle":"","parse-names":false,"suffix":""},{"dropping-particle":"","family":"Ni","given":"Andy","non-dropping-particle":"","parse-names":false,"suffix":""},{"dropping-particle":"","family":"Kundra","given":"Ritika","non-dropping-particle":"","parse-names":false,"suffix":""},{"dropping-particle":"","family":"Jonsson","given":"Philip","non-dropping-particle":"","parse-names":false,"suffix":""},{"dropping-particle":"","family":"Jayakumaran","given":"Gowtham","non-dropping-particle":"","parse-names":false,"suffix":""},{"dropping-particle":"","family":"Gao","given":"Sizhi Paul","non-dropping-particle":"","parse-names":false,"suffix":""},{"dropping-particle":"","family":"Johnsen","given":"Hannah C.","non-dropping-particle":"","parse-names":false,"suffix":""},{"dropping-particle":"","family":"Hanrahan","given":"Aphrothiti J.","non-dropping-particle":"","parse-names":false,"suffix":""},{"dropping-particle":"","family":"Zehir","given":"Ahmet","non-dropping-particle":"","parse-names":false,"suffix":""},{"dropping-particle":"","family":"Rekhtman","given":"Natasha","non-dropping-particle":"","parse-names":false,"suffix":""},{"dropping-particle":"","family":"Ginsberg","given":"Michelle S.","non-dropping-particle":"","parse-names":false,"suffix":""},{"dropping-particle":"","family":"Li","given":"Bob T.","non-dropping-particle":"","parse-names":false,"suffix":""},{"dropping-particle":"","family":"Yu","given":"Helena A.","non-dropping-particle":"","parse-names":false,"suffix":""},{"dropping-particle":"","family":"Paik","given":"Paul K.","non-dropping-particle":"","parse-names":false,"suffix":""},{"dropping-particle":"","family":"Drilon","given":"Alexander","non-dropping-particle":"","parse-names":false,"suffix":""},{"dropping-particle":"","family":"Hellmann","given":"Matthew D.","non-dropping-particle":"","parse-names":false,"suffix":""},{"dropping-particle":"","family":"Reales","given":"Dalicia N.","non-dropping-particle":"","parse-names":false,"suffix":""},{"dropping-particle":"","family":"Benayed","given":"Ryma","non-dropping-particle":"","parse-names":false,"suffix":""},{"dropping-particle":"","family":"Rusch","given":"Valerie W.","non-dropping-particle":"","parse-names":false,"suffix":""},{"dropping-particle":"","family":"Kris","given":"Mark G.","non-dropping-particle":"","parse-names":false,"suffix":""},{"dropping-particle":"","family":"Chaft","given":"Jamie E.","non-dropping-particle":"","parse-names":false,"suffix":""},{"dropping-particle":"","family":"Baselga","given":"José","non-dropping-particle":"","parse-names":false,"suffix":""},{"dropping-particle":"","family":"Taylor","given":"Barry S.","non-dropping-particle":"","parse-names":false,"suffix":""},{"dropping-particle":"","family":"Schultz","given":"Nikolaus","non-dropping-particle":"","parse-names":false,"suffix":""},{"dropping-particle":"","family":"Rudin","given":"Charles M.","non-dropping-particle":"","parse-names":false,"suffix":""},{"dropping-particle":"","family":"Hyman","given":"David M.","non-dropping-particle":"","parse-names":false,"suffix":""},{"dropping-particle":"","family":"Berger","given":"Michael F.","non-dropping-particle":"","parse-names":false,"suffix":""},{"dropping-particle":"","family":"Solit","given":"David B.","non-dropping-particle":"","parse-names":false,"suffix":""},{"dropping-particle":"","family":"Ladanyi","given":"Marc","non-dropping-particle":"","parse-names":false,"suffix":""},{"dropping-particle":"","family":"Riely","given":"Gregory J.","non-dropping-particle":"","parse-names":false,"suffix":""}],"container-title":"Cancer Discovery","id":"ITEM-1","issue":"6","issued":{"date-parts":[["2017"]]},"page":"596-609","publisher":"American Association for Cancer Research Inc.","title":"Prospective comprehensive molecular characterization of lung adenocarcinomas for efficient patient matching to approved and emerging therapies","type":"article-journal","volume":"7"},"uris":["http://www.mendeley.com/documents/?uuid=b5ca0345-990f-3a68-ae01-dec70c1e7dbb"]}],"mendeley":{"formattedCitation":"[27]","plainTextFormattedCitation":"[27]","previouslyFormattedCitation":"[27]"},"properties":{"noteIndex":0},"schema":"https://github.com/citation-style-language/schema/raw/master/csl-citation.json"}</w:instrText>
            </w:r>
            <w:r w:rsidRPr="0007340B">
              <w:rPr>
                <w:rFonts w:ascii="Times New Roman" w:hAnsi="Times New Roman" w:cs="Times New Roman"/>
                <w:sz w:val="20"/>
                <w:szCs w:val="20"/>
              </w:rPr>
              <w:fldChar w:fldCharType="separate"/>
            </w:r>
            <w:r w:rsidR="009F237B" w:rsidRPr="0007340B">
              <w:rPr>
                <w:rFonts w:ascii="Times New Roman" w:hAnsi="Times New Roman" w:cs="Times New Roman"/>
                <w:noProof/>
                <w:sz w:val="20"/>
                <w:szCs w:val="20"/>
              </w:rPr>
              <w:t>[27]</w:t>
            </w:r>
            <w:r w:rsidRPr="0007340B">
              <w:rPr>
                <w:rFonts w:ascii="Times New Roman" w:hAnsi="Times New Roman" w:cs="Times New Roman"/>
                <w:sz w:val="20"/>
                <w:szCs w:val="20"/>
              </w:rPr>
              <w:fldChar w:fldCharType="end"/>
            </w:r>
            <w:r w:rsidRPr="0007340B">
              <w:rPr>
                <w:rFonts w:ascii="Times New Roman" w:hAnsi="Times New Roman" w:cs="Times New Roman"/>
                <w:sz w:val="20"/>
                <w:szCs w:val="20"/>
              </w:rPr>
              <w:tab/>
            </w:r>
          </w:p>
        </w:tc>
      </w:tr>
      <w:tr w:rsidR="00FF7EB3" w:rsidRPr="0007340B" w14:paraId="7B697800" w14:textId="77777777" w:rsidTr="008949F2">
        <w:tc>
          <w:tcPr>
            <w:tcW w:w="2668" w:type="dxa"/>
          </w:tcPr>
          <w:p w14:paraId="2CE74C16" w14:textId="53ABD1E7"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t>NTRK</w:t>
            </w:r>
            <w:r w:rsidRPr="0007340B">
              <w:rPr>
                <w:rFonts w:ascii="Times New Roman" w:hAnsi="Times New Roman" w:cs="Times New Roman"/>
                <w:sz w:val="20"/>
                <w:szCs w:val="20"/>
                <w:vertAlign w:val="subscript"/>
              </w:rPr>
              <w:t>(1,2,3)</w:t>
            </w:r>
            <w:r w:rsidRPr="0007340B">
              <w:rPr>
                <w:rFonts w:ascii="Times New Roman" w:hAnsi="Times New Roman" w:cs="Times New Roman"/>
                <w:sz w:val="20"/>
                <w:szCs w:val="20"/>
              </w:rPr>
              <w:t xml:space="preserve"> </w:t>
            </w:r>
          </w:p>
        </w:tc>
        <w:tc>
          <w:tcPr>
            <w:tcW w:w="1346" w:type="dxa"/>
          </w:tcPr>
          <w:p w14:paraId="405EA283" w14:textId="77777777"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0.0017</w:t>
            </w:r>
          </w:p>
        </w:tc>
        <w:tc>
          <w:tcPr>
            <w:tcW w:w="1719" w:type="dxa"/>
          </w:tcPr>
          <w:p w14:paraId="098D501D" w14:textId="77777777" w:rsidR="00FF7EB3" w:rsidRPr="0007340B" w:rsidRDefault="00FF7EB3" w:rsidP="007542F4">
            <w:pPr>
              <w:spacing w:after="0" w:line="240" w:lineRule="auto"/>
              <w:jc w:val="center"/>
              <w:rPr>
                <w:rFonts w:ascii="Times New Roman" w:hAnsi="Times New Roman" w:cs="Times New Roman"/>
                <w:sz w:val="20"/>
                <w:szCs w:val="20"/>
              </w:rPr>
            </w:pPr>
          </w:p>
        </w:tc>
        <w:tc>
          <w:tcPr>
            <w:tcW w:w="1208" w:type="dxa"/>
          </w:tcPr>
          <w:p w14:paraId="0D4717D1" w14:textId="0F8039EF"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fldChar w:fldCharType="begin" w:fldLock="1"/>
            </w:r>
            <w:r w:rsidR="00315CD2" w:rsidRPr="0007340B">
              <w:rPr>
                <w:rFonts w:ascii="Times New Roman" w:hAnsi="Times New Roman" w:cs="Times New Roman"/>
                <w:sz w:val="20"/>
                <w:szCs w:val="20"/>
              </w:rPr>
              <w:instrText>ADDIN CSL_CITATION {"citationItems":[{"id":"ITEM-1","itemData":{"DOI":"10.1177/1758835920975613","ISBN":"1352458516688","ISSN":"1758-8359","PMID":"28086035","abstract":"In patients with severe hemophilia A, recurrent bleeding into joints results in increased morbidity and reduced quality of life. Prophylaxis using replacement factor products, especially when initiated early, has established benefits in terms of reducing joint bleeds and preserving joint function. Poor adherence to prophylactic regimens is a common cause for breakthrough bleeds and resultant arthropathy. Improving prophylaxis management, especially in the transitional age group, is a challenge. Here, we discuss the current status of ultrasonography (US) in hemophilia A, challenges in its wider implementation, and the potential for use of point-of-care US (POCUS) as an adjunct in the routine management of patients with hemophilia following prophylaxis regimens. Using POCUS, in which US is performed by trained hematologists and nonphysician operators (rather than comprehensive US performed by imaging specialists), specific clinical questions can be addressed in a time-efficient, user-friendly manner to promote adherence to prophylaxis and guide or modify treatment approaches. This review also discusses barriers to acceptance of POCUS as a part of routine management of patients with hemophilia, including questions related to its diagnostic accuracy, dependence on trained operators, agreement on Keywords: appropriate scoring systems, and potential usefulness in patient management.","author":[{"dropping-particle":"","family":"Forsythe","given":"Anna","non-dropping-particle":"","parse-names":false,"suffix":""},{"dropping-particle":"","family":"Zhang","given":"Wei","non-dropping-particle":"","parse-names":false,"suffix":""},{"dropping-particle":"","family":"Phillip Strauss","given":"Uwe","non-dropping-particle":"","parse-names":false,"suffix":""},{"dropping-particle":"","family":"Fellous","given":"Marc","non-dropping-particle":"","parse-names":false,"suffix":""},{"dropping-particle":"","family":"Korei","given":"Maesumeh","non-dropping-particle":"","parse-names":false,"suffix":""},{"dropping-particle":"","family":"Keating","given":"Karen","non-dropping-particle":"","parse-names":false,"suffix":""}],"container-title":"Therapeutic Advances in Medical Oncology","id":"ITEM-1","issue":"6","issued":{"date-parts":[["2020","1","21"]]},"page":"175883592097561","title":"A systematic review and meta-analysis of neurotrophic tyrosine receptor kinase gene fusion frequencies in solid tumors","type":"article-journal","volume":"12"},"uris":["http://www.mendeley.com/documents/?uuid=c0a82920-ef6a-4b96-a19c-ca1c0b362bd3"]}],"mendeley":{"formattedCitation":"[31]","plainTextFormattedCitation":"[31]","previouslyFormattedCitation":"[31]"},"properties":{"noteIndex":0},"schema":"https://github.com/citation-style-language/schema/raw/master/csl-citation.json"}</w:instrText>
            </w:r>
            <w:r w:rsidRPr="0007340B">
              <w:rPr>
                <w:rFonts w:ascii="Times New Roman" w:hAnsi="Times New Roman" w:cs="Times New Roman"/>
                <w:sz w:val="20"/>
                <w:szCs w:val="20"/>
              </w:rPr>
              <w:fldChar w:fldCharType="separate"/>
            </w:r>
            <w:r w:rsidR="009F237B" w:rsidRPr="0007340B">
              <w:rPr>
                <w:rFonts w:ascii="Times New Roman" w:hAnsi="Times New Roman" w:cs="Times New Roman"/>
                <w:noProof/>
                <w:sz w:val="20"/>
                <w:szCs w:val="20"/>
              </w:rPr>
              <w:t>[31]</w:t>
            </w:r>
            <w:r w:rsidRPr="0007340B">
              <w:rPr>
                <w:rFonts w:ascii="Times New Roman" w:hAnsi="Times New Roman" w:cs="Times New Roman"/>
                <w:sz w:val="20"/>
                <w:szCs w:val="20"/>
              </w:rPr>
              <w:fldChar w:fldCharType="end"/>
            </w:r>
          </w:p>
        </w:tc>
      </w:tr>
      <w:tr w:rsidR="00FF7EB3" w:rsidRPr="0007340B" w14:paraId="46D87C17" w14:textId="77777777" w:rsidTr="008949F2">
        <w:tc>
          <w:tcPr>
            <w:tcW w:w="2668" w:type="dxa"/>
          </w:tcPr>
          <w:p w14:paraId="182D985B" w14:textId="6F9BBDE4"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t>MET</w:t>
            </w:r>
            <w:r w:rsidRPr="0007340B">
              <w:rPr>
                <w:rFonts w:ascii="Times New Roman" w:hAnsi="Times New Roman" w:cs="Times New Roman"/>
                <w:sz w:val="20"/>
                <w:szCs w:val="20"/>
                <w:vertAlign w:val="subscript"/>
              </w:rPr>
              <w:t xml:space="preserve">(amp / exon 14 </w:t>
            </w:r>
            <w:proofErr w:type="spellStart"/>
            <w:r w:rsidRPr="0007340B">
              <w:rPr>
                <w:rFonts w:ascii="Times New Roman" w:hAnsi="Times New Roman" w:cs="Times New Roman"/>
                <w:sz w:val="20"/>
                <w:szCs w:val="20"/>
                <w:vertAlign w:val="subscript"/>
              </w:rPr>
              <w:t>sk</w:t>
            </w:r>
            <w:proofErr w:type="spellEnd"/>
            <w:r w:rsidRPr="0007340B">
              <w:rPr>
                <w:rFonts w:ascii="Times New Roman" w:hAnsi="Times New Roman" w:cs="Times New Roman"/>
                <w:sz w:val="20"/>
                <w:szCs w:val="20"/>
                <w:vertAlign w:val="subscript"/>
              </w:rPr>
              <w:t>)</w:t>
            </w:r>
            <w:r w:rsidRPr="0007340B">
              <w:rPr>
                <w:rFonts w:ascii="Times New Roman" w:hAnsi="Times New Roman" w:cs="Times New Roman"/>
                <w:sz w:val="20"/>
                <w:szCs w:val="20"/>
              </w:rPr>
              <w:t xml:space="preserve"> </w:t>
            </w:r>
          </w:p>
        </w:tc>
        <w:tc>
          <w:tcPr>
            <w:tcW w:w="1346" w:type="dxa"/>
          </w:tcPr>
          <w:p w14:paraId="283A9461" w14:textId="77777777"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0.014</w:t>
            </w:r>
          </w:p>
        </w:tc>
        <w:tc>
          <w:tcPr>
            <w:tcW w:w="1719" w:type="dxa"/>
          </w:tcPr>
          <w:p w14:paraId="6A5B255A" w14:textId="77777777"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0.001</w:t>
            </w:r>
          </w:p>
        </w:tc>
        <w:tc>
          <w:tcPr>
            <w:tcW w:w="1208" w:type="dxa"/>
          </w:tcPr>
          <w:p w14:paraId="45B4DEE9" w14:textId="5F78A446"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fldChar w:fldCharType="begin" w:fldLock="1"/>
            </w:r>
            <w:r w:rsidR="00315CD2" w:rsidRPr="0007340B">
              <w:rPr>
                <w:rFonts w:ascii="Times New Roman" w:hAnsi="Times New Roman" w:cs="Times New Roman"/>
                <w:sz w:val="20"/>
                <w:szCs w:val="20"/>
              </w:rPr>
              <w:instrText>ADDIN CSL_CITATION {"citationItems":[{"id":"ITEM-1","itemData":{"DOI":"10.1158/2159-8290.CD-16-1337","ISSN":"21598290","PMID":"28336552","abstract":"Tumor genetic testing is standard of care for patients with advanced lung adenocarcinoma, but the fraction of patients who derive clinical benefit remains undefined. Here, we report the experience of 860 patients with metastatic lung adenocarcinoma analyzed prospectively for mutations in &gt;300 cancer-associated genes. Potentially actionable genetic events were stratified into one of four levels based upon published clinical or laboratory evidence that the mutation in question confers increased sensitivity to standard or investigational therapies. Overall, 37.1% (319/860) of patients received a matched therapy guided by their tumor molecular profile. Excluding alterations associated with standard-of-care therapy, 14.4% (69/478) received matched therapy, with a clinical benefit of 52%. Use of matched therapy was strongly influenced by the level of preexistent clinical evidence that the mutation identified predicts for drug response. Analysis of genes mutated significantly more often in tumors without known actionable mutations nominated STK11 and KEAP1 as possible targetable mitogenic drivers. SIGNIFICANCE: An increasing number of therapies that target molecular alterations required for tumor maintenance and progression have demonstrated clinical activity in patients with lung adenocarcinoma. The data reported here suggest that broader, early testing for molecular alterations that have not yet been recognized as standard-of-care predictive biomarkers of drug response could accelerate the development of targeted agents for rare mutational events and could result in improved clinical outcomes.","author":[{"dropping-particle":"","family":"Jordan","given":"Emmet J.","non-dropping-particle":"","parse-names":false,"suffix":""},{"dropping-particle":"","family":"Kim","given":"Hyunjae R.","non-dropping-particle":"","parse-names":false,"suffix":""},{"dropping-particle":"","family":"Arcila","given":"Maria E.","non-dropping-particle":"","parse-names":false,"suffix":""},{"dropping-particle":"","family":"Barron","given":"David","non-dropping-particle":"","parse-names":false,"suffix":""},{"dropping-particle":"","family":"Chakravarty","given":"Debyani","non-dropping-particle":"","parse-names":false,"suffix":""},{"dropping-particle":"","family":"Gao","given":"Jian Jiong","non-dropping-particle":"","parse-names":false,"suffix":""},{"dropping-particle":"","family":"Chang","given":"Matthew T.","non-dropping-particle":"","parse-names":false,"suffix":""},{"dropping-particle":"","family":"Ni","given":"Andy","non-dropping-particle":"","parse-names":false,"suffix":""},{"dropping-particle":"","family":"Kundra","given":"Ritika","non-dropping-particle":"","parse-names":false,"suffix":""},{"dropping-particle":"","family":"Jonsson","given":"Philip","non-dropping-particle":"","parse-names":false,"suffix":""},{"dropping-particle":"","family":"Jayakumaran","given":"Gowtham","non-dropping-particle":"","parse-names":false,"suffix":""},{"dropping-particle":"","family":"Gao","given":"Sizhi Paul","non-dropping-particle":"","parse-names":false,"suffix":""},{"dropping-particle":"","family":"Johnsen","given":"Hannah C.","non-dropping-particle":"","parse-names":false,"suffix":""},{"dropping-particle":"","family":"Hanrahan","given":"Aphrothiti J.","non-dropping-particle":"","parse-names":false,"suffix":""},{"dropping-particle":"","family":"Zehir","given":"Ahmet","non-dropping-particle":"","parse-names":false,"suffix":""},{"dropping-particle":"","family":"Rekhtman","given":"Natasha","non-dropping-particle":"","parse-names":false,"suffix":""},{"dropping-particle":"","family":"Ginsberg","given":"Michelle S.","non-dropping-particle":"","parse-names":false,"suffix":""},{"dropping-particle":"","family":"Li","given":"Bob T.","non-dropping-particle":"","parse-names":false,"suffix":""},{"dropping-particle":"","family":"Yu","given":"Helena A.","non-dropping-particle":"","parse-names":false,"suffix":""},{"dropping-particle":"","family":"Paik","given":"Paul K.","non-dropping-particle":"","parse-names":false,"suffix":""},{"dropping-particle":"","family":"Drilon","given":"Alexander","non-dropping-particle":"","parse-names":false,"suffix":""},{"dropping-particle":"","family":"Hellmann","given":"Matthew D.","non-dropping-particle":"","parse-names":false,"suffix":""},{"dropping-particle":"","family":"Reales","given":"Dalicia N.","non-dropping-particle":"","parse-names":false,"suffix":""},{"dropping-particle":"","family":"Benayed","given":"Ryma","non-dropping-particle":"","parse-names":false,"suffix":""},{"dropping-particle":"","family":"Rusch","given":"Valerie W.","non-dropping-particle":"","parse-names":false,"suffix":""},{"dropping-particle":"","family":"Kris","given":"Mark G.","non-dropping-particle":"","parse-names":false,"suffix":""},{"dropping-particle":"","family":"Chaft","given":"Jamie E.","non-dropping-particle":"","parse-names":false,"suffix":""},{"dropping-particle":"","family":"Baselga","given":"José","non-dropping-particle":"","parse-names":false,"suffix":""},{"dropping-particle":"","family":"Taylor","given":"Barry S.","non-dropping-particle":"","parse-names":false,"suffix":""},{"dropping-particle":"","family":"Schultz","given":"Nikolaus","non-dropping-particle":"","parse-names":false,"suffix":""},{"dropping-particle":"","family":"Rudin","given":"Charles M.","non-dropping-particle":"","parse-names":false,"suffix":""},{"dropping-particle":"","family":"Hyman","given":"David M.","non-dropping-particle":"","parse-names":false,"suffix":""},{"dropping-particle":"","family":"Berger","given":"Michael F.","non-dropping-particle":"","parse-names":false,"suffix":""},{"dropping-particle":"","family":"Solit","given":"David B.","non-dropping-particle":"","parse-names":false,"suffix":""},{"dropping-particle":"","family":"Ladanyi","given":"Marc","non-dropping-particle":"","parse-names":false,"suffix":""},{"dropping-particle":"","family":"Riely","given":"Gregory J.","non-dropping-particle":"","parse-names":false,"suffix":""}],"container-title":"Cancer Discovery","id":"ITEM-1","issue":"6","issued":{"date-parts":[["2017"]]},"page":"596-609","publisher":"American Association for Cancer Research Inc.","title":"Prospective comprehensive molecular characterization of lung adenocarcinomas for efficient patient matching to approved and emerging therapies","type":"article-journal","volume":"7"},"uris":["http://www.mendeley.com/documents/?uuid=b5ca0345-990f-3a68-ae01-dec70c1e7dbb"]}],"mendeley":{"formattedCitation":"[27]","plainTextFormattedCitation":"[27]","previouslyFormattedCitation":"[27]"},"properties":{"noteIndex":0},"schema":"https://github.com/citation-style-language/schema/raw/master/csl-citation.json"}</w:instrText>
            </w:r>
            <w:r w:rsidRPr="0007340B">
              <w:rPr>
                <w:rFonts w:ascii="Times New Roman" w:hAnsi="Times New Roman" w:cs="Times New Roman"/>
                <w:sz w:val="20"/>
                <w:szCs w:val="20"/>
              </w:rPr>
              <w:fldChar w:fldCharType="separate"/>
            </w:r>
            <w:r w:rsidR="009F237B" w:rsidRPr="0007340B">
              <w:rPr>
                <w:rFonts w:ascii="Times New Roman" w:hAnsi="Times New Roman" w:cs="Times New Roman"/>
                <w:noProof/>
                <w:sz w:val="20"/>
                <w:szCs w:val="20"/>
              </w:rPr>
              <w:t>[27]</w:t>
            </w:r>
            <w:r w:rsidRPr="0007340B">
              <w:rPr>
                <w:rFonts w:ascii="Times New Roman" w:hAnsi="Times New Roman" w:cs="Times New Roman"/>
                <w:sz w:val="20"/>
                <w:szCs w:val="20"/>
              </w:rPr>
              <w:fldChar w:fldCharType="end"/>
            </w:r>
          </w:p>
        </w:tc>
      </w:tr>
      <w:tr w:rsidR="00FF7EB3" w:rsidRPr="0007340B" w14:paraId="341104D1" w14:textId="77777777" w:rsidTr="008949F2">
        <w:tc>
          <w:tcPr>
            <w:tcW w:w="2668" w:type="dxa"/>
          </w:tcPr>
          <w:p w14:paraId="7A1D6A53" w14:textId="77777777"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t xml:space="preserve">RET </w:t>
            </w:r>
          </w:p>
        </w:tc>
        <w:tc>
          <w:tcPr>
            <w:tcW w:w="1346" w:type="dxa"/>
          </w:tcPr>
          <w:p w14:paraId="5584E88A" w14:textId="77777777"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0.017</w:t>
            </w:r>
          </w:p>
        </w:tc>
        <w:tc>
          <w:tcPr>
            <w:tcW w:w="1719" w:type="dxa"/>
          </w:tcPr>
          <w:p w14:paraId="66D9CFAC" w14:textId="77777777"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0.002</w:t>
            </w:r>
          </w:p>
        </w:tc>
        <w:tc>
          <w:tcPr>
            <w:tcW w:w="1208" w:type="dxa"/>
          </w:tcPr>
          <w:p w14:paraId="4D00D5A5" w14:textId="5F94808D"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fldChar w:fldCharType="begin" w:fldLock="1"/>
            </w:r>
            <w:r w:rsidR="00315CD2" w:rsidRPr="0007340B">
              <w:rPr>
                <w:rFonts w:ascii="Times New Roman" w:hAnsi="Times New Roman" w:cs="Times New Roman"/>
                <w:sz w:val="20"/>
                <w:szCs w:val="20"/>
              </w:rPr>
              <w:instrText>ADDIN CSL_CITATION {"citationItems":[{"id":"ITEM-1","itemData":{"DOI":"10.1158/2159-8290.CD-16-1337","ISSN":"21598290","PMID":"28336552","abstract":"Tumor genetic testing is standard of care for patients with advanced lung adenocarcinoma, but the fraction of patients who derive clinical benefit remains undefined. Here, we report the experience of 860 patients with metastatic lung adenocarcinoma analyzed prospectively for mutations in &gt;300 cancer-associated genes. Potentially actionable genetic events were stratified into one of four levels based upon published clinical or laboratory evidence that the mutation in question confers increased sensitivity to standard or investigational therapies. Overall, 37.1% (319/860) of patients received a matched therapy guided by their tumor molecular profile. Excluding alterations associated with standard-of-care therapy, 14.4% (69/478) received matched therapy, with a clinical benefit of 52%. Use of matched therapy was strongly influenced by the level of preexistent clinical evidence that the mutation identified predicts for drug response. Analysis of genes mutated significantly more often in tumors without known actionable mutations nominated STK11 and KEAP1 as possible targetable mitogenic drivers. SIGNIFICANCE: An increasing number of therapies that target molecular alterations required for tumor maintenance and progression have demonstrated clinical activity in patients with lung adenocarcinoma. The data reported here suggest that broader, early testing for molecular alterations that have not yet been recognized as standard-of-care predictive biomarkers of drug response could accelerate the development of targeted agents for rare mutational events and could result in improved clinical outcomes.","author":[{"dropping-particle":"","family":"Jordan","given":"Emmet J.","non-dropping-particle":"","parse-names":false,"suffix":""},{"dropping-particle":"","family":"Kim","given":"Hyunjae R.","non-dropping-particle":"","parse-names":false,"suffix":""},{"dropping-particle":"","family":"Arcila","given":"Maria E.","non-dropping-particle":"","parse-names":false,"suffix":""},{"dropping-particle":"","family":"Barron","given":"David","non-dropping-particle":"","parse-names":false,"suffix":""},{"dropping-particle":"","family":"Chakravarty","given":"Debyani","non-dropping-particle":"","parse-names":false,"suffix":""},{"dropping-particle":"","family":"Gao","given":"Jian Jiong","non-dropping-particle":"","parse-names":false,"suffix":""},{"dropping-particle":"","family":"Chang","given":"Matthew T.","non-dropping-particle":"","parse-names":false,"suffix":""},{"dropping-particle":"","family":"Ni","given":"Andy","non-dropping-particle":"","parse-names":false,"suffix":""},{"dropping-particle":"","family":"Kundra","given":"Ritika","non-dropping-particle":"","parse-names":false,"suffix":""},{"dropping-particle":"","family":"Jonsson","given":"Philip","non-dropping-particle":"","parse-names":false,"suffix":""},{"dropping-particle":"","family":"Jayakumaran","given":"Gowtham","non-dropping-particle":"","parse-names":false,"suffix":""},{"dropping-particle":"","family":"Gao","given":"Sizhi Paul","non-dropping-particle":"","parse-names":false,"suffix":""},{"dropping-particle":"","family":"Johnsen","given":"Hannah C.","non-dropping-particle":"","parse-names":false,"suffix":""},{"dropping-particle":"","family":"Hanrahan","given":"Aphrothiti J.","non-dropping-particle":"","parse-names":false,"suffix":""},{"dropping-particle":"","family":"Zehir","given":"Ahmet","non-dropping-particle":"","parse-names":false,"suffix":""},{"dropping-particle":"","family":"Rekhtman","given":"Natasha","non-dropping-particle":"","parse-names":false,"suffix":""},{"dropping-particle":"","family":"Ginsberg","given":"Michelle S.","non-dropping-particle":"","parse-names":false,"suffix":""},{"dropping-particle":"","family":"Li","given":"Bob T.","non-dropping-particle":"","parse-names":false,"suffix":""},{"dropping-particle":"","family":"Yu","given":"Helena A.","non-dropping-particle":"","parse-names":false,"suffix":""},{"dropping-particle":"","family":"Paik","given":"Paul K.","non-dropping-particle":"","parse-names":false,"suffix":""},{"dropping-particle":"","family":"Drilon","given":"Alexander","non-dropping-particle":"","parse-names":false,"suffix":""},{"dropping-particle":"","family":"Hellmann","given":"Matthew D.","non-dropping-particle":"","parse-names":false,"suffix":""},{"dropping-particle":"","family":"Reales","given":"Dalicia N.","non-dropping-particle":"","parse-names":false,"suffix":""},{"dropping-particle":"","family":"Benayed","given":"Ryma","non-dropping-particle":"","parse-names":false,"suffix":""},{"dropping-particle":"","family":"Rusch","given":"Valerie W.","non-dropping-particle":"","parse-names":false,"suffix":""},{"dropping-particle":"","family":"Kris","given":"Mark G.","non-dropping-particle":"","parse-names":false,"suffix":""},{"dropping-particle":"","family":"Chaft","given":"Jamie E.","non-dropping-particle":"","parse-names":false,"suffix":""},{"dropping-particle":"","family":"Baselga","given":"José","non-dropping-particle":"","parse-names":false,"suffix":""},{"dropping-particle":"","family":"Taylor","given":"Barry S.","non-dropping-particle":"","parse-names":false,"suffix":""},{"dropping-particle":"","family":"Schultz","given":"Nikolaus","non-dropping-particle":"","parse-names":false,"suffix":""},{"dropping-particle":"","family":"Rudin","given":"Charles M.","non-dropping-particle":"","parse-names":false,"suffix":""},{"dropping-particle":"","family":"Hyman","given":"David M.","non-dropping-particle":"","parse-names":false,"suffix":""},{"dropping-particle":"","family":"Berger","given":"Michael F.","non-dropping-particle":"","parse-names":false,"suffix":""},{"dropping-particle":"","family":"Solit","given":"David B.","non-dropping-particle":"","parse-names":false,"suffix":""},{"dropping-particle":"","family":"Ladanyi","given":"Marc","non-dropping-particle":"","parse-names":false,"suffix":""},{"dropping-particle":"","family":"Riely","given":"Gregory J.","non-dropping-particle":"","parse-names":false,"suffix":""}],"container-title":"Cancer Discovery","id":"ITEM-1","issue":"6","issued":{"date-parts":[["2017"]]},"page":"596-609","publisher":"American Association for Cancer Research Inc.","title":"Prospective comprehensive molecular characterization of lung adenocarcinomas for efficient patient matching to approved and emerging therapies","type":"article-journal","volume":"7"},"uris":["http://www.mendeley.com/documents/?uuid=b5ca0345-990f-3a68-ae01-dec70c1e7dbb"]}],"mendeley":{"formattedCitation":"[27]","plainTextFormattedCitation":"[27]","previouslyFormattedCitation":"[27]"},"properties":{"noteIndex":0},"schema":"https://github.com/citation-style-language/schema/raw/master/csl-citation.json"}</w:instrText>
            </w:r>
            <w:r w:rsidRPr="0007340B">
              <w:rPr>
                <w:rFonts w:ascii="Times New Roman" w:hAnsi="Times New Roman" w:cs="Times New Roman"/>
                <w:sz w:val="20"/>
                <w:szCs w:val="20"/>
              </w:rPr>
              <w:fldChar w:fldCharType="separate"/>
            </w:r>
            <w:r w:rsidR="009F237B" w:rsidRPr="0007340B">
              <w:rPr>
                <w:rFonts w:ascii="Times New Roman" w:hAnsi="Times New Roman" w:cs="Times New Roman"/>
                <w:noProof/>
                <w:sz w:val="20"/>
                <w:szCs w:val="20"/>
              </w:rPr>
              <w:t>[27]</w:t>
            </w:r>
            <w:r w:rsidRPr="0007340B">
              <w:rPr>
                <w:rFonts w:ascii="Times New Roman" w:hAnsi="Times New Roman" w:cs="Times New Roman"/>
                <w:sz w:val="20"/>
                <w:szCs w:val="20"/>
              </w:rPr>
              <w:fldChar w:fldCharType="end"/>
            </w:r>
          </w:p>
        </w:tc>
      </w:tr>
      <w:tr w:rsidR="00FF7EB3" w:rsidRPr="0007340B" w14:paraId="32431FF5" w14:textId="77777777" w:rsidTr="008949F2">
        <w:tc>
          <w:tcPr>
            <w:tcW w:w="2668" w:type="dxa"/>
          </w:tcPr>
          <w:p w14:paraId="0BF292A8" w14:textId="77777777"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t xml:space="preserve">KRAS </w:t>
            </w:r>
          </w:p>
        </w:tc>
        <w:tc>
          <w:tcPr>
            <w:tcW w:w="1346" w:type="dxa"/>
          </w:tcPr>
          <w:p w14:paraId="73F0EA81" w14:textId="77777777"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0.28</w:t>
            </w:r>
          </w:p>
        </w:tc>
        <w:tc>
          <w:tcPr>
            <w:tcW w:w="1719" w:type="dxa"/>
          </w:tcPr>
          <w:p w14:paraId="7C614EE5" w14:textId="77777777"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0.029</w:t>
            </w:r>
          </w:p>
        </w:tc>
        <w:tc>
          <w:tcPr>
            <w:tcW w:w="1208" w:type="dxa"/>
          </w:tcPr>
          <w:p w14:paraId="3C1CA718" w14:textId="122C9358"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fldChar w:fldCharType="begin" w:fldLock="1"/>
            </w:r>
            <w:r w:rsidR="00315CD2" w:rsidRPr="0007340B">
              <w:rPr>
                <w:rFonts w:ascii="Times New Roman" w:hAnsi="Times New Roman" w:cs="Times New Roman"/>
                <w:sz w:val="20"/>
                <w:szCs w:val="20"/>
              </w:rPr>
              <w:instrText>ADDIN CSL_CITATION {"citationItems":[{"id":"ITEM-1","itemData":{"DOI":"10.1016/j.lungcan.2018.05.006","ISSN":"18728332","PMID":"29858031","abstract":"Objectives: Biological predisposition for specific metastatic organs might differ between molecular subgroups of lung cancer. We aimed to assess the association between molecular status and metastatic organs at diagnosis in a nationwide stage IV non-squamous non-small cell lung cancer ((ns)-NSCLC) cohort. Methods: All ns-NSCLC from 2013 that were stage IV at diagnosis were identified from the Netherlands Cancer Registry, which records information on metastatic organs at diagnosis. Tumors were matched to the Dutch Pathology Registry (PALGA) from which data on molecular status established in routine practice was extracted. Four molecular subgroups (EGFR+, KRAS+, ALK+, triple-negative) were identified. For each metastatic organ, proportions of tumors metastasized to this organ were, per molecular subgroup, compared to triple-negative tumors by multivariable logistic regression analyses (adjusted odds ratios (OR) with 95% confidence intervals (CI)), taking clinicopathological variables into account. Results: 160 EGFR+ (exon 19 del, exon 21 L858R), 784 KRAS+, 42 ALK+, and 1008 triple-negative tumors were identified. Most frequent metastatic organs were the bone (34%), pleura (24%), lung (23%), and brain (22%). Compared to triple-negatives, EGFR+ tumors had more often metastases to the bone (31.5 vs 53.8%; OR 2.55 (95% CI 1.80–3.62)) and pleura (24.1 vs 37.5%; OR 2.06 (1.42–2.98)), and less often to the brain (22.0 vs 12.5%; OR 0.53 (0.32–0.88)) and adrenal glands (19.1 vs 7.5%; OR 0.46 (0.28–0.75)). Compared to triple-negatives, KRAS+ and ALK+ tumors had at diagnosis metastasized more often to the lung (20.3 vs 26.7%; OR 1.40 (1.12–1.76)) and the liver (13.1 vs 23.8%; OR 2.07 (1.00–4.32)), respectively. Conclusion: NSCLC molecular status was associated with metastatic pattern at diagnosis. 54% of stage IV EGFR+ ns-NSCLC patients had bone metastases at diagnosis. These observational results are hypothesis generating, and call for a prospective study where EGFR+ patients are screened for bone metastases, and treated to prevent skeletal related events.","author":[{"dropping-particle":"","family":"Kuijpers","given":"C. C.H.J.","non-dropping-particle":"","parse-names":false,"suffix":""},{"dropping-particle":"","family":"Hendriks","given":"L. E.L.","non-dropping-particle":"","parse-names":false,"suffix":""},{"dropping-particle":"","family":"Derks","given":"J. L.","non-dropping-particle":"","parse-names":false,"suffix":""},{"dropping-particle":"","family":"Dingemans","given":"A. M.C.","non-dropping-particle":"","parse-names":false,"suffix":""},{"dropping-particle":"","family":"Lindert","given":"A. S.R.","non-dropping-particle":"van","parse-names":false,"suffix":""},{"dropping-particle":"","family":"Heuvel","given":"M. M.","non-dropping-particle":"van den","parse-names":false,"suffix":""},{"dropping-particle":"","family":"Damhuis","given":"R. A.","non-dropping-particle":"","parse-names":false,"suffix":""},{"dropping-particle":"","family":"Willems","given":"S. M.","non-dropping-particle":"","parse-names":false,"suffix":""}],"container-title":"Lung Cancer","id":"ITEM-1","issued":{"date-parts":[["2018","7","1"]]},"page":"76-81","publisher":"Elsevier Ireland Ltd","title":"Association of molecular status and metastatic organs at diagnosis in patients with stage IV non-squamous non-small cell lung cancer","type":"article-journal","volume":"121"},"uris":["http://www.mendeley.com/documents/?uuid=a9bbcce5-739c-3a4f-b80c-2f83201cddcf"]}],"mendeley":{"formattedCitation":"[28]","plainTextFormattedCitation":"[28]","previouslyFormattedCitation":"[28]"},"properties":{"noteIndex":0},"schema":"https://github.com/citation-style-language/schema/raw/master/csl-citation.json"}</w:instrText>
            </w:r>
            <w:r w:rsidRPr="0007340B">
              <w:rPr>
                <w:rFonts w:ascii="Times New Roman" w:hAnsi="Times New Roman" w:cs="Times New Roman"/>
                <w:sz w:val="20"/>
                <w:szCs w:val="20"/>
              </w:rPr>
              <w:fldChar w:fldCharType="separate"/>
            </w:r>
            <w:r w:rsidR="009F237B" w:rsidRPr="0007340B">
              <w:rPr>
                <w:rFonts w:ascii="Times New Roman" w:hAnsi="Times New Roman" w:cs="Times New Roman"/>
                <w:noProof/>
                <w:sz w:val="20"/>
                <w:szCs w:val="20"/>
              </w:rPr>
              <w:t>[28]</w:t>
            </w:r>
            <w:r w:rsidRPr="0007340B">
              <w:rPr>
                <w:rFonts w:ascii="Times New Roman" w:hAnsi="Times New Roman" w:cs="Times New Roman"/>
                <w:sz w:val="20"/>
                <w:szCs w:val="20"/>
              </w:rPr>
              <w:fldChar w:fldCharType="end"/>
            </w:r>
          </w:p>
        </w:tc>
      </w:tr>
      <w:tr w:rsidR="00FF7EB3" w:rsidRPr="0007340B" w14:paraId="222DB366" w14:textId="77777777" w:rsidTr="008949F2">
        <w:tc>
          <w:tcPr>
            <w:tcW w:w="2668" w:type="dxa"/>
          </w:tcPr>
          <w:p w14:paraId="542DC47B" w14:textId="77777777"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t>No / Unknown</w:t>
            </w:r>
          </w:p>
        </w:tc>
        <w:tc>
          <w:tcPr>
            <w:tcW w:w="1346" w:type="dxa"/>
          </w:tcPr>
          <w:p w14:paraId="7AD791A6" w14:textId="24400801"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0.5473</w:t>
            </w:r>
            <w:r w:rsidR="0071422F" w:rsidRPr="0007340B">
              <w:rPr>
                <w:rFonts w:ascii="Times New Roman" w:hAnsi="Times New Roman" w:cs="Times New Roman"/>
                <w:sz w:val="20"/>
                <w:szCs w:val="20"/>
                <w:vertAlign w:val="superscript"/>
              </w:rPr>
              <w:t>c</w:t>
            </w:r>
          </w:p>
        </w:tc>
        <w:tc>
          <w:tcPr>
            <w:tcW w:w="1719" w:type="dxa"/>
          </w:tcPr>
          <w:p w14:paraId="3AFB8DE2" w14:textId="77777777"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w:t>
            </w:r>
          </w:p>
        </w:tc>
        <w:tc>
          <w:tcPr>
            <w:tcW w:w="1208" w:type="dxa"/>
          </w:tcPr>
          <w:p w14:paraId="5F7EE540" w14:textId="77777777"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t>-</w:t>
            </w:r>
          </w:p>
        </w:tc>
      </w:tr>
      <w:tr w:rsidR="00FF7EB3" w:rsidRPr="0007340B" w14:paraId="5B8C47AF" w14:textId="77777777" w:rsidTr="008949F2">
        <w:tc>
          <w:tcPr>
            <w:tcW w:w="2668" w:type="dxa"/>
          </w:tcPr>
          <w:p w14:paraId="4E482027" w14:textId="77777777"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t>For those tested for PD-L1</w:t>
            </w:r>
          </w:p>
        </w:tc>
        <w:tc>
          <w:tcPr>
            <w:tcW w:w="1346" w:type="dxa"/>
          </w:tcPr>
          <w:p w14:paraId="400658AD" w14:textId="77777777" w:rsidR="00FF7EB3" w:rsidRPr="0007340B" w:rsidRDefault="00FF7EB3" w:rsidP="007542F4">
            <w:pPr>
              <w:spacing w:after="0" w:line="240" w:lineRule="auto"/>
              <w:jc w:val="center"/>
              <w:rPr>
                <w:rFonts w:ascii="Times New Roman" w:hAnsi="Times New Roman" w:cs="Times New Roman"/>
                <w:sz w:val="20"/>
                <w:szCs w:val="20"/>
              </w:rPr>
            </w:pPr>
          </w:p>
        </w:tc>
        <w:tc>
          <w:tcPr>
            <w:tcW w:w="1719" w:type="dxa"/>
          </w:tcPr>
          <w:p w14:paraId="4E84BCE3" w14:textId="77777777" w:rsidR="00FF7EB3" w:rsidRPr="0007340B" w:rsidRDefault="00FF7EB3" w:rsidP="007542F4">
            <w:pPr>
              <w:spacing w:after="0" w:line="240" w:lineRule="auto"/>
              <w:jc w:val="center"/>
              <w:rPr>
                <w:rFonts w:ascii="Times New Roman" w:hAnsi="Times New Roman" w:cs="Times New Roman"/>
                <w:sz w:val="20"/>
                <w:szCs w:val="20"/>
              </w:rPr>
            </w:pPr>
          </w:p>
        </w:tc>
        <w:tc>
          <w:tcPr>
            <w:tcW w:w="1208" w:type="dxa"/>
          </w:tcPr>
          <w:p w14:paraId="554F3AB6" w14:textId="77777777" w:rsidR="00FF7EB3" w:rsidRPr="0007340B" w:rsidRDefault="00FF7EB3" w:rsidP="007542F4">
            <w:pPr>
              <w:spacing w:after="0" w:line="240" w:lineRule="auto"/>
              <w:rPr>
                <w:rFonts w:ascii="Times New Roman" w:hAnsi="Times New Roman" w:cs="Times New Roman"/>
                <w:sz w:val="20"/>
                <w:szCs w:val="20"/>
              </w:rPr>
            </w:pPr>
          </w:p>
        </w:tc>
      </w:tr>
      <w:tr w:rsidR="00FF7EB3" w:rsidRPr="0007340B" w14:paraId="4033EBB0" w14:textId="77777777" w:rsidTr="008949F2">
        <w:tc>
          <w:tcPr>
            <w:tcW w:w="2668" w:type="dxa"/>
          </w:tcPr>
          <w:p w14:paraId="2FA6F02C" w14:textId="77777777"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tab/>
              <w:t xml:space="preserve">PD-L1 ≥50% </w:t>
            </w:r>
          </w:p>
        </w:tc>
        <w:tc>
          <w:tcPr>
            <w:tcW w:w="1346" w:type="dxa"/>
          </w:tcPr>
          <w:p w14:paraId="32589B88" w14:textId="0C923764"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0.25</w:t>
            </w:r>
            <w:r w:rsidR="0071422F" w:rsidRPr="0007340B">
              <w:rPr>
                <w:rFonts w:ascii="Times New Roman" w:hAnsi="Times New Roman" w:cs="Times New Roman"/>
                <w:sz w:val="20"/>
                <w:szCs w:val="20"/>
                <w:vertAlign w:val="superscript"/>
              </w:rPr>
              <w:t>d</w:t>
            </w:r>
          </w:p>
        </w:tc>
        <w:tc>
          <w:tcPr>
            <w:tcW w:w="1719" w:type="dxa"/>
          </w:tcPr>
          <w:p w14:paraId="0C537831" w14:textId="77777777" w:rsidR="00FF7EB3" w:rsidRPr="0007340B" w:rsidRDefault="00FF7EB3" w:rsidP="007542F4">
            <w:pPr>
              <w:spacing w:after="0" w:line="240" w:lineRule="auto"/>
              <w:jc w:val="center"/>
              <w:rPr>
                <w:rFonts w:ascii="Times New Roman" w:hAnsi="Times New Roman" w:cs="Times New Roman"/>
                <w:sz w:val="20"/>
                <w:szCs w:val="20"/>
              </w:rPr>
            </w:pPr>
          </w:p>
        </w:tc>
        <w:tc>
          <w:tcPr>
            <w:tcW w:w="1208" w:type="dxa"/>
          </w:tcPr>
          <w:p w14:paraId="7936A3B9" w14:textId="0FDD57FB"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fldChar w:fldCharType="begin" w:fldLock="1"/>
            </w:r>
            <w:r w:rsidR="00315CD2" w:rsidRPr="0007340B">
              <w:rPr>
                <w:rFonts w:ascii="Times New Roman" w:hAnsi="Times New Roman" w:cs="Times New Roman"/>
                <w:sz w:val="20"/>
                <w:szCs w:val="20"/>
              </w:rPr>
              <w:instrText>ADDIN CSL_CITATION {"citationItems":[{"id":"ITEM-1","itemData":{"DOI":"10.1016/j.lungcan.2019.06.012","ISSN":"01695002","author":[{"dropping-particle":"","family":"Dietel","given":"M.","non-dropping-particle":"","parse-names":false,"suffix":""},{"dropping-particle":"","family":"Savelov","given":"N.","non-dropping-particle":"","parse-names":false,"suffix":""},{"dropping-particle":"","family":"Salanova","given":"R.","non-dropping-particle":"","parse-names":false,"suffix":""},{"dropping-particle":"","family":"Micke","given":"P.","non-dropping-particle":"","parse-names":false,"suffix":""},{"dropping-particle":"","family":"Bigras","given":"G.","non-dropping-particle":"","parse-names":false,"suffix":""},{"dropping-particle":"","family":"Hida","given":"T.","non-dropping-particle":"","parse-names":false,"suffix":""},{"dropping-particle":"","family":"Antunez","given":"J.","non-dropping-particle":"","parse-names":false,"suffix":""},{"dropping-particle":"","family":"Guldhammer Skov","given":"B.","non-dropping-particle":"","parse-names":false,"suffix":""},{"dropping-particle":"","family":"Hutarew","given":"G.","non-dropping-particle":"","parse-names":false,"suffix":""},{"dropping-particle":"","family":"Sua","given":"L.F.","non-dropping-particle":"","parse-names":false,"suffix":""},{"dropping-particle":"","family":"Akita","given":"H.","non-dropping-particle":"","parse-names":false,"suffix":""},{"dropping-particle":"","family":"Chan","given":"O.S.H.","non-dropping-particle":"","parse-names":false,"suffix":""},{"dropping-particle":"","family":"Piperdi","given":"B.","non-dropping-particle":"","parse-names":false,"suffix":""},{"dropping-particle":"","family":"Burke","given":"T.","non-dropping-particle":"","parse-names":false,"suffix":""},{"dropping-particle":"","family":"Khambata-Ford","given":"S.","non-dropping-particle":"","parse-names":false,"suffix":""},{"dropping-particle":"","family":"Deitz","given":"A.C.","non-dropping-particle":"","parse-names":false,"suffix":""}],"container-title":"Lung Cancer","id":"ITEM-1","issued":{"date-parts":[["2019","8"]]},"page":"174-179","title":"Real-world prevalence of programmed death ligand 1 expression in locally advanced or metastatic non–small-cell lung cancer: The global, multicenter EXPRESS study","type":"article-journal","volume":"134"},"uris":["http://www.mendeley.com/documents/?uuid=cdd2155c-7458-4da2-9014-ad0558b88c41"]}],"mendeley":{"formattedCitation":"[29]","plainTextFormattedCitation":"[29]","previouslyFormattedCitation":"[29]"},"properties":{"noteIndex":0},"schema":"https://github.com/citation-style-language/schema/raw/master/csl-citation.json"}</w:instrText>
            </w:r>
            <w:r w:rsidRPr="0007340B">
              <w:rPr>
                <w:rFonts w:ascii="Times New Roman" w:hAnsi="Times New Roman" w:cs="Times New Roman"/>
                <w:sz w:val="20"/>
                <w:szCs w:val="20"/>
              </w:rPr>
              <w:fldChar w:fldCharType="separate"/>
            </w:r>
            <w:r w:rsidR="009F237B" w:rsidRPr="0007340B">
              <w:rPr>
                <w:rFonts w:ascii="Times New Roman" w:hAnsi="Times New Roman" w:cs="Times New Roman"/>
                <w:noProof/>
                <w:sz w:val="20"/>
                <w:szCs w:val="20"/>
              </w:rPr>
              <w:t>[29]</w:t>
            </w:r>
            <w:r w:rsidRPr="0007340B">
              <w:rPr>
                <w:rFonts w:ascii="Times New Roman" w:hAnsi="Times New Roman" w:cs="Times New Roman"/>
                <w:sz w:val="20"/>
                <w:szCs w:val="20"/>
              </w:rPr>
              <w:fldChar w:fldCharType="end"/>
            </w:r>
          </w:p>
        </w:tc>
      </w:tr>
      <w:tr w:rsidR="00FF7EB3" w:rsidRPr="0007340B" w14:paraId="31322B1B" w14:textId="77777777" w:rsidTr="008949F2">
        <w:trPr>
          <w:trHeight w:val="159"/>
        </w:trPr>
        <w:tc>
          <w:tcPr>
            <w:tcW w:w="2668" w:type="dxa"/>
          </w:tcPr>
          <w:p w14:paraId="22E5A5F7" w14:textId="77777777"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tab/>
              <w:t xml:space="preserve">PD-L1 &lt; 50% </w:t>
            </w:r>
          </w:p>
        </w:tc>
        <w:tc>
          <w:tcPr>
            <w:tcW w:w="1346" w:type="dxa"/>
          </w:tcPr>
          <w:p w14:paraId="5F1CC534" w14:textId="49C32D23"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0.75</w:t>
            </w:r>
            <w:r w:rsidR="0071422F" w:rsidRPr="0007340B">
              <w:rPr>
                <w:rFonts w:ascii="Times New Roman" w:hAnsi="Times New Roman" w:cs="Times New Roman"/>
                <w:sz w:val="20"/>
                <w:szCs w:val="20"/>
                <w:vertAlign w:val="superscript"/>
              </w:rPr>
              <w:t>e</w:t>
            </w:r>
          </w:p>
        </w:tc>
        <w:tc>
          <w:tcPr>
            <w:tcW w:w="1719" w:type="dxa"/>
          </w:tcPr>
          <w:p w14:paraId="6DC638E0" w14:textId="77777777" w:rsidR="00FF7EB3" w:rsidRPr="0007340B" w:rsidRDefault="00FF7EB3" w:rsidP="007542F4">
            <w:pPr>
              <w:spacing w:after="0" w:line="240" w:lineRule="auto"/>
              <w:jc w:val="center"/>
              <w:rPr>
                <w:rFonts w:ascii="Times New Roman" w:hAnsi="Times New Roman" w:cs="Times New Roman"/>
                <w:sz w:val="20"/>
                <w:szCs w:val="20"/>
              </w:rPr>
            </w:pPr>
            <w:r w:rsidRPr="0007340B">
              <w:rPr>
                <w:rFonts w:ascii="Times New Roman" w:hAnsi="Times New Roman" w:cs="Times New Roman"/>
                <w:sz w:val="20"/>
                <w:szCs w:val="20"/>
              </w:rPr>
              <w:t>-</w:t>
            </w:r>
          </w:p>
        </w:tc>
        <w:tc>
          <w:tcPr>
            <w:tcW w:w="1208" w:type="dxa"/>
          </w:tcPr>
          <w:p w14:paraId="6880D32C" w14:textId="5407DFFE" w:rsidR="00FF7EB3" w:rsidRPr="0007340B" w:rsidRDefault="00FF7EB3" w:rsidP="007542F4">
            <w:pPr>
              <w:spacing w:after="0" w:line="240" w:lineRule="auto"/>
              <w:rPr>
                <w:rFonts w:ascii="Times New Roman" w:hAnsi="Times New Roman" w:cs="Times New Roman"/>
                <w:sz w:val="20"/>
                <w:szCs w:val="20"/>
              </w:rPr>
            </w:pPr>
            <w:r w:rsidRPr="0007340B">
              <w:rPr>
                <w:rFonts w:ascii="Times New Roman" w:hAnsi="Times New Roman" w:cs="Times New Roman"/>
                <w:sz w:val="20"/>
                <w:szCs w:val="20"/>
              </w:rPr>
              <w:fldChar w:fldCharType="begin" w:fldLock="1"/>
            </w:r>
            <w:r w:rsidR="00315CD2" w:rsidRPr="0007340B">
              <w:rPr>
                <w:rFonts w:ascii="Times New Roman" w:hAnsi="Times New Roman" w:cs="Times New Roman"/>
                <w:sz w:val="20"/>
                <w:szCs w:val="20"/>
              </w:rPr>
              <w:instrText>ADDIN CSL_CITATION {"citationItems":[{"id":"ITEM-1","itemData":{"DOI":"10.1016/j.lungcan.2019.06.012","ISSN":"01695002","author":[{"dropping-particle":"","family":"Dietel","given":"M.","non-dropping-particle":"","parse-names":false,"suffix":""},{"dropping-particle":"","family":"Savelov","given":"N.","non-dropping-particle":"","parse-names":false,"suffix":""},{"dropping-particle":"","family":"Salanova","given":"R.","non-dropping-particle":"","parse-names":false,"suffix":""},{"dropping-particle":"","family":"Micke","given":"P.","non-dropping-particle":"","parse-names":false,"suffix":""},{"dropping-particle":"","family":"Bigras","given":"G.","non-dropping-particle":"","parse-names":false,"suffix":""},{"dropping-particle":"","family":"Hida","given":"T.","non-dropping-particle":"","parse-names":false,"suffix":""},{"dropping-particle":"","family":"Antunez","given":"J.","non-dropping-particle":"","parse-names":false,"suffix":""},{"dropping-particle":"","family":"Guldhammer Skov","given":"B.","non-dropping-particle":"","parse-names":false,"suffix":""},{"dropping-particle":"","family":"Hutarew","given":"G.","non-dropping-particle":"","parse-names":false,"suffix":""},{"dropping-particle":"","family":"Sua","given":"L.F.","non-dropping-particle":"","parse-names":false,"suffix":""},{"dropping-particle":"","family":"Akita","given":"H.","non-dropping-particle":"","parse-names":false,"suffix":""},{"dropping-particle":"","family":"Chan","given":"O.S.H.","non-dropping-particle":"","parse-names":false,"suffix":""},{"dropping-particle":"","family":"Piperdi","given":"B.","non-dropping-particle":"","parse-names":false,"suffix":""},{"dropping-particle":"","family":"Burke","given":"T.","non-dropping-particle":"","parse-names":false,"suffix":""},{"dropping-particle":"","family":"Khambata-Ford","given":"S.","non-dropping-particle":"","parse-names":false,"suffix":""},{"dropping-particle":"","family":"Deitz","given":"A.C.","non-dropping-particle":"","parse-names":false,"suffix":""}],"container-title":"Lung Cancer","id":"ITEM-1","issued":{"date-parts":[["2019","8"]]},"page":"174-179","title":"Real-world prevalence of programmed death ligand 1 expression in locally advanced or metastatic non–small-cell lung cancer: The global, multicenter EXPRESS study","type":"article-journal","volume":"134"},"uris":["http://www.mendeley.com/documents/?uuid=cdd2155c-7458-4da2-9014-ad0558b88c41"]}],"mendeley":{"formattedCitation":"[29]","plainTextFormattedCitation":"[29]","previouslyFormattedCitation":"[29]"},"properties":{"noteIndex":0},"schema":"https://github.com/citation-style-language/schema/raw/master/csl-citation.json"}</w:instrText>
            </w:r>
            <w:r w:rsidRPr="0007340B">
              <w:rPr>
                <w:rFonts w:ascii="Times New Roman" w:hAnsi="Times New Roman" w:cs="Times New Roman"/>
                <w:sz w:val="20"/>
                <w:szCs w:val="20"/>
              </w:rPr>
              <w:fldChar w:fldCharType="separate"/>
            </w:r>
            <w:r w:rsidR="009F237B" w:rsidRPr="0007340B">
              <w:rPr>
                <w:rFonts w:ascii="Times New Roman" w:hAnsi="Times New Roman" w:cs="Times New Roman"/>
                <w:noProof/>
                <w:sz w:val="20"/>
                <w:szCs w:val="20"/>
              </w:rPr>
              <w:t>[29]</w:t>
            </w:r>
            <w:r w:rsidRPr="0007340B">
              <w:rPr>
                <w:rFonts w:ascii="Times New Roman" w:hAnsi="Times New Roman" w:cs="Times New Roman"/>
                <w:sz w:val="20"/>
                <w:szCs w:val="20"/>
              </w:rPr>
              <w:fldChar w:fldCharType="end"/>
            </w:r>
          </w:p>
        </w:tc>
      </w:tr>
    </w:tbl>
    <w:p w14:paraId="6CAC88C4" w14:textId="4436CEC7" w:rsidR="00FF7EB3" w:rsidRPr="0007340B" w:rsidRDefault="0071422F" w:rsidP="00CD4B0D">
      <w:pPr>
        <w:spacing w:after="0" w:line="480" w:lineRule="auto"/>
        <w:jc w:val="both"/>
        <w:rPr>
          <w:rFonts w:ascii="Times New Roman" w:hAnsi="Times New Roman" w:cs="Times New Roman"/>
          <w:sz w:val="18"/>
          <w:szCs w:val="18"/>
        </w:rPr>
      </w:pPr>
      <w:r>
        <w:rPr>
          <w:sz w:val="18"/>
          <w:szCs w:val="18"/>
          <w:vertAlign w:val="superscript"/>
        </w:rPr>
        <w:t>a</w:t>
      </w:r>
      <w:r w:rsidR="00FF7EB3" w:rsidRPr="00E70A58">
        <w:rPr>
          <w:sz w:val="18"/>
          <w:szCs w:val="18"/>
        </w:rPr>
        <w:t xml:space="preserve"> </w:t>
      </w:r>
      <w:r w:rsidR="00FF7EB3" w:rsidRPr="0007340B">
        <w:rPr>
          <w:rFonts w:ascii="Times New Roman" w:hAnsi="Times New Roman" w:cs="Times New Roman"/>
          <w:sz w:val="18"/>
          <w:szCs w:val="18"/>
        </w:rPr>
        <w:t xml:space="preserve">Classic activating EGFR mutations (exon 19 deletions and exon 21 L858R point mutations); </w:t>
      </w:r>
    </w:p>
    <w:p w14:paraId="3207BEDD" w14:textId="3B84C4A4" w:rsidR="00FF7EB3" w:rsidRPr="0007340B" w:rsidRDefault="0071422F" w:rsidP="00AB7D4E">
      <w:pPr>
        <w:spacing w:after="0" w:line="480" w:lineRule="auto"/>
        <w:jc w:val="both"/>
        <w:rPr>
          <w:rFonts w:ascii="Times New Roman" w:hAnsi="Times New Roman" w:cs="Times New Roman"/>
          <w:sz w:val="18"/>
          <w:szCs w:val="18"/>
        </w:rPr>
      </w:pPr>
      <w:r w:rsidRPr="0007340B">
        <w:rPr>
          <w:rFonts w:ascii="Times New Roman" w:hAnsi="Times New Roman" w:cs="Times New Roman"/>
          <w:sz w:val="18"/>
          <w:szCs w:val="18"/>
          <w:vertAlign w:val="superscript"/>
        </w:rPr>
        <w:t>b</w:t>
      </w:r>
      <w:r w:rsidR="00FF7EB3" w:rsidRPr="0007340B">
        <w:rPr>
          <w:rFonts w:ascii="Times New Roman" w:hAnsi="Times New Roman" w:cs="Times New Roman"/>
          <w:sz w:val="18"/>
          <w:szCs w:val="18"/>
          <w:vertAlign w:val="superscript"/>
        </w:rPr>
        <w:t xml:space="preserve"> </w:t>
      </w:r>
      <w:r w:rsidR="00FF7EB3" w:rsidRPr="0007340B">
        <w:rPr>
          <w:rFonts w:ascii="Times New Roman" w:hAnsi="Times New Roman" w:cs="Times New Roman"/>
          <w:sz w:val="18"/>
          <w:szCs w:val="18"/>
        </w:rPr>
        <w:t>Non- classic activating EGFR mutations, resistance mutations, and other mutations;</w:t>
      </w:r>
    </w:p>
    <w:p w14:paraId="6E320145" w14:textId="51AEA2F0" w:rsidR="00FF7EB3" w:rsidRPr="0007340B" w:rsidRDefault="0071422F" w:rsidP="00282DA2">
      <w:pPr>
        <w:spacing w:after="0" w:line="480" w:lineRule="auto"/>
        <w:jc w:val="both"/>
        <w:rPr>
          <w:rFonts w:ascii="Times New Roman" w:hAnsi="Times New Roman" w:cs="Times New Roman"/>
          <w:sz w:val="18"/>
          <w:szCs w:val="18"/>
        </w:rPr>
      </w:pPr>
      <w:r w:rsidRPr="0007340B">
        <w:rPr>
          <w:rFonts w:ascii="Times New Roman" w:hAnsi="Times New Roman" w:cs="Times New Roman"/>
          <w:sz w:val="18"/>
          <w:szCs w:val="18"/>
          <w:vertAlign w:val="superscript"/>
        </w:rPr>
        <w:t>c</w:t>
      </w:r>
      <w:r w:rsidR="00FF7EB3" w:rsidRPr="0007340B">
        <w:rPr>
          <w:rFonts w:ascii="Times New Roman" w:hAnsi="Times New Roman" w:cs="Times New Roman"/>
          <w:sz w:val="18"/>
          <w:szCs w:val="18"/>
          <w:vertAlign w:val="superscript"/>
        </w:rPr>
        <w:t xml:space="preserve"> </w:t>
      </w:r>
      <w:r w:rsidR="00FF7EB3" w:rsidRPr="0007340B">
        <w:rPr>
          <w:rFonts w:ascii="Times New Roman" w:hAnsi="Times New Roman" w:cs="Times New Roman"/>
          <w:sz w:val="18"/>
          <w:szCs w:val="18"/>
        </w:rPr>
        <w:t xml:space="preserve">1 minus </w:t>
      </w:r>
      <w:r w:rsidR="0007340B" w:rsidRPr="0007340B">
        <w:rPr>
          <w:rFonts w:ascii="Times New Roman" w:hAnsi="Times New Roman" w:cs="Times New Roman"/>
          <w:sz w:val="18"/>
          <w:szCs w:val="18"/>
        </w:rPr>
        <w:t>sums</w:t>
      </w:r>
      <w:r w:rsidR="00FF7EB3" w:rsidRPr="0007340B">
        <w:rPr>
          <w:rFonts w:ascii="Times New Roman" w:hAnsi="Times New Roman" w:cs="Times New Roman"/>
          <w:sz w:val="18"/>
          <w:szCs w:val="18"/>
        </w:rPr>
        <w:t xml:space="preserve"> all molecular markers </w:t>
      </w:r>
    </w:p>
    <w:p w14:paraId="0F679DDE" w14:textId="241735C6" w:rsidR="00FF7EB3" w:rsidRPr="0007340B" w:rsidRDefault="0071422F" w:rsidP="009E5143">
      <w:pPr>
        <w:spacing w:after="0" w:line="480" w:lineRule="auto"/>
        <w:jc w:val="both"/>
        <w:rPr>
          <w:rFonts w:ascii="Times New Roman" w:hAnsi="Times New Roman" w:cs="Times New Roman"/>
          <w:sz w:val="18"/>
          <w:szCs w:val="18"/>
        </w:rPr>
      </w:pPr>
      <w:r w:rsidRPr="0007340B">
        <w:rPr>
          <w:rFonts w:ascii="Times New Roman" w:hAnsi="Times New Roman" w:cs="Times New Roman"/>
          <w:sz w:val="18"/>
          <w:szCs w:val="18"/>
          <w:vertAlign w:val="superscript"/>
        </w:rPr>
        <w:t>d</w:t>
      </w:r>
      <w:r w:rsidR="00FF7EB3" w:rsidRPr="0007340B">
        <w:rPr>
          <w:rFonts w:ascii="Times New Roman" w:hAnsi="Times New Roman" w:cs="Times New Roman"/>
          <w:sz w:val="18"/>
          <w:szCs w:val="18"/>
        </w:rPr>
        <w:t xml:space="preserve"> out of patients with No / unknown molecular biomarkers or had KRAS / MET / RET mutations. </w:t>
      </w:r>
    </w:p>
    <w:p w14:paraId="1BEB1A20" w14:textId="4EA0D9DD" w:rsidR="00FF7EB3" w:rsidRPr="0007340B" w:rsidRDefault="0071422F" w:rsidP="009E5143">
      <w:pPr>
        <w:spacing w:after="200" w:line="480" w:lineRule="auto"/>
        <w:jc w:val="both"/>
        <w:rPr>
          <w:rFonts w:ascii="Times New Roman" w:eastAsia="Calibri" w:hAnsi="Times New Roman" w:cs="Times New Roman"/>
          <w:sz w:val="18"/>
          <w:szCs w:val="18"/>
        </w:rPr>
        <w:sectPr w:rsidR="00FF7EB3" w:rsidRPr="0007340B" w:rsidSect="002F537C">
          <w:footerReference w:type="default" r:id="rId16"/>
          <w:pgSz w:w="11906" w:h="16838"/>
          <w:pgMar w:top="1440" w:right="1440" w:bottom="1440" w:left="1440" w:header="708" w:footer="708" w:gutter="0"/>
          <w:lnNumType w:countBy="1" w:restart="continuous"/>
          <w:cols w:space="708"/>
          <w:docGrid w:linePitch="360"/>
        </w:sectPr>
      </w:pPr>
      <w:r w:rsidRPr="0007340B">
        <w:rPr>
          <w:rFonts w:ascii="Times New Roman" w:hAnsi="Times New Roman" w:cs="Times New Roman"/>
          <w:sz w:val="18"/>
          <w:szCs w:val="18"/>
          <w:vertAlign w:val="superscript"/>
        </w:rPr>
        <w:t>e</w:t>
      </w:r>
      <w:r w:rsidR="00FF7EB3" w:rsidRPr="0007340B">
        <w:rPr>
          <w:rFonts w:ascii="Times New Roman" w:hAnsi="Times New Roman" w:cs="Times New Roman"/>
          <w:sz w:val="18"/>
          <w:szCs w:val="18"/>
        </w:rPr>
        <w:t xml:space="preserve"> 1 minus PD-L1 ≥50%. </w:t>
      </w:r>
      <w:r w:rsidR="00FF7EB3" w:rsidRPr="0007340B">
        <w:rPr>
          <w:rFonts w:ascii="Times New Roman" w:eastAsia="Calibri" w:hAnsi="Times New Roman" w:cs="Times New Roman"/>
          <w:sz w:val="18"/>
          <w:szCs w:val="18"/>
        </w:rPr>
        <w:t xml:space="preserve"> </w:t>
      </w:r>
    </w:p>
    <w:p w14:paraId="4D4651CC" w14:textId="77777777" w:rsidR="00FF7EB3" w:rsidRPr="00F21B54" w:rsidRDefault="00FF7EB3" w:rsidP="009E5143">
      <w:pPr>
        <w:spacing w:line="480" w:lineRule="auto"/>
        <w:rPr>
          <w:rFonts w:ascii="Calibri" w:eastAsia="Calibri" w:hAnsi="Calibri" w:cs="Times New Roman"/>
          <w:lang w:val="en-GB"/>
        </w:rPr>
      </w:pPr>
      <w:r w:rsidRPr="00F21B54">
        <w:rPr>
          <w:rFonts w:ascii="Calibri" w:eastAsia="Calibri" w:hAnsi="Calibri" w:cs="Times New Roman"/>
          <w:lang w:val="en-GB"/>
        </w:rPr>
        <w:lastRenderedPageBreak/>
        <w:t>Table A</w:t>
      </w:r>
      <w:r>
        <w:rPr>
          <w:rFonts w:ascii="Calibri" w:eastAsia="Calibri" w:hAnsi="Calibri" w:cs="Times New Roman"/>
          <w:lang w:val="en-GB"/>
        </w:rPr>
        <w:t>4</w:t>
      </w:r>
      <w:r w:rsidRPr="00F21B54">
        <w:rPr>
          <w:rFonts w:ascii="Calibri" w:eastAsia="Calibri" w:hAnsi="Calibri" w:cs="Times New Roman"/>
          <w:lang w:val="en-GB"/>
        </w:rPr>
        <w:t xml:space="preserve">. First-line treatment and PF HR per molecular subgroup </w:t>
      </w:r>
    </w:p>
    <w:tbl>
      <w:tblPr>
        <w:tblW w:w="112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3"/>
        <w:gridCol w:w="2396"/>
        <w:gridCol w:w="1218"/>
        <w:gridCol w:w="1908"/>
        <w:gridCol w:w="1423"/>
        <w:gridCol w:w="1250"/>
        <w:gridCol w:w="1284"/>
      </w:tblGrid>
      <w:tr w:rsidR="00C43E65" w:rsidRPr="00C43E65" w14:paraId="4E5F9D04" w14:textId="77777777" w:rsidTr="00D7163D">
        <w:trPr>
          <w:trHeight w:val="142"/>
        </w:trPr>
        <w:tc>
          <w:tcPr>
            <w:tcW w:w="1773" w:type="dxa"/>
          </w:tcPr>
          <w:p w14:paraId="1DBCEAC9" w14:textId="4A3FD104" w:rsidR="00FF7EB3" w:rsidRPr="007542F4" w:rsidRDefault="00FF7EB3" w:rsidP="007542F4">
            <w:pPr>
              <w:spacing w:line="240" w:lineRule="auto"/>
              <w:rPr>
                <w:rFonts w:cstheme="minorHAnsi"/>
              </w:rPr>
            </w:pPr>
            <w:r w:rsidRPr="007542F4">
              <w:rPr>
                <w:rFonts w:cstheme="minorHAnsi"/>
              </w:rPr>
              <w:t>Biomarker</w:t>
            </w:r>
          </w:p>
        </w:tc>
        <w:tc>
          <w:tcPr>
            <w:tcW w:w="2396" w:type="dxa"/>
          </w:tcPr>
          <w:p w14:paraId="7387D52B" w14:textId="3C430B43" w:rsidR="00FF7EB3" w:rsidRPr="007542F4" w:rsidRDefault="00BB3BD5" w:rsidP="007542F4">
            <w:pPr>
              <w:spacing w:line="240" w:lineRule="auto"/>
              <w:rPr>
                <w:rFonts w:cstheme="minorHAnsi"/>
              </w:rPr>
            </w:pPr>
            <w:r w:rsidRPr="007542F4">
              <w:rPr>
                <w:rFonts w:cstheme="minorHAnsi"/>
              </w:rPr>
              <w:t>1L Treat</w:t>
            </w:r>
          </w:p>
        </w:tc>
        <w:tc>
          <w:tcPr>
            <w:tcW w:w="1218" w:type="dxa"/>
          </w:tcPr>
          <w:p w14:paraId="3D09BCA5" w14:textId="0D248BEB" w:rsidR="00FF7EB3" w:rsidRPr="007542F4" w:rsidRDefault="00FF7EB3" w:rsidP="007542F4">
            <w:pPr>
              <w:spacing w:line="240" w:lineRule="auto"/>
              <w:rPr>
                <w:rFonts w:cstheme="minorHAnsi"/>
              </w:rPr>
            </w:pPr>
            <w:r w:rsidRPr="007542F4">
              <w:rPr>
                <w:rFonts w:cstheme="minorHAnsi"/>
              </w:rPr>
              <w:t>Control</w:t>
            </w:r>
          </w:p>
        </w:tc>
        <w:tc>
          <w:tcPr>
            <w:tcW w:w="1908" w:type="dxa"/>
          </w:tcPr>
          <w:p w14:paraId="3996E0AE" w14:textId="77777777" w:rsidR="00FF7EB3" w:rsidRPr="007542F4" w:rsidRDefault="00FF7EB3" w:rsidP="007542F4">
            <w:pPr>
              <w:spacing w:line="240" w:lineRule="auto"/>
              <w:rPr>
                <w:rFonts w:cstheme="minorHAnsi"/>
              </w:rPr>
            </w:pPr>
            <w:r w:rsidRPr="007542F4">
              <w:rPr>
                <w:rFonts w:cstheme="minorHAnsi"/>
              </w:rPr>
              <w:t>PFS HR</w:t>
            </w:r>
          </w:p>
        </w:tc>
        <w:tc>
          <w:tcPr>
            <w:tcW w:w="1423" w:type="dxa"/>
          </w:tcPr>
          <w:p w14:paraId="6C364BC6" w14:textId="77777777" w:rsidR="00FF7EB3" w:rsidRPr="007542F4" w:rsidRDefault="00FF7EB3" w:rsidP="007542F4">
            <w:pPr>
              <w:spacing w:line="240" w:lineRule="auto"/>
              <w:rPr>
                <w:rFonts w:cstheme="minorHAnsi"/>
              </w:rPr>
            </w:pPr>
            <w:r w:rsidRPr="007542F4">
              <w:rPr>
                <w:rFonts w:cstheme="minorHAnsi"/>
              </w:rPr>
              <w:t>Reference</w:t>
            </w:r>
          </w:p>
        </w:tc>
        <w:tc>
          <w:tcPr>
            <w:tcW w:w="2534" w:type="dxa"/>
            <w:gridSpan w:val="2"/>
          </w:tcPr>
          <w:p w14:paraId="7A05DF97" w14:textId="77777777" w:rsidR="00FF7EB3" w:rsidRPr="007542F4" w:rsidRDefault="00FF7EB3" w:rsidP="007542F4">
            <w:pPr>
              <w:spacing w:line="240" w:lineRule="auto"/>
              <w:rPr>
                <w:rFonts w:cstheme="minorHAnsi"/>
              </w:rPr>
            </w:pPr>
            <w:proofErr w:type="spellStart"/>
            <w:r w:rsidRPr="007542F4">
              <w:rPr>
                <w:rFonts w:cstheme="minorHAnsi"/>
              </w:rPr>
              <w:t>inHR</w:t>
            </w:r>
            <w:proofErr w:type="spellEnd"/>
          </w:p>
        </w:tc>
      </w:tr>
      <w:tr w:rsidR="00FF7EB3" w:rsidRPr="00C43E65" w14:paraId="1DC7E5CA" w14:textId="77777777" w:rsidTr="00D7163D">
        <w:trPr>
          <w:trHeight w:val="254"/>
        </w:trPr>
        <w:tc>
          <w:tcPr>
            <w:tcW w:w="1773" w:type="dxa"/>
            <w:vMerge w:val="restart"/>
          </w:tcPr>
          <w:p w14:paraId="4517715A" w14:textId="5B22E99B" w:rsidR="00FF7EB3" w:rsidRPr="007542F4" w:rsidRDefault="00FF7EB3" w:rsidP="00C62DFE">
            <w:pPr>
              <w:spacing w:after="0" w:line="240" w:lineRule="auto"/>
              <w:rPr>
                <w:rFonts w:eastAsia="Calibri" w:cstheme="minorHAnsi"/>
                <w:vertAlign w:val="superscript"/>
                <w:lang w:val="en-GB"/>
              </w:rPr>
            </w:pPr>
            <w:r w:rsidRPr="007542F4">
              <w:rPr>
                <w:rFonts w:eastAsia="Calibri" w:cstheme="minorHAnsi"/>
                <w:lang w:val="en-GB"/>
              </w:rPr>
              <w:t>EGFR</w:t>
            </w:r>
            <w:r w:rsidRPr="007542F4">
              <w:rPr>
                <w:rFonts w:eastAsia="Calibri" w:cstheme="minorHAnsi"/>
                <w:vertAlign w:val="subscript"/>
                <w:lang w:val="en-GB"/>
              </w:rPr>
              <w:t>(classic)</w:t>
            </w:r>
            <w:r w:rsidR="00536FCE">
              <w:rPr>
                <w:rFonts w:eastAsia="Calibri" w:cstheme="minorHAnsi"/>
                <w:vertAlign w:val="superscript"/>
                <w:lang w:val="en-GB"/>
              </w:rPr>
              <w:t>a</w:t>
            </w:r>
          </w:p>
        </w:tc>
        <w:tc>
          <w:tcPr>
            <w:tcW w:w="2396" w:type="dxa"/>
          </w:tcPr>
          <w:p w14:paraId="2F646DCD"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Gefitinib</w:t>
            </w:r>
          </w:p>
        </w:tc>
        <w:tc>
          <w:tcPr>
            <w:tcW w:w="1218" w:type="dxa"/>
          </w:tcPr>
          <w:p w14:paraId="3AD51EB9"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 xml:space="preserve">PDCT </w:t>
            </w:r>
          </w:p>
        </w:tc>
        <w:tc>
          <w:tcPr>
            <w:tcW w:w="1908" w:type="dxa"/>
          </w:tcPr>
          <w:p w14:paraId="1D088377"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0.43 (0.37 – 0.49)</w:t>
            </w:r>
          </w:p>
        </w:tc>
        <w:tc>
          <w:tcPr>
            <w:tcW w:w="1423" w:type="dxa"/>
          </w:tcPr>
          <w:p w14:paraId="6AA8210D" w14:textId="48F9A286" w:rsidR="00FF7EB3" w:rsidRPr="003E3325" w:rsidRDefault="00FF7EB3">
            <w:pPr>
              <w:spacing w:after="0" w:line="240" w:lineRule="auto"/>
              <w:rPr>
                <w:rFonts w:eastAsia="Calibri" w:cstheme="minorHAnsi"/>
                <w:lang w:val="en-GB"/>
              </w:rPr>
            </w:pPr>
            <w:r w:rsidRPr="003E3325">
              <w:rPr>
                <w:rFonts w:eastAsia="Calibri" w:cstheme="minorHAnsi"/>
                <w:lang w:val="en-GB"/>
              </w:rPr>
              <w:fldChar w:fldCharType="begin" w:fldLock="1"/>
            </w:r>
            <w:r w:rsidR="00315CD2">
              <w:rPr>
                <w:rFonts w:eastAsia="Calibri" w:cstheme="minorHAnsi"/>
                <w:lang w:val="en-GB"/>
              </w:rPr>
              <w:instrText>ADDIN CSL_CITATION {"citationItems":[{"id":"ITEM-1","itemData":{"DOI":"10.2147/OTT.S189438","ISSN":"1178-6930","PMID":"31541309","abstract":"OBJECTIVES To compare the cost-effectiveness of first-line gefitinib, erlotinib, afatinib, and osimertinib in patients with non-small cell lung cancer (NSCLC) harbouring epidermal growth factor receptor (EGFR) mutations. METHODS A systematic review and network meta-analysis (NMA) were conducted to compare the relative efficacy of gefitinib, erlotinib, afatinib, and osimertinib in EGFR-mutated NSCLC. To assess the cost-effectiveness of these treatments, a Markov model was developed from Dutch societal perspective. The model was based on the clinical studies included in the NMA. Incremental costs per life-year (LY) and per quality-adjusted life-year (QALY) gained were estimated. Deterministic and probabilistic sensitivity analyses (PSA) were conducted. RESULTS Total discounted per patient costs for gefitinib, erlotinib, afatinib, and osimertinib were €65,889, €64,035, €69,418, and €131,997, and mean QALYs were 1.36, 1.39, 1.52, and 2.01 per patient, respectively. Erlotinib dominated gefitinib. Afatinib versus erlotinib yielded incremental costs of €27,058/LY and €41,504/QALY gained. Osimertinib resulted in €91,726/LY and €128,343/QALY gained compared to afatinib. PSA showed that gefitinib, erlotinib, afatinib, and osimertinib had 13%, 19%, 43%, and 26% probability to be cost-effective at a threshold of €80,000/QALY. A price reduction of osimertinib of 30% is required for osimertinib to be cost-effective at a threshold of €80,000/QALY. CONCLUSIONS Osimertinib has a better effectiveness compared to all other TKIs. However, at a Dutch threshold of €80,000/QALY, osimertinib appears not to be cost-effective.","author":[{"dropping-particle":"","family":"Holleman","given":"Marscha S","non-dropping-particle":"","parse-names":false,"suffix":""},{"dropping-particle":"","family":"Tinteren","given":"Harm","non-dropping-particle":"van","parse-names":false,"suffix":""},{"dropping-particle":"","family":"Groen","given":"Harry J M","non-dropping-particle":"","parse-names":false,"suffix":""},{"dropping-particle":"","family":"Al","given":"Maiwenn J","non-dropping-particle":"","parse-names":false,"suffix":""},{"dropping-particle":"","family":"Uyl-de Groot","given":"Carin A","non-dropping-particle":"","parse-names":false,"suffix":""}],"container-title":"OncoTargets and Therapy","id":"ITEM-1","issue":"1","issued":{"date-parts":[["2019","2"]]},"page":"1413-1421","title":"First-line tyrosine kinase inhibitors in EGFR mutation-positive non-small-cell lung cancer: a network meta-analysis","type":"article-journal","volume":"Volume 12"},"uris":["http://www.mendeley.com/documents/?uuid=54672bd8-056e-4e6d-9aab-018e47a8a92c"]}],"mendeley":{"formattedCitation":"[37]","plainTextFormattedCitation":"[37]","previouslyFormattedCitation":"[37]"},"properties":{"noteIndex":0},"schema":"https://github.com/citation-style-language/schema/raw/master/csl-citation.json"}</w:instrText>
            </w:r>
            <w:r w:rsidRPr="003E3325">
              <w:rPr>
                <w:rFonts w:eastAsia="Calibri" w:cstheme="minorHAnsi"/>
                <w:lang w:val="en-GB"/>
              </w:rPr>
              <w:fldChar w:fldCharType="separate"/>
            </w:r>
            <w:r w:rsidR="009F237B" w:rsidRPr="009F237B">
              <w:rPr>
                <w:rFonts w:eastAsia="Calibri" w:cstheme="minorHAnsi"/>
                <w:noProof/>
                <w:lang w:val="en-GB"/>
              </w:rPr>
              <w:t>[37]</w:t>
            </w:r>
            <w:r w:rsidRPr="003E3325">
              <w:rPr>
                <w:rFonts w:eastAsia="Calibri" w:cstheme="minorHAnsi"/>
                <w:lang w:val="en-GB"/>
              </w:rPr>
              <w:fldChar w:fldCharType="end"/>
            </w:r>
          </w:p>
        </w:tc>
        <w:tc>
          <w:tcPr>
            <w:tcW w:w="1250" w:type="dxa"/>
          </w:tcPr>
          <w:p w14:paraId="4F08F219"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0.3817</w:t>
            </w:r>
          </w:p>
        </w:tc>
        <w:tc>
          <w:tcPr>
            <w:tcW w:w="1284" w:type="dxa"/>
            <w:vMerge w:val="restart"/>
            <w:shd w:val="clear" w:color="auto" w:fill="BFBFBF" w:themeFill="background1" w:themeFillShade="BF"/>
          </w:tcPr>
          <w:p w14:paraId="253C8505" w14:textId="77777777" w:rsidR="00FF7EB3" w:rsidRPr="007542F4" w:rsidRDefault="00FF7EB3">
            <w:pPr>
              <w:spacing w:after="0" w:line="240" w:lineRule="auto"/>
              <w:jc w:val="center"/>
              <w:rPr>
                <w:rFonts w:eastAsia="Calibri" w:cstheme="minorHAnsi"/>
                <w:lang w:val="en-GB"/>
              </w:rPr>
            </w:pPr>
          </w:p>
        </w:tc>
      </w:tr>
      <w:tr w:rsidR="00FF7EB3" w:rsidRPr="00C43E65" w14:paraId="1394BF3A" w14:textId="77777777" w:rsidTr="00D7163D">
        <w:trPr>
          <w:trHeight w:val="265"/>
        </w:trPr>
        <w:tc>
          <w:tcPr>
            <w:tcW w:w="1773" w:type="dxa"/>
            <w:vMerge/>
          </w:tcPr>
          <w:p w14:paraId="18C7291D" w14:textId="77777777" w:rsidR="00FF7EB3" w:rsidRPr="007542F4" w:rsidRDefault="00FF7EB3">
            <w:pPr>
              <w:spacing w:after="0" w:line="240" w:lineRule="auto"/>
              <w:rPr>
                <w:rFonts w:eastAsia="Calibri" w:cstheme="minorHAnsi"/>
                <w:lang w:val="en-GB"/>
              </w:rPr>
            </w:pPr>
          </w:p>
        </w:tc>
        <w:tc>
          <w:tcPr>
            <w:tcW w:w="2396" w:type="dxa"/>
          </w:tcPr>
          <w:p w14:paraId="2B80EFE3"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Erlotinib</w:t>
            </w:r>
          </w:p>
        </w:tc>
        <w:tc>
          <w:tcPr>
            <w:tcW w:w="1218" w:type="dxa"/>
          </w:tcPr>
          <w:p w14:paraId="0C7FB3B4"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PDCT</w:t>
            </w:r>
          </w:p>
        </w:tc>
        <w:tc>
          <w:tcPr>
            <w:tcW w:w="1908" w:type="dxa"/>
          </w:tcPr>
          <w:p w14:paraId="1A1DCADF"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0.36 (0.30 – 0.43)</w:t>
            </w:r>
          </w:p>
        </w:tc>
        <w:tc>
          <w:tcPr>
            <w:tcW w:w="1423" w:type="dxa"/>
          </w:tcPr>
          <w:p w14:paraId="03FC959F" w14:textId="5CD3253D" w:rsidR="00FF7EB3" w:rsidRPr="003E3325" w:rsidRDefault="00FF7EB3">
            <w:pPr>
              <w:spacing w:after="0" w:line="240" w:lineRule="auto"/>
              <w:rPr>
                <w:rFonts w:eastAsia="Calibri" w:cstheme="minorHAnsi"/>
                <w:lang w:val="en-GB"/>
              </w:rPr>
            </w:pPr>
            <w:r w:rsidRPr="003E3325">
              <w:rPr>
                <w:rFonts w:eastAsia="Calibri" w:cstheme="minorHAnsi"/>
                <w:lang w:val="en-GB"/>
              </w:rPr>
              <w:fldChar w:fldCharType="begin" w:fldLock="1"/>
            </w:r>
            <w:r w:rsidR="00315CD2">
              <w:rPr>
                <w:rFonts w:eastAsia="Calibri" w:cstheme="minorHAnsi"/>
                <w:lang w:val="en-GB"/>
              </w:rPr>
              <w:instrText>ADDIN CSL_CITATION {"citationItems":[{"id":"ITEM-1","itemData":{"DOI":"10.2147/OTT.S189438","ISSN":"1178-6930","PMID":"31541309","abstract":"OBJECTIVES To compare the cost-effectiveness of first-line gefitinib, erlotinib, afatinib, and osimertinib in patients with non-small cell lung cancer (NSCLC) harbouring epidermal growth factor receptor (EGFR) mutations. METHODS A systematic review and network meta-analysis (NMA) were conducted to compare the relative efficacy of gefitinib, erlotinib, afatinib, and osimertinib in EGFR-mutated NSCLC. To assess the cost-effectiveness of these treatments, a Markov model was developed from Dutch societal perspective. The model was based on the clinical studies included in the NMA. Incremental costs per life-year (LY) and per quality-adjusted life-year (QALY) gained were estimated. Deterministic and probabilistic sensitivity analyses (PSA) were conducted. RESULTS Total discounted per patient costs for gefitinib, erlotinib, afatinib, and osimertinib were €65,889, €64,035, €69,418, and €131,997, and mean QALYs were 1.36, 1.39, 1.52, and 2.01 per patient, respectively. Erlotinib dominated gefitinib. Afatinib versus erlotinib yielded incremental costs of €27,058/LY and €41,504/QALY gained. Osimertinib resulted in €91,726/LY and €128,343/QALY gained compared to afatinib. PSA showed that gefitinib, erlotinib, afatinib, and osimertinib had 13%, 19%, 43%, and 26% probability to be cost-effective at a threshold of €80,000/QALY. A price reduction of osimertinib of 30% is required for osimertinib to be cost-effective at a threshold of €80,000/QALY. CONCLUSIONS Osimertinib has a better effectiveness compared to all other TKIs. However, at a Dutch threshold of €80,000/QALY, osimertinib appears not to be cost-effective.","author":[{"dropping-particle":"","family":"Holleman","given":"Marscha S","non-dropping-particle":"","parse-names":false,"suffix":""},{"dropping-particle":"","family":"Tinteren","given":"Harm","non-dropping-particle":"van","parse-names":false,"suffix":""},{"dropping-particle":"","family":"Groen","given":"Harry J M","non-dropping-particle":"","parse-names":false,"suffix":""},{"dropping-particle":"","family":"Al","given":"Maiwenn J","non-dropping-particle":"","parse-names":false,"suffix":""},{"dropping-particle":"","family":"Uyl-de Groot","given":"Carin A","non-dropping-particle":"","parse-names":false,"suffix":""}],"container-title":"OncoTargets and Therapy","id":"ITEM-1","issue":"1","issued":{"date-parts":[["2019","2"]]},"page":"1413-1421","title":"First-line tyrosine kinase inhibitors in EGFR mutation-positive non-small-cell lung cancer: a network meta-analysis","type":"article-journal","volume":"Volume 12"},"uris":["http://www.mendeley.com/documents/?uuid=54672bd8-056e-4e6d-9aab-018e47a8a92c"]}],"mendeley":{"formattedCitation":"[37]","plainTextFormattedCitation":"[37]","previouslyFormattedCitation":"[37]"},"properties":{"noteIndex":0},"schema":"https://github.com/citation-style-language/schema/raw/master/csl-citation.json"}</w:instrText>
            </w:r>
            <w:r w:rsidRPr="003E3325">
              <w:rPr>
                <w:rFonts w:eastAsia="Calibri" w:cstheme="minorHAnsi"/>
                <w:lang w:val="en-GB"/>
              </w:rPr>
              <w:fldChar w:fldCharType="separate"/>
            </w:r>
            <w:r w:rsidR="009F237B" w:rsidRPr="009F237B">
              <w:rPr>
                <w:rFonts w:eastAsia="Calibri" w:cstheme="minorHAnsi"/>
                <w:noProof/>
                <w:lang w:val="en-GB"/>
              </w:rPr>
              <w:t>[37]</w:t>
            </w:r>
            <w:r w:rsidRPr="003E3325">
              <w:rPr>
                <w:rFonts w:eastAsia="Calibri" w:cstheme="minorHAnsi"/>
                <w:lang w:val="en-GB"/>
              </w:rPr>
              <w:fldChar w:fldCharType="end"/>
            </w:r>
          </w:p>
        </w:tc>
        <w:tc>
          <w:tcPr>
            <w:tcW w:w="1250" w:type="dxa"/>
          </w:tcPr>
          <w:p w14:paraId="0C04A89E"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0.2518</w:t>
            </w:r>
          </w:p>
        </w:tc>
        <w:tc>
          <w:tcPr>
            <w:tcW w:w="1284" w:type="dxa"/>
            <w:vMerge/>
            <w:shd w:val="clear" w:color="auto" w:fill="BFBFBF" w:themeFill="background1" w:themeFillShade="BF"/>
          </w:tcPr>
          <w:p w14:paraId="29C55D30" w14:textId="77777777" w:rsidR="00FF7EB3" w:rsidRPr="007542F4" w:rsidRDefault="00FF7EB3">
            <w:pPr>
              <w:spacing w:after="0" w:line="240" w:lineRule="auto"/>
              <w:jc w:val="center"/>
              <w:rPr>
                <w:rFonts w:eastAsia="Calibri" w:cstheme="minorHAnsi"/>
                <w:lang w:val="en-GB"/>
              </w:rPr>
            </w:pPr>
          </w:p>
        </w:tc>
      </w:tr>
      <w:tr w:rsidR="00FF7EB3" w:rsidRPr="00C43E65" w14:paraId="7976EFE2" w14:textId="77777777" w:rsidTr="00D7163D">
        <w:trPr>
          <w:trHeight w:val="254"/>
        </w:trPr>
        <w:tc>
          <w:tcPr>
            <w:tcW w:w="1773" w:type="dxa"/>
          </w:tcPr>
          <w:p w14:paraId="4C78BDCE" w14:textId="77777777" w:rsidR="00FF7EB3" w:rsidRPr="007542F4" w:rsidRDefault="00FF7EB3" w:rsidP="00C62DFE">
            <w:pPr>
              <w:spacing w:after="0" w:line="240" w:lineRule="auto"/>
              <w:rPr>
                <w:rFonts w:eastAsia="Calibri" w:cstheme="minorHAnsi"/>
                <w:lang w:val="en-GB"/>
              </w:rPr>
            </w:pPr>
            <w:r w:rsidRPr="007542F4">
              <w:rPr>
                <w:rFonts w:eastAsia="Calibri" w:cstheme="minorHAnsi"/>
                <w:lang w:val="en-GB"/>
              </w:rPr>
              <w:t>EGFR</w:t>
            </w:r>
            <w:r w:rsidRPr="007542F4">
              <w:rPr>
                <w:rFonts w:eastAsia="Calibri" w:cstheme="minorHAnsi"/>
                <w:vertAlign w:val="subscript"/>
                <w:lang w:val="en-GB"/>
              </w:rPr>
              <w:t>(classic)</w:t>
            </w:r>
          </w:p>
        </w:tc>
        <w:tc>
          <w:tcPr>
            <w:tcW w:w="2396" w:type="dxa"/>
          </w:tcPr>
          <w:p w14:paraId="4F166858"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Prognostic value</w:t>
            </w:r>
          </w:p>
        </w:tc>
        <w:tc>
          <w:tcPr>
            <w:tcW w:w="1218" w:type="dxa"/>
          </w:tcPr>
          <w:p w14:paraId="29ADD003"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w:t>
            </w:r>
          </w:p>
        </w:tc>
        <w:tc>
          <w:tcPr>
            <w:tcW w:w="1908" w:type="dxa"/>
          </w:tcPr>
          <w:p w14:paraId="0C11C6FA"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0.82 (0.66 – 1.03)</w:t>
            </w:r>
          </w:p>
        </w:tc>
        <w:tc>
          <w:tcPr>
            <w:tcW w:w="1423" w:type="dxa"/>
          </w:tcPr>
          <w:p w14:paraId="210B2E07" w14:textId="6476BBDF" w:rsidR="00FF7EB3" w:rsidRPr="003E3325" w:rsidRDefault="00FF7EB3">
            <w:pPr>
              <w:spacing w:after="0" w:line="240" w:lineRule="auto"/>
              <w:rPr>
                <w:rFonts w:eastAsia="Calibri" w:cstheme="minorHAnsi"/>
                <w:lang w:val="en-GB"/>
              </w:rPr>
            </w:pPr>
            <w:r w:rsidRPr="003E3325">
              <w:rPr>
                <w:rFonts w:eastAsia="Calibri" w:cstheme="minorHAnsi"/>
                <w:lang w:val="en-GB"/>
              </w:rPr>
              <w:fldChar w:fldCharType="begin" w:fldLock="1"/>
            </w:r>
            <w:r w:rsidR="008949F2">
              <w:rPr>
                <w:rFonts w:eastAsia="Calibri" w:cstheme="minorHAnsi"/>
                <w:lang w:val="en-GB"/>
              </w:rPr>
              <w:instrText>ADDIN CSL_CITATION {"citationItems":[{"id":"ITEM-1","itemData":{"DOI":"10.1016/j.critrevonc.2020.103035","ISSN":"10408428","abstract":"Outcomes used for the effectiveness (median) and cost-effectiveness (mean) on overall survival (OS) are different and can vary from one another. Therefore, we compared median and mean OS gains of targeted therapies and immunotherapies for stage IIIB/IV Non-small cell lung cancer and explored underlying aspect. Eligible trials were searched in PubMed, survival curves were digitized, and parametric survival models fitted to model the mean OS. Twenty-seven trials were found for targeted therapies (n = 17) and immunotherapies (n = 10). Differences between median and mean OS gains in months ranged from −2.8 to 6.8 and −4.9 to 0.3 for two different subgroups of targeted therapies, and −2.4 to 11.4 for immunotherapies. The mean OS gain was substantially larger for most immunotherapy trials, due to relatively long survival. Median and mean OS gains did not differ for targeted therapies. Our findings imply a potential discrepancy between the estimates of effectiveness and cost-effectiveness of cancer treatments.","author":[{"dropping-particle":"","family":"Simons","given":"Martijn","non-dropping-particle":"","parse-names":false,"suffix":""},{"dropping-particle":"","family":"Ramaekers","given":"Bram","non-dropping-particle":"","parse-names":false,"suffix":""},{"dropping-particle":"","family":"Peeters","given":"Andrea","non-dropping-particle":"","parse-names":false,"suffix":""},{"dropping-particle":"","family":"Mankor","given":"Joanne","non-dropping-particle":"","parse-names":false,"suffix":""},{"dropping-particle":"","family":"Paats","given":"Marthe","non-dropping-particle":"","parse-names":false,"suffix":""},{"dropping-particle":"","family":"Aerts","given":"Joachim","non-dropping-particle":"","parse-names":false,"suffix":""},{"dropping-particle":"","family":"Harten","given":"Wim","non-dropping-particle":"van","parse-names":false,"suffix":""},{"dropping-particle":"","family":"Retèl","given":"Valesca","non-dropping-particle":"","parse-names":false,"suffix":""},{"dropping-particle":"","family":"Joore","given":"Manuela","non-dropping-particle":"","parse-names":false,"suffix":""}],"container-title":"Critical Reviews in Oncology/Hematology","id":"ITEM-1","issue":"June","issued":{"date-parts":[["2020","9"]]},"page":"103035","publisher":"Elsevier","title":"Observed versus modelled lifetime overall survival of targeted therapies and immunotherapies for advanced non-small cell lung cancer patients – A systematic review","type":"article-journal","volume":"153"},"uris":["http://www.mendeley.com/documents/?uuid=0720c12c-2d7c-46fe-9a8d-a3f6fc3c7672"]}],"mendeley":{"formattedCitation":"[38]","plainTextFormattedCitation":"[38]","previouslyFormattedCitation":"[38]"},"properties":{"noteIndex":0},"schema":"https://github.com/citation-style-language/schema/raw/master/csl-citation.json"}</w:instrText>
            </w:r>
            <w:r w:rsidRPr="003E3325">
              <w:rPr>
                <w:rFonts w:eastAsia="Calibri" w:cstheme="minorHAnsi"/>
                <w:lang w:val="en-GB"/>
              </w:rPr>
              <w:fldChar w:fldCharType="separate"/>
            </w:r>
            <w:r w:rsidR="008949F2" w:rsidRPr="008949F2">
              <w:rPr>
                <w:rFonts w:eastAsia="Calibri" w:cstheme="minorHAnsi"/>
                <w:noProof/>
                <w:lang w:val="en-GB"/>
              </w:rPr>
              <w:t>[38]</w:t>
            </w:r>
            <w:r w:rsidRPr="003E3325">
              <w:rPr>
                <w:rFonts w:eastAsia="Calibri" w:cstheme="minorHAnsi"/>
                <w:lang w:val="en-GB"/>
              </w:rPr>
              <w:fldChar w:fldCharType="end"/>
            </w:r>
            <w:r w:rsidRPr="003E3325">
              <w:rPr>
                <w:rFonts w:eastAsia="Calibri" w:cstheme="minorHAnsi"/>
                <w:lang w:val="en-GB"/>
              </w:rPr>
              <w:t xml:space="preserve"> (dig)</w:t>
            </w:r>
            <w:r w:rsidR="00536FCE">
              <w:rPr>
                <w:rFonts w:eastAsia="Calibri" w:cstheme="minorHAnsi"/>
                <w:vertAlign w:val="superscript"/>
                <w:lang w:val="en-GB"/>
              </w:rPr>
              <w:t>c</w:t>
            </w:r>
          </w:p>
        </w:tc>
        <w:tc>
          <w:tcPr>
            <w:tcW w:w="1250" w:type="dxa"/>
          </w:tcPr>
          <w:p w14:paraId="44F187C7"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0.8009</w:t>
            </w:r>
          </w:p>
        </w:tc>
        <w:tc>
          <w:tcPr>
            <w:tcW w:w="1284" w:type="dxa"/>
            <w:vMerge/>
            <w:shd w:val="clear" w:color="auto" w:fill="BFBFBF" w:themeFill="background1" w:themeFillShade="BF"/>
          </w:tcPr>
          <w:p w14:paraId="00F2B0D8" w14:textId="77777777" w:rsidR="00FF7EB3" w:rsidRPr="007542F4" w:rsidRDefault="00FF7EB3">
            <w:pPr>
              <w:spacing w:after="0" w:line="240" w:lineRule="auto"/>
              <w:jc w:val="center"/>
              <w:rPr>
                <w:rFonts w:eastAsia="Calibri" w:cstheme="minorHAnsi"/>
                <w:lang w:val="en-GB"/>
              </w:rPr>
            </w:pPr>
          </w:p>
        </w:tc>
      </w:tr>
      <w:tr w:rsidR="00FF7EB3" w:rsidRPr="00C43E65" w14:paraId="5A06DF05" w14:textId="77777777" w:rsidTr="00D7163D">
        <w:trPr>
          <w:trHeight w:val="254"/>
        </w:trPr>
        <w:tc>
          <w:tcPr>
            <w:tcW w:w="1773" w:type="dxa"/>
          </w:tcPr>
          <w:p w14:paraId="62DDB1C1" w14:textId="1877C665" w:rsidR="00FF7EB3" w:rsidRPr="007542F4" w:rsidRDefault="00FF7EB3" w:rsidP="00C62DFE">
            <w:pPr>
              <w:spacing w:after="0" w:line="240" w:lineRule="auto"/>
              <w:rPr>
                <w:rFonts w:eastAsia="Calibri" w:cstheme="minorHAnsi"/>
                <w:vertAlign w:val="superscript"/>
                <w:lang w:val="en-GB"/>
              </w:rPr>
            </w:pPr>
            <w:r w:rsidRPr="007542F4">
              <w:rPr>
                <w:rFonts w:eastAsia="Calibri" w:cstheme="minorHAnsi"/>
                <w:lang w:val="en-GB"/>
              </w:rPr>
              <w:t>EGFR</w:t>
            </w:r>
            <w:r w:rsidRPr="007542F4">
              <w:rPr>
                <w:rFonts w:eastAsia="Calibri" w:cstheme="minorHAnsi"/>
                <w:vertAlign w:val="subscript"/>
                <w:lang w:val="en-GB"/>
              </w:rPr>
              <w:t>(non-classic)</w:t>
            </w:r>
            <w:r w:rsidRPr="007542F4">
              <w:rPr>
                <w:rFonts w:eastAsia="Calibri" w:cstheme="minorHAnsi"/>
                <w:vertAlign w:val="superscript"/>
                <w:lang w:val="en-GB"/>
              </w:rPr>
              <w:t xml:space="preserve"> </w:t>
            </w:r>
            <w:r w:rsidR="00536FCE">
              <w:rPr>
                <w:rFonts w:eastAsia="Calibri" w:cstheme="minorHAnsi"/>
                <w:vertAlign w:val="superscript"/>
                <w:lang w:val="en-GB"/>
              </w:rPr>
              <w:t>b</w:t>
            </w:r>
          </w:p>
        </w:tc>
        <w:tc>
          <w:tcPr>
            <w:tcW w:w="2396" w:type="dxa"/>
          </w:tcPr>
          <w:p w14:paraId="6DF919D8" w14:textId="77777777" w:rsidR="00FF7EB3" w:rsidRPr="007542F4" w:rsidRDefault="00FF7EB3">
            <w:pPr>
              <w:spacing w:after="0" w:line="240" w:lineRule="auto"/>
              <w:rPr>
                <w:rFonts w:eastAsia="Calibri" w:cstheme="minorHAnsi"/>
                <w:lang w:val="en-GB"/>
              </w:rPr>
            </w:pPr>
            <w:proofErr w:type="spellStart"/>
            <w:r w:rsidRPr="007542F4">
              <w:rPr>
                <w:rFonts w:eastAsia="Calibri" w:cstheme="minorHAnsi"/>
                <w:lang w:val="en-GB"/>
              </w:rPr>
              <w:t>Afatinib</w:t>
            </w:r>
            <w:proofErr w:type="spellEnd"/>
          </w:p>
        </w:tc>
        <w:tc>
          <w:tcPr>
            <w:tcW w:w="1218" w:type="dxa"/>
          </w:tcPr>
          <w:p w14:paraId="0861606B"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PDCT</w:t>
            </w:r>
          </w:p>
        </w:tc>
        <w:tc>
          <w:tcPr>
            <w:tcW w:w="1908" w:type="dxa"/>
          </w:tcPr>
          <w:p w14:paraId="1ABCA08C"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0.40 (0.20 – 0.83)</w:t>
            </w:r>
          </w:p>
        </w:tc>
        <w:tc>
          <w:tcPr>
            <w:tcW w:w="1423" w:type="dxa"/>
          </w:tcPr>
          <w:p w14:paraId="5167CCC3" w14:textId="6B0DB951" w:rsidR="00FF7EB3" w:rsidRPr="003E3325" w:rsidRDefault="00FF7EB3">
            <w:pPr>
              <w:spacing w:after="0" w:line="240" w:lineRule="auto"/>
              <w:rPr>
                <w:rFonts w:eastAsia="Calibri" w:cstheme="minorHAnsi"/>
                <w:vertAlign w:val="superscript"/>
                <w:lang w:val="en-GB"/>
              </w:rPr>
            </w:pPr>
            <w:r w:rsidRPr="003E3325">
              <w:rPr>
                <w:rFonts w:eastAsia="Calibri" w:cstheme="minorHAnsi"/>
                <w:lang w:val="en-GB"/>
              </w:rPr>
              <w:fldChar w:fldCharType="begin" w:fldLock="1"/>
            </w:r>
            <w:r w:rsidR="008949F2">
              <w:rPr>
                <w:rFonts w:eastAsia="Calibri" w:cstheme="minorHAnsi"/>
                <w:lang w:val="en-GB"/>
              </w:rPr>
              <w:instrText>ADDIN CSL_CITATION {"citationItems":[{"id":"ITEM-1","itemData":{"DOI":"10.1016/j.critrevonc.2020.103035","ISSN":"10408428","abstract":"Outcomes used for the effectiveness (median) and cost-effectiveness (mean) on overall survival (OS) are different and can vary from one another. Therefore, we compared median and mean OS gains of targeted therapies and immunotherapies for stage IIIB/IV Non-small cell lung cancer and explored underlying aspect. Eligible trials were searched in PubMed, survival curves were digitized, and parametric survival models fitted to model the mean OS. Twenty-seven trials were found for targeted therapies (n = 17) and immunotherapies (n = 10). Differences between median and mean OS gains in months ranged from −2.8 to 6.8 and −4.9 to 0.3 for two different subgroups of targeted therapies, and −2.4 to 11.4 for immunotherapies. The mean OS gain was substantially larger for most immunotherapy trials, due to relatively long survival. Median and mean OS gains did not differ for targeted therapies. Our findings imply a potential discrepancy between the estimates of effectiveness and cost-effectiveness of cancer treatments.","author":[{"dropping-particle":"","family":"Simons","given":"Martijn","non-dropping-particle":"","parse-names":false,"suffix":""},{"dropping-particle":"","family":"Ramaekers","given":"Bram","non-dropping-particle":"","parse-names":false,"suffix":""},{"dropping-particle":"","family":"Peeters","given":"Andrea","non-dropping-particle":"","parse-names":false,"suffix":""},{"dropping-particle":"","family":"Mankor","given":"Joanne","non-dropping-particle":"","parse-names":false,"suffix":""},{"dropping-particle":"","family":"Paats","given":"Marthe","non-dropping-particle":"","parse-names":false,"suffix":""},{"dropping-particle":"","family":"Aerts","given":"Joachim","non-dropping-particle":"","parse-names":false,"suffix":""},{"dropping-particle":"","family":"Harten","given":"Wim","non-dropping-particle":"van","parse-names":false,"suffix":""},{"dropping-particle":"","family":"Retèl","given":"Valesca","non-dropping-particle":"","parse-names":false,"suffix":""},{"dropping-particle":"","family":"Joore","given":"Manuela","non-dropping-particle":"","parse-names":false,"suffix":""}],"container-title":"Critical Reviews in Oncology/Hematology","id":"ITEM-1","issue":"June","issued":{"date-parts":[["2020","9"]]},"page":"103035","publisher":"Elsevier","title":"Observed versus modelled lifetime overall survival of targeted therapies and immunotherapies for advanced non-small cell lung cancer patients – A systematic review","type":"article-journal","volume":"153"},"uris":["http://www.mendeley.com/documents/?uuid=0720c12c-2d7c-46fe-9a8d-a3f6fc3c7672"]}],"mendeley":{"formattedCitation":"[38]","plainTextFormattedCitation":"[38]","previouslyFormattedCitation":"[38]"},"properties":{"noteIndex":0},"schema":"https://github.com/citation-style-language/schema/raw/master/csl-citation.json"}</w:instrText>
            </w:r>
            <w:r w:rsidRPr="003E3325">
              <w:rPr>
                <w:rFonts w:eastAsia="Calibri" w:cstheme="minorHAnsi"/>
                <w:lang w:val="en-GB"/>
              </w:rPr>
              <w:fldChar w:fldCharType="separate"/>
            </w:r>
            <w:r w:rsidR="008949F2" w:rsidRPr="008949F2">
              <w:rPr>
                <w:rFonts w:eastAsia="Calibri" w:cstheme="minorHAnsi"/>
                <w:noProof/>
                <w:lang w:val="en-GB"/>
              </w:rPr>
              <w:t>[38]</w:t>
            </w:r>
            <w:r w:rsidRPr="003E3325">
              <w:rPr>
                <w:rFonts w:eastAsia="Calibri" w:cstheme="minorHAnsi"/>
                <w:lang w:val="en-GB"/>
              </w:rPr>
              <w:fldChar w:fldCharType="end"/>
            </w:r>
            <w:r w:rsidR="00536FCE">
              <w:rPr>
                <w:rFonts w:eastAsia="Calibri" w:cstheme="minorHAnsi"/>
                <w:vertAlign w:val="superscript"/>
                <w:lang w:val="en-GB"/>
              </w:rPr>
              <w:t>c</w:t>
            </w:r>
          </w:p>
        </w:tc>
        <w:tc>
          <w:tcPr>
            <w:tcW w:w="1250" w:type="dxa"/>
          </w:tcPr>
          <w:p w14:paraId="16272DA2"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0.2586</w:t>
            </w:r>
          </w:p>
        </w:tc>
        <w:tc>
          <w:tcPr>
            <w:tcW w:w="1284" w:type="dxa"/>
            <w:vMerge/>
            <w:shd w:val="clear" w:color="auto" w:fill="BFBFBF" w:themeFill="background1" w:themeFillShade="BF"/>
          </w:tcPr>
          <w:p w14:paraId="780E5CB1" w14:textId="77777777" w:rsidR="00FF7EB3" w:rsidRPr="007542F4" w:rsidRDefault="00FF7EB3">
            <w:pPr>
              <w:spacing w:after="0" w:line="240" w:lineRule="auto"/>
              <w:jc w:val="center"/>
              <w:rPr>
                <w:rFonts w:eastAsia="Calibri" w:cstheme="minorHAnsi"/>
                <w:lang w:val="en-GB"/>
              </w:rPr>
            </w:pPr>
          </w:p>
        </w:tc>
      </w:tr>
      <w:tr w:rsidR="00FF7EB3" w:rsidRPr="00C43E65" w14:paraId="6395690A" w14:textId="77777777" w:rsidTr="00D7163D">
        <w:trPr>
          <w:trHeight w:val="254"/>
        </w:trPr>
        <w:tc>
          <w:tcPr>
            <w:tcW w:w="1773" w:type="dxa"/>
          </w:tcPr>
          <w:p w14:paraId="54A6B23C" w14:textId="77777777" w:rsidR="00FF7EB3" w:rsidRPr="007542F4" w:rsidRDefault="00FF7EB3" w:rsidP="00C62DFE">
            <w:pPr>
              <w:spacing w:after="0" w:line="240" w:lineRule="auto"/>
              <w:rPr>
                <w:rFonts w:eastAsia="Calibri" w:cstheme="minorHAnsi"/>
                <w:lang w:val="en-GB"/>
              </w:rPr>
            </w:pPr>
            <w:r w:rsidRPr="007542F4">
              <w:rPr>
                <w:rFonts w:eastAsia="Calibri" w:cstheme="minorHAnsi"/>
                <w:lang w:val="en-GB"/>
              </w:rPr>
              <w:t xml:space="preserve">ALK </w:t>
            </w:r>
          </w:p>
        </w:tc>
        <w:tc>
          <w:tcPr>
            <w:tcW w:w="2396" w:type="dxa"/>
          </w:tcPr>
          <w:p w14:paraId="1A108576" w14:textId="77777777" w:rsidR="00FF7EB3" w:rsidRPr="007542F4" w:rsidRDefault="00FF7EB3">
            <w:pPr>
              <w:spacing w:after="0" w:line="240" w:lineRule="auto"/>
              <w:rPr>
                <w:rFonts w:eastAsia="Calibri" w:cstheme="minorHAnsi"/>
                <w:lang w:val="en-GB"/>
              </w:rPr>
            </w:pPr>
            <w:proofErr w:type="spellStart"/>
            <w:r w:rsidRPr="007542F4">
              <w:rPr>
                <w:rFonts w:eastAsia="Calibri" w:cstheme="minorHAnsi"/>
                <w:lang w:val="en-GB"/>
              </w:rPr>
              <w:t>Alectinib</w:t>
            </w:r>
            <w:proofErr w:type="spellEnd"/>
          </w:p>
        </w:tc>
        <w:tc>
          <w:tcPr>
            <w:tcW w:w="1218" w:type="dxa"/>
          </w:tcPr>
          <w:p w14:paraId="06DCB54B" w14:textId="77777777" w:rsidR="00FF7EB3" w:rsidRPr="007542F4" w:rsidRDefault="00FF7EB3">
            <w:pPr>
              <w:spacing w:after="0" w:line="240" w:lineRule="auto"/>
              <w:rPr>
                <w:rFonts w:eastAsia="Calibri" w:cstheme="minorHAnsi"/>
                <w:lang w:val="en-GB"/>
              </w:rPr>
            </w:pPr>
            <w:proofErr w:type="spellStart"/>
            <w:r w:rsidRPr="007542F4">
              <w:rPr>
                <w:rFonts w:eastAsia="Calibri" w:cstheme="minorHAnsi"/>
                <w:lang w:val="en-GB"/>
              </w:rPr>
              <w:t>Crizotinib</w:t>
            </w:r>
            <w:proofErr w:type="spellEnd"/>
          </w:p>
        </w:tc>
        <w:tc>
          <w:tcPr>
            <w:tcW w:w="1908" w:type="dxa"/>
          </w:tcPr>
          <w:p w14:paraId="5C23C547"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0.47 (0.34 – 0.65)</w:t>
            </w:r>
          </w:p>
        </w:tc>
        <w:tc>
          <w:tcPr>
            <w:tcW w:w="1423" w:type="dxa"/>
          </w:tcPr>
          <w:p w14:paraId="6354161F" w14:textId="47BB873E" w:rsidR="00FF7EB3" w:rsidRPr="003E3325" w:rsidRDefault="00FF7EB3">
            <w:pPr>
              <w:spacing w:after="0" w:line="240" w:lineRule="auto"/>
              <w:rPr>
                <w:rFonts w:eastAsia="Calibri" w:cstheme="minorHAnsi"/>
                <w:lang w:val="en-GB"/>
              </w:rPr>
            </w:pPr>
            <w:r w:rsidRPr="003E3325">
              <w:rPr>
                <w:rFonts w:eastAsia="Calibri" w:cstheme="minorHAnsi"/>
                <w:lang w:val="en-GB"/>
              </w:rPr>
              <w:fldChar w:fldCharType="begin" w:fldLock="1"/>
            </w:r>
            <w:r w:rsidR="00315CD2">
              <w:rPr>
                <w:rFonts w:eastAsia="Calibri" w:cstheme="minorHAnsi"/>
                <w:lang w:val="en-GB"/>
              </w:rPr>
              <w:instrText>ADDIN CSL_CITATION {"citationItems":[{"id":"ITEM-1","itemData":{"DOI":"10.1056/NEJMoa1704795","ISSN":"0028-4793","PMID":"28586279","abstract":"BACKGROUND Alectinib, a highly selective inhibitor of anaplastic lymphoma kinase (ALK), has shown systemic and central nervous system (CNS) efficacy in the treatment of ALK-positive non-small-cell lung cancer (NSCLC). We investigated alectinib as compared with crizotinib in patients with previously untreated, advanced ALK-positive NSCLC, including those with asymptomatic CNS disease. METHODS In a randomized, open-label, phase 3 trial, we randomly assigned 303 patients with previously untreated, advanced ALK-positive NSCLC to receive either alectinib (600 mg twice daily) or crizotinib (250 mg twice daily). The primary end point was investigator-assessed progression-free survival. Secondary end points were independent review committee-assessed progression-free survival, time to CNS progression, objective response rate, and overall survival. RESULTS During a median follow-up of 17.6 months (crizotinib) and 18.6 months (alectinib), an event of disease progression or death occurred in 62 of 152 patients (41%) in the alectinib group and 102 of 151 patients (68%) in the crizotinib group. The rate of investigator-assessed progression-free survival was significantly higher with alectinib than with crizotinib (12-month event-free survival rate, 68.4% [95% confidence interval (CI), 61.0 to 75.9] with alectinib vs. 48.7% [95% CI, 40.4 to 56.9] with crizotinib; hazard ratio for disease progression or death, 0.47 [95% CI, 0.34 to 0.65]; P&lt;0.001); the median progression-free survival with alectinib was not reached. The results for independent review committee-assessed progression-free survival were consistent with those for the primary end point. A total of 18 patients (12%) in the alectinib group had an event of CNS progression, as compared with 68 patients (45%) in the crizotinib group (cause-specific hazard ratio, 0.16; 95% CI, 0.10 to 0.28; P&lt;0.001). A response occurred in 126 patients in the alectinib group (response rate, 82.9%; 95% CI, 76.0 to 88.5) and in 114 patients in the crizotinib group (response rate, 75.5%; 95% CI, 67.8 to 82.1) (P=0.09). Grade 3 to 5 adverse events were less frequent with alectinib (41% vs. 50% with crizotinib). CONCLUSIONS As compared with crizotinib, alectinib showed superior efficacy and lower toxicity in primary treatment of ALK-positive NSCLC. (Funded by F. Hoffmann-La Roche; ALEX ClinicalTrials.gov number, NCT02075840 .).","author":[{"dropping-particle":"","family":"Peters","given":"Solange","non-dropping-particle":"","parse-names":false,"suffix":""},{"dropping-particle":"","family":"Camidge","given":"D. Ross","non-dropping-particle":"","parse-names":false,"suffix":""},{"dropping-particle":"","family":"Shaw","given":"Alice T.","non-dropping-particle":"","parse-names":false,"suffix":""},{"dropping-particle":"","family":"Gadgeel","given":"Shirish","non-dropping-particle":"","parse-names":false,"suffix":""},{"dropping-particle":"","family":"Ahn","given":"Jin S.","non-dropping-particle":"","parse-names":false,"suffix":""},{"dropping-particle":"","family":"Kim","given":"Dong-Wan","non-dropping-particle":"","parse-names":false,"suffix":""},{"dropping-particle":"","family":"Ou","given":"Sai-Hong I.","non-dropping-particle":"","parse-names":false,"suffix":""},{"dropping-particle":"","family":"Pérol","given":"Maurice","non-dropping-particle":"","parse-names":false,"suffix":""},{"dropping-particle":"","family":"Dziadziuszko","given":"Rafal","non-dropping-particle":"","parse-names":false,"suffix":""},{"dropping-particle":"","family":"Rosell","given":"Rafael","non-dropping-particle":"","parse-names":false,"suffix":""},{"dropping-particle":"","family":"Zeaiter","given":"Ali","non-dropping-particle":"","parse-names":false,"suffix":""},{"dropping-particle":"","family":"Mitry","given":"Emmanuel","non-dropping-particle":"","parse-names":false,"suffix":""},{"dropping-particle":"","family":"Golding","given":"Sophie","non-dropping-particle":"","parse-names":false,"suffix":""},{"dropping-particle":"","family":"Balas","given":"Bogdana","non-dropping-particle":"","parse-names":false,"suffix":""},{"dropping-particle":"","family":"Noe","given":"Johannes","non-dropping-particle":"","parse-names":false,"suffix":""},{"dropping-particle":"","family":"Morcos","given":"Peter N.","non-dropping-particle":"","parse-names":false,"suffix":""},{"dropping-particle":"","family":"Mok","given":"Tony","non-dropping-particle":"","parse-names":false,"suffix":""}],"container-title":"New England Journal of Medicine","id":"ITEM-1","issue":"9","issued":{"date-parts":[["2017","8","31"]]},"page":"829-838","title":"Alectinib versus Crizotinib in Untreated ALK -Positive Non–Small-Cell Lung Cancer","type":"article-journal","volume":"377"},"uris":["http://www.mendeley.com/documents/?uuid=4d6b2dbc-6db0-4387-9d16-84ad33b94907"]}],"mendeley":{"formattedCitation":"[32]","plainTextFormattedCitation":"[32]","previouslyFormattedCitation":"[32]"},"properties":{"noteIndex":0},"schema":"https://github.com/citation-style-language/schema/raw/master/csl-citation.json"}</w:instrText>
            </w:r>
            <w:r w:rsidRPr="003E3325">
              <w:rPr>
                <w:rFonts w:eastAsia="Calibri" w:cstheme="minorHAnsi"/>
                <w:lang w:val="en-GB"/>
              </w:rPr>
              <w:fldChar w:fldCharType="separate"/>
            </w:r>
            <w:r w:rsidR="009F237B" w:rsidRPr="009F237B">
              <w:rPr>
                <w:rFonts w:eastAsia="Calibri" w:cstheme="minorHAnsi"/>
                <w:noProof/>
                <w:lang w:val="en-GB"/>
              </w:rPr>
              <w:t>[32]</w:t>
            </w:r>
            <w:r w:rsidRPr="003E3325">
              <w:rPr>
                <w:rFonts w:eastAsia="Calibri" w:cstheme="minorHAnsi"/>
                <w:lang w:val="en-GB"/>
              </w:rPr>
              <w:fldChar w:fldCharType="end"/>
            </w:r>
          </w:p>
        </w:tc>
        <w:tc>
          <w:tcPr>
            <w:tcW w:w="1250" w:type="dxa"/>
          </w:tcPr>
          <w:p w14:paraId="2BE1A198"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0.7822</w:t>
            </w:r>
          </w:p>
        </w:tc>
        <w:tc>
          <w:tcPr>
            <w:tcW w:w="1284" w:type="dxa"/>
            <w:vMerge/>
            <w:shd w:val="clear" w:color="auto" w:fill="BFBFBF" w:themeFill="background1" w:themeFillShade="BF"/>
          </w:tcPr>
          <w:p w14:paraId="0A010124" w14:textId="77777777" w:rsidR="00FF7EB3" w:rsidRPr="007542F4" w:rsidRDefault="00FF7EB3">
            <w:pPr>
              <w:spacing w:after="0" w:line="240" w:lineRule="auto"/>
              <w:jc w:val="center"/>
              <w:rPr>
                <w:rFonts w:eastAsia="Calibri" w:cstheme="minorHAnsi"/>
                <w:lang w:val="en-GB"/>
              </w:rPr>
            </w:pPr>
          </w:p>
        </w:tc>
      </w:tr>
      <w:tr w:rsidR="00FF7EB3" w:rsidRPr="00C43E65" w14:paraId="0087D6AB" w14:textId="77777777" w:rsidTr="00D7163D">
        <w:trPr>
          <w:trHeight w:val="519"/>
        </w:trPr>
        <w:tc>
          <w:tcPr>
            <w:tcW w:w="1773" w:type="dxa"/>
          </w:tcPr>
          <w:p w14:paraId="75EB8FDA" w14:textId="77777777" w:rsidR="00FF7EB3" w:rsidRPr="007542F4" w:rsidRDefault="00FF7EB3" w:rsidP="00C62DFE">
            <w:pPr>
              <w:spacing w:after="0" w:line="240" w:lineRule="auto"/>
              <w:rPr>
                <w:rFonts w:eastAsia="Calibri" w:cstheme="minorHAnsi"/>
                <w:lang w:val="en-GB"/>
              </w:rPr>
            </w:pPr>
            <w:r w:rsidRPr="007542F4">
              <w:rPr>
                <w:rFonts w:eastAsia="Calibri" w:cstheme="minorHAnsi"/>
                <w:lang w:val="en-GB"/>
              </w:rPr>
              <w:t xml:space="preserve">ALK </w:t>
            </w:r>
          </w:p>
        </w:tc>
        <w:tc>
          <w:tcPr>
            <w:tcW w:w="2396" w:type="dxa"/>
          </w:tcPr>
          <w:p w14:paraId="68FA9BA0" w14:textId="77777777" w:rsidR="00FF7EB3" w:rsidRPr="007542F4" w:rsidRDefault="00FF7EB3">
            <w:pPr>
              <w:spacing w:after="0" w:line="240" w:lineRule="auto"/>
              <w:rPr>
                <w:rFonts w:eastAsia="Calibri" w:cstheme="minorHAnsi"/>
                <w:lang w:val="en-GB"/>
              </w:rPr>
            </w:pPr>
            <w:proofErr w:type="spellStart"/>
            <w:r w:rsidRPr="007542F4">
              <w:rPr>
                <w:rFonts w:eastAsia="Calibri" w:cstheme="minorHAnsi"/>
                <w:lang w:val="en-GB"/>
              </w:rPr>
              <w:t>Crizotinib</w:t>
            </w:r>
            <w:proofErr w:type="spellEnd"/>
          </w:p>
        </w:tc>
        <w:tc>
          <w:tcPr>
            <w:tcW w:w="1218" w:type="dxa"/>
          </w:tcPr>
          <w:p w14:paraId="713125A9"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PDCT</w:t>
            </w:r>
          </w:p>
        </w:tc>
        <w:tc>
          <w:tcPr>
            <w:tcW w:w="1908" w:type="dxa"/>
          </w:tcPr>
          <w:p w14:paraId="057EAAC0"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0.45 (0.35 – 0.60)</w:t>
            </w:r>
          </w:p>
          <w:p w14:paraId="67694005" w14:textId="10456CDB" w:rsidR="00FF7EB3" w:rsidRPr="007542F4" w:rsidRDefault="00FF7EB3">
            <w:pPr>
              <w:spacing w:after="0" w:line="240" w:lineRule="auto"/>
              <w:jc w:val="center"/>
              <w:rPr>
                <w:rFonts w:eastAsia="Calibri" w:cstheme="minorHAnsi"/>
                <w:vertAlign w:val="superscript"/>
                <w:lang w:val="en-GB"/>
              </w:rPr>
            </w:pPr>
            <w:r w:rsidRPr="007542F4">
              <w:rPr>
                <w:rFonts w:eastAsia="Calibri" w:cstheme="minorHAnsi"/>
                <w:lang w:val="en-GB"/>
              </w:rPr>
              <w:t>0.212</w:t>
            </w:r>
            <w:r w:rsidR="00536FCE">
              <w:rPr>
                <w:rFonts w:eastAsia="Calibri" w:cstheme="minorHAnsi"/>
                <w:vertAlign w:val="superscript"/>
                <w:lang w:val="en-GB"/>
              </w:rPr>
              <w:t>d</w:t>
            </w:r>
          </w:p>
        </w:tc>
        <w:tc>
          <w:tcPr>
            <w:tcW w:w="1423" w:type="dxa"/>
          </w:tcPr>
          <w:p w14:paraId="4BC9E977" w14:textId="00F5995A" w:rsidR="00FF7EB3" w:rsidRPr="003E3325" w:rsidRDefault="00FF7EB3">
            <w:pPr>
              <w:spacing w:after="0" w:line="240" w:lineRule="auto"/>
              <w:rPr>
                <w:rFonts w:eastAsia="Calibri" w:cstheme="minorHAnsi"/>
                <w:lang w:val="en-GB"/>
              </w:rPr>
            </w:pPr>
            <w:r w:rsidRPr="003E3325">
              <w:rPr>
                <w:rFonts w:eastAsia="Calibri" w:cstheme="minorHAnsi"/>
                <w:lang w:val="en-GB"/>
              </w:rPr>
              <w:fldChar w:fldCharType="begin" w:fldLock="1"/>
            </w:r>
            <w:r w:rsidR="00315CD2">
              <w:rPr>
                <w:rFonts w:eastAsia="Calibri" w:cstheme="minorHAnsi"/>
                <w:lang w:val="en-GB"/>
              </w:rPr>
              <w:instrText>ADDIN CSL_CITATION {"citationItems":[{"id":"ITEM-1","itemData":{"DOI":"10.1056/NEJMoa1408440","ISSN":"0028-4793","PMID":"25470694","abstract":"BACKGROUND The efficacy of the ALK inhibitor crizotinib as compared with standard chemotherapy as first-line treatment for advanced ALK-positive non-small-cell lung cancer (NSCLC) is unknown. METHODS We conducted an open-label, phase 3 trial comparing crizotinib with chemotherapy in 343 patients with advanced ALK-positive nonsquamous NSCLC who had received no previous systemic treatment for advanced disease. Patients were randomly assigned to receive oral crizotinib at a dose of 250 mg twice daily or to receive intravenous chemotherapy (pemetrexed, 500 mg per square meter of body-surface area, plus either cisplatin, 75 mg per square meter, or carboplatin, target area under the curve of 5 to 6 mg per milliliter per minute) every 3 weeks for up to six cycles. Crossover to crizotinib treatment after disease progression was permitted for patients receiving chemotherapy. The primary end point was progression-free survival as assessed by independent radiologic review. RESULTS Progression-free survival was significantly longer with crizotinib than with chemotherapy (median, 10.9 months vs. 7.0 months; hazard ratio for progression or death with crizotinib, 0.45; 95% confidence interval [CI], 0.35 to 0.60; P&lt;0.001). Objective response rates were 74% and 45%, respectively (P&lt;0.001). Median overall survival was not reached in either group (hazard ratio for death with crizotinib, 0.82; 95% CI, 0.54 to 1.26; P=0.36); the probability of 1-year survival was 84% with crizotinib and 79% with chemotherapy. The most common adverse events with crizotinib were vision disorders, diarrhea, nausea, and edema, and the most common events with chemotherapy were nausea, fatigue, vomiting, and decreased appetite. As compared with chemotherapy, crizotinib was associated with greater reduction in lung cancer symptoms and greater improvement in quality of life. CONCLUSIONS Crizotinib was superior to standard first-line pemetrexed-plus-platinum chemotherapy in patients with previously untreated advanced ALK-positive NSCLC. (Funded by Pfizer; PROFILE 1014 ClinicalTrials.gov number, NCT01154140.).","author":[{"dropping-particle":"","family":"Solomon","given":"Benjamin J.","non-dropping-particle":"","parse-names":false,"suffix":""},{"dropping-particle":"","family":"Mok","given":"Tony","non-dropping-particle":"","parse-names":false,"suffix":""},{"dropping-particle":"","family":"Kim","given":"Dong-Wan","non-dropping-particle":"","parse-names":false,"suffix":""},{"dropping-particle":"","family":"Wu","given":"Yi-Long","non-dropping-particle":"","parse-names":false,"suffix":""},{"dropping-particle":"","family":"Nakagawa","given":"Kazuhiko","non-dropping-particle":"","parse-names":false,"suffix":""},{"dropping-particle":"","family":"Mekhail","given":"Tarek","non-dropping-particle":"","parse-names":false,"suffix":""},{"dropping-particle":"","family":"Felip","given":"Enriqueta","non-dropping-particle":"","parse-names":false,"suffix":""},{"dropping-particle":"","family":"Cappuzzo","given":"Federico","non-dropping-particle":"","parse-names":false,"suffix":""},{"dropping-particle":"","family":"Paolini","given":"Jolanda","non-dropping-particle":"","parse-names":false,"suffix":""},{"dropping-particle":"","family":"Usari","given":"Tiziana","non-dropping-particle":"","parse-names":false,"suffix":""},{"dropping-particle":"","family":"Iyer","given":"Shrividya","non-dropping-particle":"","parse-names":false,"suffix":""},{"dropping-particle":"","family":"Reisman","given":"Arlene","non-dropping-particle":"","parse-names":false,"suffix":""},{"dropping-particle":"","family":"Wilner","given":"Keith D.","non-dropping-particle":"","parse-names":false,"suffix":""},{"dropping-particle":"","family":"Tursi","given":"Jennifer","non-dropping-particle":"","parse-names":false,"suffix":""},{"dropping-particle":"","family":"Blackhall","given":"Fiona","non-dropping-particle":"","parse-names":false,"suffix":""}],"container-title":"New England Journal of Medicine","id":"ITEM-1","issue":"23","issued":{"date-parts":[["2014","12","4"]]},"page":"2167-2177","title":"First-Line Crizotinib versus Chemotherapy in ALK -Positive Lung Cancer","type":"article-journal","volume":"371"},"uris":["http://www.mendeley.com/documents/?uuid=799b819a-2e31-4bde-827d-a51359856a1e"]}],"mendeley":{"formattedCitation":"[33]","plainTextFormattedCitation":"[33]","previouslyFormattedCitation":"[33]"},"properties":{"noteIndex":0},"schema":"https://github.com/citation-style-language/schema/raw/master/csl-citation.json"}</w:instrText>
            </w:r>
            <w:r w:rsidRPr="003E3325">
              <w:rPr>
                <w:rFonts w:eastAsia="Calibri" w:cstheme="minorHAnsi"/>
                <w:lang w:val="en-GB"/>
              </w:rPr>
              <w:fldChar w:fldCharType="separate"/>
            </w:r>
            <w:r w:rsidR="009F237B" w:rsidRPr="009F237B">
              <w:rPr>
                <w:rFonts w:eastAsia="Calibri" w:cstheme="minorHAnsi"/>
                <w:noProof/>
                <w:lang w:val="en-GB"/>
              </w:rPr>
              <w:t>[33]</w:t>
            </w:r>
            <w:r w:rsidRPr="003E3325">
              <w:rPr>
                <w:rFonts w:eastAsia="Calibri" w:cstheme="minorHAnsi"/>
                <w:lang w:val="en-GB"/>
              </w:rPr>
              <w:fldChar w:fldCharType="end"/>
            </w:r>
          </w:p>
        </w:tc>
        <w:tc>
          <w:tcPr>
            <w:tcW w:w="1250" w:type="dxa"/>
          </w:tcPr>
          <w:p w14:paraId="1C0E586B" w14:textId="22EC8302"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0.0032</w:t>
            </w:r>
            <w:r w:rsidR="00536FCE">
              <w:rPr>
                <w:rFonts w:eastAsia="Calibri" w:cstheme="minorHAnsi"/>
                <w:vertAlign w:val="superscript"/>
                <w:lang w:val="en-GB"/>
              </w:rPr>
              <w:t>d</w:t>
            </w:r>
          </w:p>
        </w:tc>
        <w:tc>
          <w:tcPr>
            <w:tcW w:w="1284" w:type="dxa"/>
            <w:vMerge/>
            <w:shd w:val="clear" w:color="auto" w:fill="BFBFBF" w:themeFill="background1" w:themeFillShade="BF"/>
          </w:tcPr>
          <w:p w14:paraId="6D62C0B5" w14:textId="77777777" w:rsidR="00FF7EB3" w:rsidRPr="007542F4" w:rsidRDefault="00FF7EB3">
            <w:pPr>
              <w:spacing w:after="0" w:line="240" w:lineRule="auto"/>
              <w:jc w:val="center"/>
              <w:rPr>
                <w:rFonts w:eastAsia="Calibri" w:cstheme="minorHAnsi"/>
                <w:vertAlign w:val="superscript"/>
                <w:lang w:val="en-GB"/>
              </w:rPr>
            </w:pPr>
          </w:p>
        </w:tc>
      </w:tr>
      <w:tr w:rsidR="00FF7EB3" w:rsidRPr="00C43E65" w14:paraId="697D5CFB" w14:textId="77777777" w:rsidTr="00D7163D">
        <w:trPr>
          <w:trHeight w:val="254"/>
        </w:trPr>
        <w:tc>
          <w:tcPr>
            <w:tcW w:w="1773" w:type="dxa"/>
          </w:tcPr>
          <w:p w14:paraId="76431BC9" w14:textId="77777777" w:rsidR="00FF7EB3" w:rsidRPr="007542F4" w:rsidRDefault="00FF7EB3" w:rsidP="00C62DFE">
            <w:pPr>
              <w:spacing w:after="0" w:line="240" w:lineRule="auto"/>
              <w:rPr>
                <w:rFonts w:eastAsia="Calibri" w:cstheme="minorHAnsi"/>
                <w:lang w:val="en-GB"/>
              </w:rPr>
            </w:pPr>
            <w:r w:rsidRPr="007542F4">
              <w:rPr>
                <w:rFonts w:eastAsia="Calibri" w:cstheme="minorHAnsi"/>
                <w:lang w:val="en-GB"/>
              </w:rPr>
              <w:t>ALK</w:t>
            </w:r>
          </w:p>
        </w:tc>
        <w:tc>
          <w:tcPr>
            <w:tcW w:w="2396" w:type="dxa"/>
          </w:tcPr>
          <w:p w14:paraId="078DDAAC"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Prognostic value</w:t>
            </w:r>
          </w:p>
        </w:tc>
        <w:tc>
          <w:tcPr>
            <w:tcW w:w="1218" w:type="dxa"/>
          </w:tcPr>
          <w:p w14:paraId="680A9FAB" w14:textId="77777777" w:rsidR="00FF7EB3" w:rsidRPr="007542F4" w:rsidRDefault="00FF7EB3">
            <w:pPr>
              <w:numPr>
                <w:ilvl w:val="0"/>
                <w:numId w:val="46"/>
              </w:numPr>
              <w:spacing w:after="0" w:line="240" w:lineRule="auto"/>
              <w:contextualSpacing/>
              <w:rPr>
                <w:rFonts w:eastAsia="Calibri" w:cstheme="minorHAnsi"/>
                <w:lang w:val="en-GB"/>
              </w:rPr>
            </w:pPr>
          </w:p>
        </w:tc>
        <w:tc>
          <w:tcPr>
            <w:tcW w:w="1908" w:type="dxa"/>
          </w:tcPr>
          <w:p w14:paraId="7A9C633F"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0.80 (0.70 – 0.90)</w:t>
            </w:r>
          </w:p>
        </w:tc>
        <w:tc>
          <w:tcPr>
            <w:tcW w:w="1423" w:type="dxa"/>
          </w:tcPr>
          <w:p w14:paraId="5C9858F4" w14:textId="63F5F7F6" w:rsidR="00FF7EB3" w:rsidRPr="003E3325" w:rsidRDefault="00FF7EB3">
            <w:pPr>
              <w:spacing w:after="0" w:line="240" w:lineRule="auto"/>
              <w:rPr>
                <w:rFonts w:eastAsia="Calibri" w:cstheme="minorHAnsi"/>
                <w:lang w:val="en-GB"/>
              </w:rPr>
            </w:pPr>
            <w:r w:rsidRPr="003E3325">
              <w:rPr>
                <w:rFonts w:eastAsia="Calibri" w:cstheme="minorHAnsi"/>
                <w:lang w:val="en-GB"/>
              </w:rPr>
              <w:fldChar w:fldCharType="begin" w:fldLock="1"/>
            </w:r>
            <w:r w:rsidR="00315CD2">
              <w:rPr>
                <w:rFonts w:eastAsia="Calibri" w:cstheme="minorHAnsi"/>
                <w:lang w:val="en-GB"/>
              </w:rPr>
              <w:instrText>ADDIN CSL_CITATION {"citationItems":[{"id":"ITEM-1","itemData":{"DOI":"c","ISSN":"01695002","PMID":"29191580","abstract":"Objective For non-small cell lung cancer (NSCLC), anaplastic lymphoma kinase (ALK) rearrangement and epidermal growth factor receptor (EGFR) mutations are predictive markers of the treatment benefit from selective tyrosine kinase inhibitors (TKI). However, their prognostic roles remained uncertain. Thus, we conducted this meta-analysis to evaluate the prognosis of ALK+ NSCLC patients in the treatment of surgery, chemotherapy, and/or EGFR-TKI. Materials and methods PubMed, Embase and Cochrane databases were thoroughly searched to identify relevant studies. Primary endpoints of this study included overall survival (OS), recurrence/progression free survival (RFS/PFS) and objective response rate (ORR). All statistical analyses were performed via REVIEW MANAGER (version 5.3). Results In total, 15 studies involving 4981 NSCLC patients were included. This study demonstrated that smoking status profoundly influenced prognosis of ALK related NSCLC. In the general population with NSCLC, compared with ALK- arm, ALK+ arm obtained a significantly better prognosis (HR = 0.81 for OS, 95% CI = 0.72-0.91; 0.80 for RFS/PFS, 95% CI = 0.70-0.90), even after further stratification analysis according to disease stage. However, in the non-smoking population with NSCLC, compared with ALK- arm, those in the ALK+ arm had a worse prognosis (HR = 1.65 for OS, 95% CI = 1.28-2.12; 1.23 for RFS/PFS, 95% CI = 1.05-1.44). Furthermore, ALK+ patients experienced a significantly higher ORR in pemetrexed-based chemotherapy but not in EGFR-TKI. Conclusions Smoking status had a profound influence on the ALK-related prognosis of NSCLC. ALK rearrangement predicted a better prognosis in the general population with NSCLC, but a poor survival in the non-smoking population. Therefore, stratification according to smoking status is strongly recommended for future studies exploring ALK-related prognosis.","author":[{"dropping-particle":"","family":"Wang","given":"Zili","non-dropping-particle":"","parse-names":false,"suffix":""},{"dropping-particle":"","family":"Yang","given":"Haitao","non-dropping-particle":"","parse-names":false,"suffix":""},{"dropping-particle":"","family":"Luo","given":"Shuimei","non-dropping-particle":"","parse-names":false,"suffix":""},{"dropping-particle":"","family":"Liu","given":"Bo","non-dropping-particle":"","parse-names":false,"suffix":""},{"dropping-particle":"","family":"Zhang","given":"Nianhai","non-dropping-particle":"","parse-names":false,"suffix":""},{"dropping-particle":"","family":"Li","given":"Lina","non-dropping-particle":"","parse-names":false,"suffix":""},{"dropping-particle":"","family":"Zhou","given":"Sijing","non-dropping-particle":"","parse-names":false,"suffix":""},{"dropping-particle":"","family":"Shen","given":"Ruifen","non-dropping-particle":"","parse-names":false,"suffix":""},{"dropping-particle":"","family":"Xie","given":"Xianhe","non-dropping-particle":"","parse-names":false,"suffix":""}],"container-title":"Lung Cancer","id":"ITEM-1","issued":{"date-parts":[["2017","10","1"]]},"page":"1-9","publisher":"Elsevier Ireland Ltd","title":"Anaplastic lymphoma kinase gene rearrangement predicts better prognosis in NSCLC patients: A meta-analysis","type":"article-journal","volume":"112"},"uris":["http://www.mendeley.com/documents/?uuid=646fecf8-131b-3914-bfc4-e5e78b7aa603"]}],"mendeley":{"formattedCitation":"[52]","plainTextFormattedCitation":"[52]","previouslyFormattedCitation":"[52]"},"properties":{"noteIndex":0},"schema":"https://github.com/citation-style-language/schema/raw/master/csl-citation.json"}</w:instrText>
            </w:r>
            <w:r w:rsidRPr="003E3325">
              <w:rPr>
                <w:rFonts w:eastAsia="Calibri" w:cstheme="minorHAnsi"/>
                <w:lang w:val="en-GB"/>
              </w:rPr>
              <w:fldChar w:fldCharType="separate"/>
            </w:r>
            <w:r w:rsidR="009F237B" w:rsidRPr="009F237B">
              <w:rPr>
                <w:rFonts w:eastAsia="Calibri" w:cstheme="minorHAnsi"/>
                <w:noProof/>
                <w:lang w:val="en-GB"/>
              </w:rPr>
              <w:t>[52]</w:t>
            </w:r>
            <w:r w:rsidRPr="003E3325">
              <w:rPr>
                <w:rFonts w:eastAsia="Calibri" w:cstheme="minorHAnsi"/>
                <w:lang w:val="en-GB"/>
              </w:rPr>
              <w:fldChar w:fldCharType="end"/>
            </w:r>
          </w:p>
        </w:tc>
        <w:tc>
          <w:tcPr>
            <w:tcW w:w="1250" w:type="dxa"/>
          </w:tcPr>
          <w:p w14:paraId="5B99663A" w14:textId="77777777" w:rsidR="00FF7EB3" w:rsidRPr="007542F4" w:rsidRDefault="00FF7EB3">
            <w:pPr>
              <w:spacing w:after="0" w:line="240" w:lineRule="auto"/>
              <w:jc w:val="center"/>
              <w:rPr>
                <w:rFonts w:eastAsia="Calibri" w:cstheme="minorHAnsi"/>
                <w:lang w:val="en-GB"/>
              </w:rPr>
            </w:pPr>
          </w:p>
        </w:tc>
        <w:tc>
          <w:tcPr>
            <w:tcW w:w="1284" w:type="dxa"/>
            <w:vMerge/>
            <w:shd w:val="clear" w:color="auto" w:fill="BFBFBF" w:themeFill="background1" w:themeFillShade="BF"/>
          </w:tcPr>
          <w:p w14:paraId="26F393E4" w14:textId="77777777" w:rsidR="00FF7EB3" w:rsidRPr="007542F4" w:rsidRDefault="00FF7EB3">
            <w:pPr>
              <w:spacing w:after="0" w:line="240" w:lineRule="auto"/>
              <w:jc w:val="center"/>
              <w:rPr>
                <w:rFonts w:eastAsia="Calibri" w:cstheme="minorHAnsi"/>
                <w:lang w:val="en-GB"/>
              </w:rPr>
            </w:pPr>
          </w:p>
        </w:tc>
      </w:tr>
      <w:tr w:rsidR="00FF7EB3" w:rsidRPr="00C43E65" w14:paraId="71A3A65F" w14:textId="77777777" w:rsidTr="00D7163D">
        <w:trPr>
          <w:trHeight w:val="265"/>
        </w:trPr>
        <w:tc>
          <w:tcPr>
            <w:tcW w:w="1773" w:type="dxa"/>
          </w:tcPr>
          <w:p w14:paraId="0964EA25" w14:textId="77777777" w:rsidR="00FF7EB3" w:rsidRPr="007542F4" w:rsidRDefault="00FF7EB3" w:rsidP="00C62DFE">
            <w:pPr>
              <w:spacing w:after="0" w:line="240" w:lineRule="auto"/>
              <w:rPr>
                <w:rFonts w:eastAsia="Calibri" w:cstheme="minorHAnsi"/>
                <w:lang w:val="en-GB"/>
              </w:rPr>
            </w:pPr>
            <w:r w:rsidRPr="007542F4">
              <w:rPr>
                <w:rFonts w:eastAsia="Calibri" w:cstheme="minorHAnsi"/>
                <w:lang w:val="en-GB"/>
              </w:rPr>
              <w:t xml:space="preserve">ROS1 </w:t>
            </w:r>
          </w:p>
        </w:tc>
        <w:tc>
          <w:tcPr>
            <w:tcW w:w="2396" w:type="dxa"/>
          </w:tcPr>
          <w:p w14:paraId="7F774290" w14:textId="77777777" w:rsidR="00FF7EB3" w:rsidRPr="007542F4" w:rsidRDefault="00FF7EB3">
            <w:pPr>
              <w:spacing w:after="0" w:line="240" w:lineRule="auto"/>
              <w:rPr>
                <w:rFonts w:eastAsia="Calibri" w:cstheme="minorHAnsi"/>
                <w:lang w:val="en-GB"/>
              </w:rPr>
            </w:pPr>
            <w:proofErr w:type="spellStart"/>
            <w:r w:rsidRPr="007542F4">
              <w:rPr>
                <w:rFonts w:eastAsia="Calibri" w:cstheme="minorHAnsi"/>
                <w:lang w:val="en-GB"/>
              </w:rPr>
              <w:t>Crizotinib</w:t>
            </w:r>
            <w:proofErr w:type="spellEnd"/>
          </w:p>
        </w:tc>
        <w:tc>
          <w:tcPr>
            <w:tcW w:w="1218" w:type="dxa"/>
          </w:tcPr>
          <w:p w14:paraId="1D418633"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w:t>
            </w:r>
          </w:p>
        </w:tc>
        <w:tc>
          <w:tcPr>
            <w:tcW w:w="1908" w:type="dxa"/>
          </w:tcPr>
          <w:p w14:paraId="75C61DFA"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0.45 (0.35 – 0.60)</w:t>
            </w:r>
          </w:p>
        </w:tc>
        <w:tc>
          <w:tcPr>
            <w:tcW w:w="1423" w:type="dxa"/>
          </w:tcPr>
          <w:p w14:paraId="4C78FCA7" w14:textId="259B9082" w:rsidR="00FF7EB3" w:rsidRPr="003E3325" w:rsidRDefault="00FF7EB3">
            <w:pPr>
              <w:spacing w:after="0" w:line="240" w:lineRule="auto"/>
              <w:rPr>
                <w:rFonts w:eastAsia="Calibri" w:cstheme="minorHAnsi"/>
                <w:lang w:val="en-GB"/>
              </w:rPr>
            </w:pPr>
            <w:r w:rsidRPr="003E3325">
              <w:rPr>
                <w:rFonts w:eastAsia="Calibri" w:cstheme="minorHAnsi"/>
                <w:lang w:val="en-GB"/>
              </w:rPr>
              <w:fldChar w:fldCharType="begin" w:fldLock="1"/>
            </w:r>
            <w:r w:rsidR="00315CD2">
              <w:rPr>
                <w:rFonts w:eastAsia="Calibri" w:cstheme="minorHAnsi"/>
                <w:lang w:val="en-GB"/>
              </w:rPr>
              <w:instrText>ADDIN CSL_CITATION {"citationItems":[{"id":"ITEM-1","itemData":{"DOI":"10.1093/annonc/mdz131","ISSN":"09237534","author":[{"dropping-particle":"","family":"Shaw","given":"A.T.","non-dropping-particle":"","parse-names":false,"suffix":""},{"dropping-particle":"","family":"Riely","given":"G.J.","non-dropping-particle":"","parse-names":false,"suffix":""},{"dropping-particle":"","family":"Bang","given":"Y.-J.","non-dropping-particle":"","parse-names":false,"suffix":""},{"dropping-particle":"","family":"Kim","given":"D.-W.","non-dropping-particle":"","parse-names":false,"suffix":""},{"dropping-particle":"","family":"Camidge","given":"D.R.","non-dropping-particle":"","parse-names":false,"suffix":""},{"dropping-particle":"","family":"Solomon","given":"B.J.","non-dropping-particle":"","parse-names":false,"suffix":""},{"dropping-particle":"","family":"Varella-Garcia","given":"M.","non-dropping-particle":"","parse-names":false,"suffix":""},{"dropping-particle":"","family":"Iafrate","given":"A.J.","non-dropping-particle":"","parse-names":false,"suffix":""},{"dropping-particle":"","family":"Shapiro","given":"G.I.","non-dropping-particle":"","parse-names":false,"suffix":""},{"dropping-particle":"","family":"Usari","given":"T.","non-dropping-particle":"","parse-names":false,"suffix":""},{"dropping-particle":"","family":"Wang","given":"S.C.","non-dropping-particle":"","parse-names":false,"suffix":""},{"dropping-particle":"","family":"Wilner","given":"K.D.","non-dropping-particle":"","parse-names":false,"suffix":""},{"dropping-particle":"","family":"Clark","given":"J.W.","non-dropping-particle":"","parse-names":false,"suffix":""},{"dropping-particle":"","family":"Ou","given":"S.-H.I.","non-dropping-particle":"","parse-names":false,"suffix":""}],"container-title":"Annals of Oncology","id":"ITEM-1","issue":"7","issued":{"date-parts":[["2019","7"]]},"page":"1121-1126","title":"Crizotinib in ROS1-rearranged advanced non-small-cell lung cancer (NSCLC): updated results, including overall survival, from PROFILE 1001","type":"article-journal","volume":"30"},"uris":["http://www.mendeley.com/documents/?uuid=40a7e0ab-0a3f-4a3d-86ef-1c48befeb8ac"]},{"id":"ITEM-2","itemData":{"DOI":"10.1056/NEJMoa1408440","ISSN":"0028-4793","PMID":"25470694","abstract":"BACKGROUND The efficacy of the ALK inhibitor crizotinib as compared with standard chemotherapy as first-line treatment for advanced ALK-positive non-small-cell lung cancer (NSCLC) is unknown. METHODS We conducted an open-label, phase 3 trial comparing crizotinib with chemotherapy in 343 patients with advanced ALK-positive nonsquamous NSCLC who had received no previous systemic treatment for advanced disease. Patients were randomly assigned to receive oral crizotinib at a dose of 250 mg twice daily or to receive intravenous chemotherapy (pemetrexed, 500 mg per square meter of body-surface area, plus either cisplatin, 75 mg per square meter, or carboplatin, target area under the curve of 5 to 6 mg per milliliter per minute) every 3 weeks for up to six cycles. Crossover to crizotinib treatment after disease progression was permitted for patients receiving chemotherapy. The primary end point was progression-free survival as assessed by independent radiologic review. RESULTS Progression-free survival was significantly longer with crizotinib than with chemotherapy (median, 10.9 months vs. 7.0 months; hazard ratio for progression or death with crizotinib, 0.45; 95% confidence interval [CI], 0.35 to 0.60; P&lt;0.001). Objective response rates were 74% and 45%, respectively (P&lt;0.001). Median overall survival was not reached in either group (hazard ratio for death with crizotinib, 0.82; 95% CI, 0.54 to 1.26; P=0.36); the probability of 1-year survival was 84% with crizotinib and 79% with chemotherapy. The most common adverse events with crizotinib were vision disorders, diarrhea, nausea, and edema, and the most common events with chemotherapy were nausea, fatigue, vomiting, and decreased appetite. As compared with chemotherapy, crizotinib was associated with greater reduction in lung cancer symptoms and greater improvement in quality of life. CONCLUSIONS Crizotinib was superior to standard first-line pemetrexed-plus-platinum chemotherapy in patients with previously untreated advanced ALK-positive NSCLC. (Funded by Pfizer; PROFILE 1014 ClinicalTrials.gov number, NCT01154140.).","author":[{"dropping-particle":"","family":"Solomon","given":"Benjamin J.","non-dropping-particle":"","parse-names":false,"suffix":""},{"dropping-particle":"","family":"Mok","given":"Tony","non-dropping-particle":"","parse-names":false,"suffix":""},{"dropping-particle":"","family":"Kim","given":"Dong-Wan","non-dropping-particle":"","parse-names":false,"suffix":""},{"dropping-particle":"","family":"Wu","given":"Yi-Long","non-dropping-particle":"","parse-names":false,"suffix":""},{"dropping-particle":"","family":"Nakagawa","given":"Kazuhiko","non-dropping-particle":"","parse-names":false,"suffix":""},{"dropping-particle":"","family":"Mekhail","given":"Tarek","non-dropping-particle":"","parse-names":false,"suffix":""},{"dropping-particle":"","family":"Felip","given":"Enriqueta","non-dropping-particle":"","parse-names":false,"suffix":""},{"dropping-particle":"","family":"Cappuzzo","given":"Federico","non-dropping-particle":"","parse-names":false,"suffix":""},{"dropping-particle":"","family":"Paolini","given":"Jolanda","non-dropping-particle":"","parse-names":false,"suffix":""},{"dropping-particle":"","family":"Usari","given":"Tiziana","non-dropping-particle":"","parse-names":false,"suffix":""},{"dropping-particle":"","family":"Iyer","given":"Shrividya","non-dropping-particle":"","parse-names":false,"suffix":""},{"dropping-particle":"","family":"Reisman","given":"Arlene","non-dropping-particle":"","parse-names":false,"suffix":""},{"dropping-particle":"","family":"Wilner","given":"Keith D.","non-dropping-particle":"","parse-names":false,"suffix":""},{"dropping-particle":"","family":"Tursi","given":"Jennifer","non-dropping-particle":"","parse-names":false,"suffix":""},{"dropping-particle":"","family":"Blackhall","given":"Fiona","non-dropping-particle":"","parse-names":false,"suffix":""}],"container-title":"New England Journal of Medicine","id":"ITEM-2","issue":"23","issued":{"date-parts":[["2014","12","4"]]},"page":"2167-2177","title":"First-Line Crizotinib versus Chemotherapy in ALK -Positive Lung Cancer","type":"article-journal","volume":"371"},"uris":["http://www.mendeley.com/documents/?uuid=799b819a-2e31-4bde-827d-a51359856a1e"]}],"mendeley":{"formattedCitation":"[33], [71]","plainTextFormattedCitation":"[33], [71]","previouslyFormattedCitation":"[33], [71]"},"properties":{"noteIndex":0},"schema":"https://github.com/citation-style-language/schema/raw/master/csl-citation.json"}</w:instrText>
            </w:r>
            <w:r w:rsidRPr="003E3325">
              <w:rPr>
                <w:rFonts w:eastAsia="Calibri" w:cstheme="minorHAnsi"/>
                <w:lang w:val="en-GB"/>
              </w:rPr>
              <w:fldChar w:fldCharType="separate"/>
            </w:r>
            <w:r w:rsidR="009F237B" w:rsidRPr="009F237B">
              <w:rPr>
                <w:rFonts w:eastAsia="Calibri" w:cstheme="minorHAnsi"/>
                <w:noProof/>
                <w:lang w:val="en-GB"/>
              </w:rPr>
              <w:t>[33], [71]</w:t>
            </w:r>
            <w:r w:rsidRPr="003E3325">
              <w:rPr>
                <w:rFonts w:eastAsia="Calibri" w:cstheme="minorHAnsi"/>
                <w:lang w:val="en-GB"/>
              </w:rPr>
              <w:fldChar w:fldCharType="end"/>
            </w:r>
            <w:r w:rsidR="00536FCE">
              <w:rPr>
                <w:rFonts w:eastAsia="Calibri" w:cstheme="minorHAnsi"/>
                <w:vertAlign w:val="superscript"/>
                <w:lang w:val="en-GB"/>
              </w:rPr>
              <w:t>e</w:t>
            </w:r>
          </w:p>
        </w:tc>
        <w:tc>
          <w:tcPr>
            <w:tcW w:w="1250" w:type="dxa"/>
          </w:tcPr>
          <w:p w14:paraId="58815DD2"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0.3339</w:t>
            </w:r>
          </w:p>
        </w:tc>
        <w:tc>
          <w:tcPr>
            <w:tcW w:w="1284" w:type="dxa"/>
            <w:vMerge/>
            <w:shd w:val="clear" w:color="auto" w:fill="BFBFBF" w:themeFill="background1" w:themeFillShade="BF"/>
          </w:tcPr>
          <w:p w14:paraId="75F9223E" w14:textId="77777777" w:rsidR="00FF7EB3" w:rsidRPr="007542F4" w:rsidRDefault="00FF7EB3">
            <w:pPr>
              <w:spacing w:after="0" w:line="240" w:lineRule="auto"/>
              <w:jc w:val="center"/>
              <w:rPr>
                <w:rFonts w:eastAsia="Calibri" w:cstheme="minorHAnsi"/>
                <w:lang w:val="en-GB"/>
              </w:rPr>
            </w:pPr>
          </w:p>
        </w:tc>
      </w:tr>
      <w:tr w:rsidR="00FF7EB3" w:rsidRPr="00C43E65" w14:paraId="21BC7A08" w14:textId="77777777" w:rsidTr="00D7163D">
        <w:trPr>
          <w:trHeight w:val="508"/>
        </w:trPr>
        <w:tc>
          <w:tcPr>
            <w:tcW w:w="1773" w:type="dxa"/>
          </w:tcPr>
          <w:p w14:paraId="2E328279" w14:textId="77777777" w:rsidR="00FF7EB3" w:rsidRPr="007542F4" w:rsidRDefault="00FF7EB3" w:rsidP="00C62DFE">
            <w:pPr>
              <w:spacing w:after="0" w:line="240" w:lineRule="auto"/>
              <w:rPr>
                <w:rFonts w:eastAsia="Calibri" w:cstheme="minorHAnsi"/>
                <w:lang w:val="en-GB"/>
              </w:rPr>
            </w:pPr>
            <w:r w:rsidRPr="007542F4">
              <w:rPr>
                <w:rFonts w:eastAsia="Calibri" w:cstheme="minorHAnsi"/>
                <w:lang w:val="en-GB"/>
              </w:rPr>
              <w:t>BRAF</w:t>
            </w:r>
            <w:r w:rsidRPr="007542F4">
              <w:rPr>
                <w:rFonts w:eastAsia="Calibri" w:cstheme="minorHAnsi"/>
                <w:vertAlign w:val="subscript"/>
                <w:lang w:val="en-GB"/>
              </w:rPr>
              <w:t>(V600E)</w:t>
            </w:r>
            <w:r w:rsidRPr="007542F4">
              <w:rPr>
                <w:rFonts w:eastAsia="Calibri" w:cstheme="minorHAnsi"/>
                <w:lang w:val="en-GB"/>
              </w:rPr>
              <w:t xml:space="preserve"> </w:t>
            </w:r>
          </w:p>
        </w:tc>
        <w:tc>
          <w:tcPr>
            <w:tcW w:w="2396" w:type="dxa"/>
          </w:tcPr>
          <w:p w14:paraId="62C42E74"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Dabrafenib and Trametinib</w:t>
            </w:r>
          </w:p>
        </w:tc>
        <w:tc>
          <w:tcPr>
            <w:tcW w:w="1218" w:type="dxa"/>
          </w:tcPr>
          <w:p w14:paraId="1B36F175"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w:t>
            </w:r>
          </w:p>
        </w:tc>
        <w:tc>
          <w:tcPr>
            <w:tcW w:w="1908" w:type="dxa"/>
          </w:tcPr>
          <w:p w14:paraId="25D9DCC3"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0.67 (0.53 – 0.84)</w:t>
            </w:r>
          </w:p>
        </w:tc>
        <w:tc>
          <w:tcPr>
            <w:tcW w:w="1423" w:type="dxa"/>
          </w:tcPr>
          <w:p w14:paraId="31F6F4B7" w14:textId="40BD9C2A" w:rsidR="00FF7EB3" w:rsidRPr="003E3325" w:rsidRDefault="00FF7EB3">
            <w:pPr>
              <w:spacing w:after="0" w:line="240" w:lineRule="auto"/>
              <w:rPr>
                <w:rFonts w:eastAsia="Calibri" w:cstheme="minorHAnsi"/>
                <w:lang w:val="en-GB"/>
              </w:rPr>
            </w:pPr>
            <w:r w:rsidRPr="003E3325">
              <w:rPr>
                <w:rFonts w:eastAsia="Calibri" w:cstheme="minorHAnsi"/>
                <w:lang w:val="en-GB"/>
              </w:rPr>
              <w:fldChar w:fldCharType="begin" w:fldLock="1"/>
            </w:r>
            <w:r w:rsidR="00315CD2">
              <w:rPr>
                <w:rFonts w:eastAsia="Calibri" w:cstheme="minorHAnsi"/>
                <w:lang w:val="en-GB"/>
              </w:rPr>
              <w:instrText>ADDIN CSL_CITATION {"citationItems":[{"id":"ITEM-1","itemData":{"DOI":"10.1080/14737140.2018.1521272","ISSN":"1473-7140","PMID":"30198802","abstract":"INTRODUCTION BRAFV600E mutations occur in 1-2% of lung adenocarcinomas and act as oncogenic drivers via the mitogen-activated protein kinase (MAPK) pathway. These mutations are mutually exclusive from the more common, epidermal growth factor receptor mutations or anaplastic lymphoma kinase rearrangements and have been associated with poor outcomes and a lower response to platinum-based chemotherapy. Areas covered: Dabrafenib is a potent adenosine-triphosphate-competitive inhibitor of BRAF kinase and is selective for the BRAFV600E mutation in kinase panel screening, cell lines, and xenografts. The efficacy and safety of dabrafenib alone or in combination with the MEK inhibitor trametinib has been demonstrated in a number of clinical trials and herein, we discuss this data and outline the current and future role of BRAF/MEK inhibition in the management of advanced lung cancer. Expert commentary: Responses rates with combination of dabrafenib/trametinib are approximately 63-64% and interestingly occur in both smokers and non-smokers but toxicities require dose reductions in the real world for the majority of patients.","author":[{"dropping-particle":"","family":"Kelly","given":"Ronan J.","non-dropping-particle":"","parse-names":false,"suffix":""}],"container-title":"Expert Review of Anticancer Therapy","id":"ITEM-1","issue":"11","issued":{"date-parts":[["2018","11","2"]]},"page":"1063-1068","publisher":"Taylor and Francis Ltd","title":"Dabrafenib and trametinib for the treatment of non-small cell lung cancer","type":"article-journal","volume":"18"},"uris":["http://www.mendeley.com/documents/?uuid=082a8b1f-0f44-3f4c-8f69-578088675f0a"]},{"id":"ITEM-2","itemData":{"DOI":"10.1016/S0140-6736(15)60898-4","ISSN":"01406736","abstract":"Background Previously, a study of ours showed that the combination of dabrafenib and trametinib improves progression-free survival compared with dabrafenib and placebo in patients with BRAF Val600Lys/Glu mutation-positive metastatic melanoma. The study was continued to assess the secondary endpoint of overall survival, which we report in this Article. Methods We did this double-blind phase 3 study at 113 sites in 14 countries. We enrolled previously untreated patients with BRAF Val600Glu or Val600Lys mutation-positive unresectable stage IIIC or stage IV melanoma. Participants were computer-randomised (1:1) to receive a combination of dabrafenib (150 mg orally twice daily) and trametinib (2 mg orally once daily), or dabrafenib and placebo. The primary endpoint was progression-free survival and overall survival was a secondary endpoint. This study is registered with ClinicalTrials.gov, number NCT01584648. Findings Between May 4, 2012, and Nov 30, 2012, we screened 947 patients for eligibility, of whom 423 were randomly assigned to receive dabrafenib and trametinib (n=211) or dabrafenib only (n=212). The final data cutoff was Jan 12, 2015, at which time 222 patients had died. Median overall survival was 25·1 months (95% CI 19·2–not reached) in the dabrafenib and trametinib group versus 18·7 months (15·2–23·7) in the dabrafenib only group (hazard ratio [HR] 0·71, 95% CI 0·55–0·92; p=0·0107). Overall survival was 74% at 1 year and 51% at 2 years in the dabrafenib and trametinib group versus 68% and 42%, respectively, in the dabrafenib only group. Based on 301 events, median progression-free survival was 11·0 months (95% CI 8·0–13·9) in the dabrafenib and trametinib group and 8·8 months (5·9–9·3) in the dabrafenib only group (HR 0·67, 95% CI 0·53–0·84; p=0·0004; unadjusted for multiple testing). Treatment-related adverse events occurred in 181 (87%) of 209 patients in the dabrafenib and trametinib group and 189 (90%) of 211 patients in the dabrafenib only group; the most common was pyrexia (108 patients, 52%) in the dabrafenib and trametinib group, and hyperkeratosis (70 patients, 33%) in the dabrafenib only group. Grade 3 or 4 adverse events occurred in 67 (32%) patients in the dabrafenib and trametinib group and 66 (31%) patients in the dabrafenib only group. Interpretation The improvement in overall survival establishes the combination of dabrafenib and trametinib as the standard targeted treatment for BRAF Val600 mutation-positive melanoma. Studies assess…","author":[{"dropping-particle":"V","family":"Long","given":"Georgina","non-dropping-particle":"","parse-names":false,"suffix":""},{"dropping-particle":"","family":"Stroyakovskiy","given":"Daniil","non-dropping-particle":"","parse-names":false,"suffix":""},{"dropping-particle":"","family":"Gogas","given":"Helen","non-dropping-particle":"","parse-names":false,"suffix":""},{"dropping-particle":"","family":"Levchenko","given":"Evgeny","non-dropping-particle":"","parse-names":false,"suffix":""},{"dropping-particle":"","family":"Braud","given":"Filippo","non-dropping-particle":"de","parse-names":false,"suffix":""},{"dropping-particle":"","family":"Larkin","given":"James","non-dropping-particle":"","parse-names":false,"suffix":""},{"dropping-particle":"","family":"Garbe","given":"Claus","non-dropping-particle":"","parse-names":false,"suffix":""},{"dropping-particle":"","family":"Jouary","given":"Thomas","non-dropping-particle":"","parse-names":false,"suffix":""},{"dropping-particle":"","family":"Hauschild","given":"Axel","non-dropping-particle":"","parse-names":false,"suffix":""},{"dropping-particle":"","family":"Grob","given":"Jean-Jacques","non-dropping-particle":"","parse-names":false,"suffix":""},{"dropping-particle":"","family":"Chiarion-Sileni","given":"Vanna","non-dropping-particle":"","parse-names":false,"suffix":""},{"dropping-particle":"","family":"Lebbe","given":"Celeste","non-dropping-particle":"","parse-names":false,"suffix":""},{"dropping-particle":"","family":"Mandalà","given":"Mario","non-dropping-particle":"","parse-names":false,"suffix":""},{"dropping-particle":"","family":"Millward","given":"Michael","non-dropping-particle":"","parse-names":false,"suffix":""},{"dropping-particle":"","family":"Arance","given":"Ana","non-dropping-particle":"","parse-names":false,"suffix":""},{"dropping-particle":"","family":"Bondarenko","given":"Igor","non-dropping-particle":"","parse-names":false,"suffix":""},{"dropping-particle":"","family":"Haanen","given":"John B A G","non-dropping-particle":"","parse-names":false,"suffix":""},{"dropping-particle":"","family":"Hansson","given":"Johan","non-dropping-particle":"","parse-names":false,"suffix":""},{"dropping-particle":"","family":"Utikal","given":"Jochen","non-dropping-particle":"","parse-names":false,"suffix":""},{"dropping-particle":"","family":"Ferraresi","given":"Virginia","non-dropping-particle":"","parse-names":false,"suffix":""},{"dropping-particle":"","family":"Kovalenko","given":"Nadezhda","non-dropping-particle":"","parse-names":false,"suffix":""},{"dropping-particle":"","family":"Mohr","given":"Peter","non-dropping-particle":"","parse-names":false,"suffix":""},{"dropping-particle":"","family":"Probachai","given":"Volodymr","non-dropping-particle":"","parse-names":false,"suffix":""},{"dropping-particle":"","family":"Schadendorf","given":"Dirk","non-dropping-particle":"","parse-names":false,"suffix":""},{"dropping-particle":"","family":"Nathan","given":"Paul","non-dropping-particle":"","parse-names":false,"suffix":""},{"dropping-particle":"","family":"Robert","given":"Caroline","non-dropping-particle":"","parse-names":false,"suffix":""},{"dropping-particle":"","family":"Ribas","given":"Antoni","non-dropping-particle":"","parse-names":false,"suffix":""},{"dropping-particle":"","family":"DeMarini","given":"Douglas J","non-dropping-particle":"","parse-names":false,"suffix":""},{"dropping-particle":"","family":"Irani","given":"Jhangir G","non-dropping-particle":"","parse-names":false,"suffix":""},{"dropping-particle":"","family":"Swann","given":"Suzanne","non-dropping-particle":"","parse-names":false,"suffix":""},{"dropping-particle":"","family":"Legos","given":"Jeffrey J","non-dropping-particle":"","parse-names":false,"suffix":""},{"dropping-particle":"","family":"Jin","given":"Fan","non-dropping-particle":"","parse-names":false,"suffix":""},{"dropping-particle":"","family":"Mookerjee","given":"Bijoyesh","non-dropping-particle":"","parse-names":false,"suffix":""},{"dropping-particle":"","family":"Flaherty","given":"Keith","non-dropping-particle":"","parse-names":false,"suffix":""}],"container-title":"The Lancet","id":"ITEM-2","issue":"9992","issued":{"date-parts":[["2015","8"]]},"page":"444-451","title":"Dabrafenib and trametinib versus dabrafenib and placebo for Val600 BRAF-mutant melanoma: a multicentre, double-blind, phase 3 randomised controlled trial","type":"article-journal","volume":"386"},"uris":["http://www.mendeley.com/documents/?uuid=6e4e36e3-1295-4e86-8770-aa5c7d669ac8"]}],"mendeley":{"formattedCitation":"[67], [72]","plainTextFormattedCitation":"[67], [72]","previouslyFormattedCitation":"[67], [72]"},"properties":{"noteIndex":0},"schema":"https://github.com/citation-style-language/schema/raw/master/csl-citation.json"}</w:instrText>
            </w:r>
            <w:r w:rsidRPr="003E3325">
              <w:rPr>
                <w:rFonts w:eastAsia="Calibri" w:cstheme="minorHAnsi"/>
                <w:lang w:val="en-GB"/>
              </w:rPr>
              <w:fldChar w:fldCharType="separate"/>
            </w:r>
            <w:r w:rsidR="009F237B" w:rsidRPr="009F237B">
              <w:rPr>
                <w:rFonts w:eastAsia="Calibri" w:cstheme="minorHAnsi"/>
                <w:noProof/>
                <w:lang w:val="en-GB"/>
              </w:rPr>
              <w:t>[67], [72]</w:t>
            </w:r>
            <w:r w:rsidRPr="003E3325">
              <w:rPr>
                <w:rFonts w:eastAsia="Calibri" w:cstheme="minorHAnsi"/>
                <w:lang w:val="en-GB"/>
              </w:rPr>
              <w:fldChar w:fldCharType="end"/>
            </w:r>
            <w:r w:rsidRPr="003E3325">
              <w:rPr>
                <w:rFonts w:eastAsia="Calibri" w:cstheme="minorHAnsi"/>
                <w:vertAlign w:val="superscript"/>
                <w:lang w:val="en-GB"/>
              </w:rPr>
              <w:t xml:space="preserve"> </w:t>
            </w:r>
            <w:r w:rsidR="00E07D25">
              <w:rPr>
                <w:rFonts w:eastAsia="Calibri" w:cstheme="minorHAnsi"/>
                <w:vertAlign w:val="superscript"/>
                <w:lang w:val="en-GB"/>
              </w:rPr>
              <w:t>f</w:t>
            </w:r>
          </w:p>
        </w:tc>
        <w:tc>
          <w:tcPr>
            <w:tcW w:w="1250" w:type="dxa"/>
          </w:tcPr>
          <w:p w14:paraId="6A16DC15"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0.6247</w:t>
            </w:r>
          </w:p>
        </w:tc>
        <w:tc>
          <w:tcPr>
            <w:tcW w:w="1284" w:type="dxa"/>
            <w:vMerge/>
            <w:shd w:val="clear" w:color="auto" w:fill="BFBFBF" w:themeFill="background1" w:themeFillShade="BF"/>
          </w:tcPr>
          <w:p w14:paraId="0A05F609" w14:textId="77777777" w:rsidR="00FF7EB3" w:rsidRPr="007542F4" w:rsidRDefault="00FF7EB3">
            <w:pPr>
              <w:spacing w:after="0" w:line="240" w:lineRule="auto"/>
              <w:jc w:val="center"/>
              <w:rPr>
                <w:rFonts w:eastAsia="Calibri" w:cstheme="minorHAnsi"/>
                <w:lang w:val="en-GB"/>
              </w:rPr>
            </w:pPr>
          </w:p>
        </w:tc>
      </w:tr>
      <w:tr w:rsidR="00FF7EB3" w:rsidRPr="00C43E65" w14:paraId="47092D4D" w14:textId="77777777" w:rsidTr="00D7163D">
        <w:trPr>
          <w:trHeight w:val="265"/>
        </w:trPr>
        <w:tc>
          <w:tcPr>
            <w:tcW w:w="1773" w:type="dxa"/>
          </w:tcPr>
          <w:p w14:paraId="56A258AD" w14:textId="77777777" w:rsidR="00FF7EB3" w:rsidRPr="007542F4" w:rsidRDefault="00FF7EB3" w:rsidP="00C62DFE">
            <w:pPr>
              <w:spacing w:after="0" w:line="240" w:lineRule="auto"/>
              <w:rPr>
                <w:rFonts w:eastAsia="Calibri" w:cstheme="minorHAnsi"/>
                <w:lang w:val="en-GB"/>
              </w:rPr>
            </w:pPr>
            <w:r w:rsidRPr="007542F4">
              <w:rPr>
                <w:rFonts w:eastAsia="Calibri" w:cstheme="minorHAnsi"/>
                <w:lang w:val="en-GB"/>
              </w:rPr>
              <w:t>NTRK</w:t>
            </w:r>
            <w:r w:rsidRPr="007542F4">
              <w:rPr>
                <w:rFonts w:eastAsia="Calibri" w:cstheme="minorHAnsi"/>
                <w:vertAlign w:val="subscript"/>
                <w:lang w:val="en-GB"/>
              </w:rPr>
              <w:t>(1,2,3)</w:t>
            </w:r>
            <w:r w:rsidRPr="007542F4">
              <w:rPr>
                <w:rFonts w:eastAsia="Calibri" w:cstheme="minorHAnsi"/>
                <w:lang w:val="en-GB"/>
              </w:rPr>
              <w:t xml:space="preserve"> </w:t>
            </w:r>
          </w:p>
        </w:tc>
        <w:tc>
          <w:tcPr>
            <w:tcW w:w="2396" w:type="dxa"/>
          </w:tcPr>
          <w:p w14:paraId="2D30C189"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Larotrectinib</w:t>
            </w:r>
          </w:p>
        </w:tc>
        <w:tc>
          <w:tcPr>
            <w:tcW w:w="1218" w:type="dxa"/>
          </w:tcPr>
          <w:p w14:paraId="427D72B2"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w:t>
            </w:r>
          </w:p>
        </w:tc>
        <w:tc>
          <w:tcPr>
            <w:tcW w:w="1908" w:type="dxa"/>
          </w:tcPr>
          <w:p w14:paraId="61A5ECE8"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0.82 (0.66 – 1.03)</w:t>
            </w:r>
          </w:p>
        </w:tc>
        <w:tc>
          <w:tcPr>
            <w:tcW w:w="1423" w:type="dxa"/>
          </w:tcPr>
          <w:p w14:paraId="357E5CBE" w14:textId="052776DF" w:rsidR="00FF7EB3" w:rsidRPr="003E3325" w:rsidRDefault="00FF7EB3">
            <w:pPr>
              <w:spacing w:after="0" w:line="240" w:lineRule="auto"/>
              <w:rPr>
                <w:rFonts w:eastAsia="Calibri" w:cstheme="minorHAnsi"/>
                <w:lang w:val="en-GB"/>
              </w:rPr>
            </w:pPr>
            <w:r w:rsidRPr="003E3325">
              <w:rPr>
                <w:rFonts w:eastAsia="Calibri" w:cstheme="minorHAnsi"/>
                <w:lang w:val="en-GB"/>
              </w:rPr>
              <w:fldChar w:fldCharType="begin" w:fldLock="1"/>
            </w:r>
            <w:r w:rsidR="00EF573D">
              <w:rPr>
                <w:rFonts w:eastAsia="Calibri" w:cstheme="minorHAnsi"/>
                <w:lang w:val="en-GB"/>
              </w:rPr>
              <w:instrText>ADDIN CSL_CITATION {"citationItems":[{"id":"ITEM-1","itemData":{"DOI":"10.1016/j.critrevonc.2020.103035","ISSN":"10408428","abstract":"Outcomes used for the effectiveness (median) and cost-effectiveness (mean) on overall survival (OS) are different and can vary from one another. Therefore, we compared median and mean OS gains of targeted therapies and immunotherapies for stage IIIB/IV Non-small cell lung cancer and explored underlying aspect. Eligible trials were searched in PubMed, survival curves were digitized, and parametric survival models fitted to model the mean OS. Twenty-seven trials were found for targeted therapies (n = 17) and immunotherapies (n = 10). Differences between median and mean OS gains in months ranged from −2.8 to 6.8 and −4.9 to 0.3 for two different subgroups of targeted therapies, and −2.4 to 11.4 for immunotherapies. The mean OS gain was substantially larger for most immunotherapy trials, due to relatively long survival. Median and mean OS gains did not differ for targeted therapies. Our findings imply a potential discrepancy between the estimates of effectiveness and cost-effectiveness of cancer treatments.","author":[{"dropping-particle":"","family":"Simons","given":"Martijn","non-dropping-particle":"","parse-names":false,"suffix":""},{"dropping-particle":"","family":"Ramaekers","given":"Bram","non-dropping-particle":"","parse-names":false,"suffix":""},{"dropping-particle":"","family":"Peeters","given":"Andrea","non-dropping-particle":"","parse-names":false,"suffix":""},{"dropping-particle":"","family":"Mankor","given":"Joanne","non-dropping-particle":"","parse-names":false,"suffix":""},{"dropping-particle":"","family":"Paats","given":"Marthe","non-dropping-particle":"","parse-names":false,"suffix":""},{"dropping-particle":"","family":"Aerts","given":"Joachim","non-dropping-particle":"","parse-names":false,"suffix":""},{"dropping-particle":"","family":"Harten","given":"Wim","non-dropping-particle":"van","parse-names":false,"suffix":""},{"dropping-particle":"","family":"Retèl","given":"Valesca","non-dropping-particle":"","parse-names":false,"suffix":""},{"dropping-particle":"","family":"Joore","given":"Manuela","non-dropping-particle":"","parse-names":false,"suffix":""}],"container-title":"Critical Reviews in Oncology/Hematology","id":"ITEM-1","issue":"June","issued":{"date-parts":[["2020","9"]]},"page":"103035","publisher":"Elsevier","title":"Observed versus modelled lifetime overall survival of targeted therapies and immunotherapies for advanced non-small cell lung cancer patients – A systematic review","type":"article-journal","volume":"153"},"uris":["http://www.mendeley.com/documents/?uuid=0720c12c-2d7c-46fe-9a8d-a3f6fc3c7672"]},{"id":"ITEM-2","itemData":{"DOI":"10.1016/S1470-2045(19)30856-3","ISSN":"1474-5488","PMID":"32105622","abstract":"BACKGROUND The selective TRK inhibitor larotrectinib was approved for paediatric and adult patients with advanced TRK fusion-positive solid tumours based on a primary analysis set of 55 patients. The aim of our analysis was to explore the efficacy and long-term safety of larotrectinib in a larger population of patients with TRK fusion-positive solid tumours. METHODS Patients were enrolled and treated in a phase 1 adult, a phase 1/2 paediatric, or a phase 2 adolescent and adult trial. Some eligibility criteria differed between these studies. For this pooled analysis, eligible patients were aged 1 month or older, with a locally advanced or metastatic non-CNS primary, TRK fusion-positive solid tumour, who had received standard therapy previously if available. This analysis set includes the 55 patients on which approval of larotrectinib was based. Larotrectinib was administered orally (capsule or liquid formulation), on a continuous 28-day schedule, to adults mostly at a dose of 100 mg twice daily, and to paediatric patients mostly at a dose of 100 mg/m2 (maximum of 100 mg) twice daily. The primary endpoint was objective response as assessed by local investigators in an intention-to-treat analysis. Contributing trials are registered with ClinicalTrials.gov, NCT02122913 (active not recruiting), NCT02637687 (recruiting), and NCT02576431 (recruiting). FINDINGS Between May 1, 2014, and Feb 19, 2019, 159 patients with TRK fusion-positive cancer were enrolled and treated with larotrectinib. Ages ranged from less than 1 month to 84 years. The proportion of patients with an objective response according to investigator assessment was 121 (79%, 95% CI 72-85) of 153 evaluable patients, with 24 (16%) having complete responses. In a safety population of 260 patients treated regardless of TRK fusion status, the most common grade 3 or 4 larotrectinib-related adverse events were increased alanine aminotransferase (eight [3%] of 260 patients), anaemia (six, 2%), and decreased neutrophil count (five [2%]). The most common larotrectinib-related serious adverse events were increased alanine aminotransferase (two [&lt;1%] of 260 patients), increased aspartate aminotransferase (two [&lt;1%]), and nausea (two [&lt;1%]). No treatment-related deaths occurred. INTERPRETATION These data confirm that TRK fusions define a unique molecular subgroup of advanced solid tumours for which larotrectinib is highly active. Safety data indicate that long-term administration of larotrectinib is feasible. …","author":[{"dropping-particle":"","family":"Hong","given":"David S.","non-dropping-particle":"","parse-names":false,"suffix":""},{"dropping-particle":"","family":"DuBois","given":"Steven G.","non-dropping-particle":"","parse-names":false,"suffix":""},{"dropping-particle":"","family":"Kummar","given":"Shivaani","non-dropping-particle":"","parse-names":false,"suffix":""},{"dropping-particle":"","family":"Farago","given":"Anna F.","non-dropping-particle":"","parse-names":false,"suffix":""},{"dropping-particle":"","family":"Albert","given":"Catherine M.","non-dropping-particle":"","parse-names":false,"suffix":""},{"dropping-particle":"","family":"Rohrberg","given":"Kristoffer S.","non-dropping-particle":"","parse-names":false,"suffix":""},{"dropping-particle":"","family":"Tilburg","given":"Cornelis M.","non-dropping-particle":"van","parse-names":false,"suffix":""},{"dropping-particle":"","family":"Nagasubramanian","given":"Ramamoorthy","non-dropping-particle":"","parse-names":false,"suffix":""},{"dropping-particle":"","family":"Berlin","given":"Jordan D.","non-dropping-particle":"","parse-names":false,"suffix":""},{"dropping-particle":"","family":"Federman","given":"Noah","non-dropping-particle":"","parse-names":false,"suffix":""},{"dropping-particle":"","family":"Mascarenhas","given":"Leo","non-dropping-particle":"","parse-names":false,"suffix":""},{"dropping-particle":"","family":"Geoerger","given":"Birgit","non-dropping-particle":"","parse-names":false,"suffix":""},{"dropping-particle":"","family":"Dowlati","given":"Afshin","non-dropping-particle":"","parse-names":false,"suffix":""},{"dropping-particle":"","family":"Pappo","given":"Alberto S.","non-dropping-particle":"","parse-names":false,"suffix":""},{"dropping-particle":"","family":"Bielack","given":"Stefan","non-dropping-particle":"","parse-names":false,"suffix":""},{"dropping-particle":"","family":"Doz","given":"François","non-dropping-particle":"","parse-names":false,"suffix":""},{"dropping-particle":"","family":"McDermott","given":"Ray","non-dropping-particle":"","parse-names":false,"suffix":""},{"dropping-particle":"","family":"Patel","given":"Jyoti D.","non-dropping-particle":"","parse-names":false,"suffix":""},{"dropping-particle":"","family":"Schilder","given":"Russell J.","non-dropping-particle":"","parse-names":false,"suffix":""},{"dropping-particle":"","family":"Tahara","given":"Makoto","non-dropping-particle":"","parse-names":false,"suffix":""},{"dropping-particle":"","family":"Pfister","given":"Stefan M.","non-dropping-particle":"","parse-names":false,"suffix":""},{"dropping-particle":"","family":"Witt","given":"Olaf","non-dropping-particle":"","parse-names":false,"suffix":""},{"dropping-particle":"","family":"Ladanyi","given":"Marc","non-dropping-particle":"","parse-names":false,"suffix":""},{"dropping-particle":"","family":"Rudzinski","given":"Erin R.","non-dropping-particle":"","parse-names":false,"suffix":""},{"dropping-particle":"","family":"Nanda","given":"Shivani","non-dropping-particle":"","parse-names":false,"suffix":""},{"dropping-particle":"","family":"Childs","given":"Barrett H.","non-dropping-particle":"","parse-names":false,"suffix":""},{"dropping-particle":"","family":"Laetsch","given":"Theodore W.","non-dropping-particle":"","parse-names":false,"suffix":""},{"dropping-particle":"","family":"Hyman","given":"David M.","non-dropping-particle":"","parse-names":false,"suffix":""},{"dropping-particle":"","family":"Drilon","given":"Alexander","non-dropping-particle":"","parse-names":false,"suffix":""}],"container-title":"The Lancet. Oncology","id":"ITEM-2","issue":"4","issued":{"date-parts":[["2020","4","1"]]},"page":"531-540","publisher":"Lancet Publishing Group","title":"Larotrectinib in patients with TRK fusion-positive solid tumours: a pooled analysis of three phase 1/2 clinical trials.","type":"article-journal","volume":"21"},"uris":["http://www.mendeley.com/documents/?uuid=5a1a2c95-de73-35d7-bab1-fd8b907b45e4"]}],"mendeley":{"formattedCitation":"[38], [73]","plainTextFormattedCitation":"[38], [73]","previouslyFormattedCitation":"[38], [73]"},"properties":{"noteIndex":0},"schema":"https://github.com/citation-style-language/schema/raw/master/csl-citation.json"}</w:instrText>
            </w:r>
            <w:r w:rsidRPr="003E3325">
              <w:rPr>
                <w:rFonts w:eastAsia="Calibri" w:cstheme="minorHAnsi"/>
                <w:lang w:val="en-GB"/>
              </w:rPr>
              <w:fldChar w:fldCharType="separate"/>
            </w:r>
            <w:r w:rsidR="008949F2" w:rsidRPr="008949F2">
              <w:rPr>
                <w:rFonts w:eastAsia="Calibri" w:cstheme="minorHAnsi"/>
                <w:noProof/>
                <w:lang w:val="en-GB"/>
              </w:rPr>
              <w:t>[38], [73]</w:t>
            </w:r>
            <w:r w:rsidRPr="003E3325">
              <w:rPr>
                <w:rFonts w:eastAsia="Calibri" w:cstheme="minorHAnsi"/>
                <w:lang w:val="en-GB"/>
              </w:rPr>
              <w:fldChar w:fldCharType="end"/>
            </w:r>
            <w:r w:rsidR="00E07D25" w:rsidRPr="00E07D25">
              <w:rPr>
                <w:rFonts w:eastAsia="Calibri" w:cstheme="minorHAnsi"/>
                <w:vertAlign w:val="superscript"/>
                <w:lang w:val="en-GB"/>
              </w:rPr>
              <w:t>g</w:t>
            </w:r>
          </w:p>
        </w:tc>
        <w:tc>
          <w:tcPr>
            <w:tcW w:w="1250" w:type="dxa"/>
          </w:tcPr>
          <w:p w14:paraId="4BB8C468"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0.8100</w:t>
            </w:r>
          </w:p>
        </w:tc>
        <w:tc>
          <w:tcPr>
            <w:tcW w:w="1284" w:type="dxa"/>
            <w:vMerge/>
            <w:shd w:val="clear" w:color="auto" w:fill="BFBFBF" w:themeFill="background1" w:themeFillShade="BF"/>
          </w:tcPr>
          <w:p w14:paraId="0A53AC64" w14:textId="77777777" w:rsidR="00FF7EB3" w:rsidRPr="007542F4" w:rsidRDefault="00FF7EB3">
            <w:pPr>
              <w:spacing w:after="0" w:line="240" w:lineRule="auto"/>
              <w:jc w:val="center"/>
              <w:rPr>
                <w:rFonts w:eastAsia="Calibri" w:cstheme="minorHAnsi"/>
                <w:lang w:val="en-GB"/>
              </w:rPr>
            </w:pPr>
          </w:p>
        </w:tc>
      </w:tr>
      <w:tr w:rsidR="00FF7EB3" w:rsidRPr="00C43E65" w14:paraId="6BA514EF" w14:textId="77777777" w:rsidTr="00D7163D">
        <w:trPr>
          <w:trHeight w:val="254"/>
        </w:trPr>
        <w:tc>
          <w:tcPr>
            <w:tcW w:w="1773" w:type="dxa"/>
          </w:tcPr>
          <w:p w14:paraId="461BCCEC" w14:textId="77777777" w:rsidR="00FF7EB3" w:rsidRPr="007542F4" w:rsidRDefault="00FF7EB3" w:rsidP="00C62DFE">
            <w:pPr>
              <w:spacing w:after="0" w:line="240" w:lineRule="auto"/>
              <w:rPr>
                <w:rFonts w:eastAsia="Calibri" w:cstheme="minorHAnsi"/>
                <w:lang w:val="en-GB"/>
              </w:rPr>
            </w:pPr>
            <w:r w:rsidRPr="007542F4">
              <w:rPr>
                <w:rFonts w:eastAsia="Calibri" w:cstheme="minorHAnsi"/>
                <w:lang w:val="en-GB"/>
              </w:rPr>
              <w:t>MET</w:t>
            </w:r>
            <w:r w:rsidRPr="007542F4">
              <w:rPr>
                <w:rFonts w:eastAsia="Calibri" w:cstheme="minorHAnsi"/>
                <w:vertAlign w:val="subscript"/>
                <w:lang w:val="en-GB"/>
              </w:rPr>
              <w:t xml:space="preserve">(amp / exon 14 </w:t>
            </w:r>
            <w:proofErr w:type="spellStart"/>
            <w:r w:rsidRPr="007542F4">
              <w:rPr>
                <w:rFonts w:eastAsia="Calibri" w:cstheme="minorHAnsi"/>
                <w:vertAlign w:val="subscript"/>
                <w:lang w:val="en-GB"/>
              </w:rPr>
              <w:t>sk</w:t>
            </w:r>
            <w:proofErr w:type="spellEnd"/>
            <w:r w:rsidRPr="007542F4">
              <w:rPr>
                <w:rFonts w:eastAsia="Calibri" w:cstheme="minorHAnsi"/>
                <w:vertAlign w:val="subscript"/>
                <w:lang w:val="en-GB"/>
              </w:rPr>
              <w:t>)</w:t>
            </w:r>
            <w:r w:rsidRPr="007542F4">
              <w:rPr>
                <w:rFonts w:eastAsia="Calibri" w:cstheme="minorHAnsi"/>
                <w:lang w:val="en-GB"/>
              </w:rPr>
              <w:t xml:space="preserve"> </w:t>
            </w:r>
          </w:p>
        </w:tc>
        <w:tc>
          <w:tcPr>
            <w:tcW w:w="2396" w:type="dxa"/>
          </w:tcPr>
          <w:p w14:paraId="33914D6E"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depends PDL1</w:t>
            </w:r>
          </w:p>
        </w:tc>
        <w:tc>
          <w:tcPr>
            <w:tcW w:w="1218" w:type="dxa"/>
          </w:tcPr>
          <w:p w14:paraId="68544AAD"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w:t>
            </w:r>
          </w:p>
        </w:tc>
        <w:tc>
          <w:tcPr>
            <w:tcW w:w="1908" w:type="dxa"/>
          </w:tcPr>
          <w:p w14:paraId="04C1C743"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w:t>
            </w:r>
          </w:p>
        </w:tc>
        <w:tc>
          <w:tcPr>
            <w:tcW w:w="1423" w:type="dxa"/>
          </w:tcPr>
          <w:p w14:paraId="190604D9" w14:textId="77777777" w:rsidR="00FF7EB3" w:rsidRPr="003E3325" w:rsidRDefault="00FF7EB3">
            <w:pPr>
              <w:spacing w:after="0" w:line="240" w:lineRule="auto"/>
              <w:jc w:val="center"/>
              <w:rPr>
                <w:rFonts w:eastAsia="Calibri" w:cstheme="minorHAnsi"/>
                <w:lang w:val="en-GB"/>
              </w:rPr>
            </w:pPr>
            <w:r w:rsidRPr="003E3325">
              <w:rPr>
                <w:rFonts w:eastAsia="Calibri" w:cstheme="minorHAnsi"/>
                <w:lang w:val="en-GB"/>
              </w:rPr>
              <w:t>-</w:t>
            </w:r>
          </w:p>
        </w:tc>
        <w:tc>
          <w:tcPr>
            <w:tcW w:w="1250" w:type="dxa"/>
          </w:tcPr>
          <w:p w14:paraId="16F4B274"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w:t>
            </w:r>
          </w:p>
        </w:tc>
        <w:tc>
          <w:tcPr>
            <w:tcW w:w="1284" w:type="dxa"/>
            <w:vMerge/>
            <w:shd w:val="clear" w:color="auto" w:fill="BFBFBF" w:themeFill="background1" w:themeFillShade="BF"/>
          </w:tcPr>
          <w:p w14:paraId="446ED9C4" w14:textId="77777777" w:rsidR="00FF7EB3" w:rsidRPr="007542F4" w:rsidRDefault="00FF7EB3">
            <w:pPr>
              <w:spacing w:after="0" w:line="240" w:lineRule="auto"/>
              <w:jc w:val="center"/>
              <w:rPr>
                <w:rFonts w:eastAsia="Calibri" w:cstheme="minorHAnsi"/>
                <w:lang w:val="en-GB"/>
              </w:rPr>
            </w:pPr>
          </w:p>
        </w:tc>
      </w:tr>
      <w:tr w:rsidR="00FF7EB3" w:rsidRPr="00C43E65" w14:paraId="5310F70D" w14:textId="77777777" w:rsidTr="00D7163D">
        <w:trPr>
          <w:trHeight w:val="254"/>
        </w:trPr>
        <w:tc>
          <w:tcPr>
            <w:tcW w:w="1773" w:type="dxa"/>
          </w:tcPr>
          <w:p w14:paraId="372101C5" w14:textId="77777777" w:rsidR="00FF7EB3" w:rsidRPr="007542F4" w:rsidRDefault="00FF7EB3" w:rsidP="00C62DFE">
            <w:pPr>
              <w:spacing w:after="0" w:line="240" w:lineRule="auto"/>
              <w:rPr>
                <w:rFonts w:eastAsia="Calibri" w:cstheme="minorHAnsi"/>
                <w:lang w:val="en-GB"/>
              </w:rPr>
            </w:pPr>
            <w:r w:rsidRPr="007542F4">
              <w:rPr>
                <w:rFonts w:eastAsia="Calibri" w:cstheme="minorHAnsi"/>
                <w:lang w:val="en-GB"/>
              </w:rPr>
              <w:t xml:space="preserve">RET </w:t>
            </w:r>
          </w:p>
        </w:tc>
        <w:tc>
          <w:tcPr>
            <w:tcW w:w="2396" w:type="dxa"/>
          </w:tcPr>
          <w:p w14:paraId="084DC09B"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depends PDL1</w:t>
            </w:r>
          </w:p>
        </w:tc>
        <w:tc>
          <w:tcPr>
            <w:tcW w:w="1218" w:type="dxa"/>
          </w:tcPr>
          <w:p w14:paraId="29E2AC36"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w:t>
            </w:r>
          </w:p>
        </w:tc>
        <w:tc>
          <w:tcPr>
            <w:tcW w:w="1908" w:type="dxa"/>
          </w:tcPr>
          <w:p w14:paraId="77F56C67"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w:t>
            </w:r>
          </w:p>
        </w:tc>
        <w:tc>
          <w:tcPr>
            <w:tcW w:w="1423" w:type="dxa"/>
          </w:tcPr>
          <w:p w14:paraId="1D4CB4FD" w14:textId="77777777" w:rsidR="00FF7EB3" w:rsidRPr="003E3325" w:rsidRDefault="00FF7EB3">
            <w:pPr>
              <w:spacing w:after="0" w:line="240" w:lineRule="auto"/>
              <w:jc w:val="center"/>
              <w:rPr>
                <w:rFonts w:eastAsia="Calibri" w:cstheme="minorHAnsi"/>
                <w:lang w:val="en-GB"/>
              </w:rPr>
            </w:pPr>
            <w:r w:rsidRPr="003E3325">
              <w:rPr>
                <w:rFonts w:eastAsia="Calibri" w:cstheme="minorHAnsi"/>
                <w:lang w:val="en-GB"/>
              </w:rPr>
              <w:t>-</w:t>
            </w:r>
          </w:p>
        </w:tc>
        <w:tc>
          <w:tcPr>
            <w:tcW w:w="1250" w:type="dxa"/>
          </w:tcPr>
          <w:p w14:paraId="22C81445"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w:t>
            </w:r>
          </w:p>
        </w:tc>
        <w:tc>
          <w:tcPr>
            <w:tcW w:w="1284" w:type="dxa"/>
            <w:vMerge/>
            <w:shd w:val="clear" w:color="auto" w:fill="BFBFBF" w:themeFill="background1" w:themeFillShade="BF"/>
          </w:tcPr>
          <w:p w14:paraId="70BE640B" w14:textId="77777777" w:rsidR="00FF7EB3" w:rsidRPr="007542F4" w:rsidRDefault="00FF7EB3">
            <w:pPr>
              <w:spacing w:after="0" w:line="240" w:lineRule="auto"/>
              <w:jc w:val="center"/>
              <w:rPr>
                <w:rFonts w:eastAsia="Calibri" w:cstheme="minorHAnsi"/>
                <w:lang w:val="en-GB"/>
              </w:rPr>
            </w:pPr>
          </w:p>
        </w:tc>
      </w:tr>
      <w:tr w:rsidR="00FF7EB3" w:rsidRPr="00C43E65" w14:paraId="73601FE9" w14:textId="77777777" w:rsidTr="00D7163D">
        <w:trPr>
          <w:trHeight w:val="254"/>
        </w:trPr>
        <w:tc>
          <w:tcPr>
            <w:tcW w:w="1773" w:type="dxa"/>
          </w:tcPr>
          <w:p w14:paraId="4CE28DB5" w14:textId="77777777" w:rsidR="00FF7EB3" w:rsidRPr="007542F4" w:rsidRDefault="00FF7EB3" w:rsidP="00C62DFE">
            <w:pPr>
              <w:spacing w:after="0" w:line="240" w:lineRule="auto"/>
              <w:rPr>
                <w:rFonts w:eastAsia="Calibri" w:cstheme="minorHAnsi"/>
                <w:lang w:val="en-GB"/>
              </w:rPr>
            </w:pPr>
            <w:r w:rsidRPr="007542F4">
              <w:rPr>
                <w:rFonts w:eastAsia="Calibri" w:cstheme="minorHAnsi"/>
                <w:lang w:val="en-GB"/>
              </w:rPr>
              <w:t>HER2</w:t>
            </w:r>
          </w:p>
        </w:tc>
        <w:tc>
          <w:tcPr>
            <w:tcW w:w="2396" w:type="dxa"/>
          </w:tcPr>
          <w:p w14:paraId="2A632662"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depends PDL1</w:t>
            </w:r>
          </w:p>
        </w:tc>
        <w:tc>
          <w:tcPr>
            <w:tcW w:w="1218" w:type="dxa"/>
          </w:tcPr>
          <w:p w14:paraId="38C437F9"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w:t>
            </w:r>
          </w:p>
        </w:tc>
        <w:tc>
          <w:tcPr>
            <w:tcW w:w="1908" w:type="dxa"/>
          </w:tcPr>
          <w:p w14:paraId="5AA4120A"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w:t>
            </w:r>
          </w:p>
        </w:tc>
        <w:tc>
          <w:tcPr>
            <w:tcW w:w="1423" w:type="dxa"/>
          </w:tcPr>
          <w:p w14:paraId="6354E784" w14:textId="77777777" w:rsidR="00FF7EB3" w:rsidRPr="003E3325" w:rsidRDefault="00FF7EB3">
            <w:pPr>
              <w:spacing w:after="0" w:line="240" w:lineRule="auto"/>
              <w:jc w:val="center"/>
              <w:rPr>
                <w:rFonts w:eastAsia="Calibri" w:cstheme="minorHAnsi"/>
                <w:lang w:val="en-GB"/>
              </w:rPr>
            </w:pPr>
            <w:r w:rsidRPr="003E3325">
              <w:rPr>
                <w:rFonts w:eastAsia="Calibri" w:cstheme="minorHAnsi"/>
                <w:lang w:val="en-GB"/>
              </w:rPr>
              <w:t>-</w:t>
            </w:r>
          </w:p>
        </w:tc>
        <w:tc>
          <w:tcPr>
            <w:tcW w:w="1250" w:type="dxa"/>
          </w:tcPr>
          <w:p w14:paraId="4B42A3A5"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w:t>
            </w:r>
          </w:p>
        </w:tc>
        <w:tc>
          <w:tcPr>
            <w:tcW w:w="1284" w:type="dxa"/>
            <w:vMerge/>
            <w:shd w:val="clear" w:color="auto" w:fill="BFBFBF" w:themeFill="background1" w:themeFillShade="BF"/>
          </w:tcPr>
          <w:p w14:paraId="568CD1F9" w14:textId="77777777" w:rsidR="00FF7EB3" w:rsidRPr="007542F4" w:rsidRDefault="00FF7EB3">
            <w:pPr>
              <w:spacing w:after="0" w:line="240" w:lineRule="auto"/>
              <w:jc w:val="center"/>
              <w:rPr>
                <w:rFonts w:eastAsia="Calibri" w:cstheme="minorHAnsi"/>
                <w:lang w:val="en-GB"/>
              </w:rPr>
            </w:pPr>
          </w:p>
        </w:tc>
      </w:tr>
      <w:tr w:rsidR="00FF7EB3" w:rsidRPr="00C43E65" w14:paraId="4B5D8620" w14:textId="77777777" w:rsidTr="00D7163D">
        <w:trPr>
          <w:trHeight w:val="265"/>
        </w:trPr>
        <w:tc>
          <w:tcPr>
            <w:tcW w:w="1773" w:type="dxa"/>
          </w:tcPr>
          <w:p w14:paraId="49B52169" w14:textId="77777777" w:rsidR="00FF7EB3" w:rsidRPr="007542F4" w:rsidRDefault="00FF7EB3" w:rsidP="00C62DFE">
            <w:pPr>
              <w:spacing w:after="0" w:line="240" w:lineRule="auto"/>
              <w:rPr>
                <w:rFonts w:eastAsia="Calibri" w:cstheme="minorHAnsi"/>
                <w:lang w:val="en-GB"/>
              </w:rPr>
            </w:pPr>
            <w:r w:rsidRPr="007542F4">
              <w:rPr>
                <w:rFonts w:eastAsia="Calibri" w:cstheme="minorHAnsi"/>
                <w:lang w:val="en-GB"/>
              </w:rPr>
              <w:t xml:space="preserve">KRAS </w:t>
            </w:r>
          </w:p>
        </w:tc>
        <w:tc>
          <w:tcPr>
            <w:tcW w:w="2396" w:type="dxa"/>
          </w:tcPr>
          <w:p w14:paraId="44CF850C"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depends PDL1</w:t>
            </w:r>
          </w:p>
        </w:tc>
        <w:tc>
          <w:tcPr>
            <w:tcW w:w="1218" w:type="dxa"/>
          </w:tcPr>
          <w:p w14:paraId="682FF745"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w:t>
            </w:r>
          </w:p>
        </w:tc>
        <w:tc>
          <w:tcPr>
            <w:tcW w:w="1908" w:type="dxa"/>
          </w:tcPr>
          <w:p w14:paraId="132E1113"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w:t>
            </w:r>
          </w:p>
        </w:tc>
        <w:tc>
          <w:tcPr>
            <w:tcW w:w="1423" w:type="dxa"/>
          </w:tcPr>
          <w:p w14:paraId="6951B4CE" w14:textId="77777777" w:rsidR="00FF7EB3" w:rsidRPr="003E3325" w:rsidRDefault="00FF7EB3">
            <w:pPr>
              <w:spacing w:after="0" w:line="240" w:lineRule="auto"/>
              <w:jc w:val="center"/>
              <w:rPr>
                <w:rFonts w:eastAsia="Calibri" w:cstheme="minorHAnsi"/>
                <w:lang w:val="en-GB"/>
              </w:rPr>
            </w:pPr>
            <w:r w:rsidRPr="003E3325">
              <w:rPr>
                <w:rFonts w:eastAsia="Calibri" w:cstheme="minorHAnsi"/>
                <w:lang w:val="en-GB"/>
              </w:rPr>
              <w:t>-</w:t>
            </w:r>
          </w:p>
        </w:tc>
        <w:tc>
          <w:tcPr>
            <w:tcW w:w="1250" w:type="dxa"/>
          </w:tcPr>
          <w:p w14:paraId="7E9237CC"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w:t>
            </w:r>
          </w:p>
        </w:tc>
        <w:tc>
          <w:tcPr>
            <w:tcW w:w="1284" w:type="dxa"/>
            <w:vMerge/>
            <w:shd w:val="clear" w:color="auto" w:fill="BFBFBF" w:themeFill="background1" w:themeFillShade="BF"/>
          </w:tcPr>
          <w:p w14:paraId="4A737BB4" w14:textId="77777777" w:rsidR="00FF7EB3" w:rsidRPr="007542F4" w:rsidRDefault="00FF7EB3">
            <w:pPr>
              <w:spacing w:after="0" w:line="240" w:lineRule="auto"/>
              <w:jc w:val="center"/>
              <w:rPr>
                <w:rFonts w:eastAsia="Calibri" w:cstheme="minorHAnsi"/>
                <w:lang w:val="en-GB"/>
              </w:rPr>
            </w:pPr>
          </w:p>
        </w:tc>
      </w:tr>
      <w:tr w:rsidR="00FF7EB3" w:rsidRPr="00C43E65" w14:paraId="181D3806" w14:textId="77777777" w:rsidTr="00D7163D">
        <w:trPr>
          <w:trHeight w:val="254"/>
        </w:trPr>
        <w:tc>
          <w:tcPr>
            <w:tcW w:w="1773" w:type="dxa"/>
          </w:tcPr>
          <w:p w14:paraId="5DEF5C61" w14:textId="77777777" w:rsidR="00FF7EB3" w:rsidRPr="007542F4" w:rsidRDefault="00FF7EB3" w:rsidP="00C62DFE">
            <w:pPr>
              <w:spacing w:after="0" w:line="240" w:lineRule="auto"/>
              <w:rPr>
                <w:rFonts w:eastAsia="Calibri" w:cstheme="minorHAnsi"/>
                <w:lang w:val="en-GB"/>
              </w:rPr>
            </w:pPr>
            <w:r w:rsidRPr="007542F4">
              <w:rPr>
                <w:rFonts w:eastAsia="Calibri" w:cstheme="minorHAnsi"/>
                <w:lang w:val="en-GB"/>
              </w:rPr>
              <w:t>No / Unknown</w:t>
            </w:r>
          </w:p>
        </w:tc>
        <w:tc>
          <w:tcPr>
            <w:tcW w:w="2396" w:type="dxa"/>
          </w:tcPr>
          <w:p w14:paraId="42B7DE83"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Depends PDL1</w:t>
            </w:r>
          </w:p>
        </w:tc>
        <w:tc>
          <w:tcPr>
            <w:tcW w:w="1218" w:type="dxa"/>
          </w:tcPr>
          <w:p w14:paraId="22E0294C"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w:t>
            </w:r>
          </w:p>
        </w:tc>
        <w:tc>
          <w:tcPr>
            <w:tcW w:w="1908" w:type="dxa"/>
          </w:tcPr>
          <w:p w14:paraId="0C9D1D0F"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w:t>
            </w:r>
          </w:p>
        </w:tc>
        <w:tc>
          <w:tcPr>
            <w:tcW w:w="1423" w:type="dxa"/>
          </w:tcPr>
          <w:p w14:paraId="027070C4" w14:textId="77777777" w:rsidR="00FF7EB3" w:rsidRPr="003E3325" w:rsidRDefault="00FF7EB3">
            <w:pPr>
              <w:spacing w:after="0" w:line="240" w:lineRule="auto"/>
              <w:jc w:val="center"/>
              <w:rPr>
                <w:rFonts w:eastAsia="Calibri" w:cstheme="minorHAnsi"/>
                <w:lang w:val="en-GB"/>
              </w:rPr>
            </w:pPr>
            <w:r w:rsidRPr="003E3325">
              <w:rPr>
                <w:rFonts w:eastAsia="Calibri" w:cstheme="minorHAnsi"/>
                <w:lang w:val="en-GB"/>
              </w:rPr>
              <w:t>-</w:t>
            </w:r>
          </w:p>
        </w:tc>
        <w:tc>
          <w:tcPr>
            <w:tcW w:w="1250" w:type="dxa"/>
          </w:tcPr>
          <w:p w14:paraId="2EA2B80A"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w:t>
            </w:r>
          </w:p>
        </w:tc>
        <w:tc>
          <w:tcPr>
            <w:tcW w:w="1284" w:type="dxa"/>
            <w:vMerge/>
            <w:shd w:val="clear" w:color="auto" w:fill="BFBFBF" w:themeFill="background1" w:themeFillShade="BF"/>
          </w:tcPr>
          <w:p w14:paraId="337B3140" w14:textId="77777777" w:rsidR="00FF7EB3" w:rsidRPr="007542F4" w:rsidRDefault="00FF7EB3">
            <w:pPr>
              <w:spacing w:after="0" w:line="240" w:lineRule="auto"/>
              <w:jc w:val="center"/>
              <w:rPr>
                <w:rFonts w:eastAsia="Calibri" w:cstheme="minorHAnsi"/>
                <w:lang w:val="en-GB"/>
              </w:rPr>
            </w:pPr>
          </w:p>
        </w:tc>
      </w:tr>
      <w:tr w:rsidR="00FF7EB3" w:rsidRPr="00C43E65" w14:paraId="71AB1B95" w14:textId="77777777" w:rsidTr="00D7163D">
        <w:trPr>
          <w:trHeight w:val="254"/>
        </w:trPr>
        <w:tc>
          <w:tcPr>
            <w:tcW w:w="8718" w:type="dxa"/>
            <w:gridSpan w:val="5"/>
          </w:tcPr>
          <w:p w14:paraId="33FAF481" w14:textId="77777777" w:rsidR="00FF7EB3" w:rsidRPr="003E3325" w:rsidRDefault="00FF7EB3" w:rsidP="00C62DFE">
            <w:pPr>
              <w:spacing w:after="0" w:line="240" w:lineRule="auto"/>
              <w:rPr>
                <w:rFonts w:eastAsia="Calibri" w:cstheme="minorHAnsi"/>
                <w:i/>
                <w:iCs/>
                <w:lang w:val="en-GB"/>
              </w:rPr>
            </w:pPr>
            <w:r w:rsidRPr="003E3325">
              <w:rPr>
                <w:rFonts w:eastAsia="Calibri" w:cstheme="minorHAnsi"/>
                <w:i/>
                <w:iCs/>
                <w:lang w:val="en-GB"/>
              </w:rPr>
              <w:t>Long-term survivor fraction</w:t>
            </w:r>
          </w:p>
        </w:tc>
        <w:tc>
          <w:tcPr>
            <w:tcW w:w="1250" w:type="dxa"/>
          </w:tcPr>
          <w:p w14:paraId="3D82C6CA" w14:textId="77777777" w:rsidR="00FF7EB3" w:rsidRPr="007542F4" w:rsidRDefault="00FF7EB3" w:rsidP="00C62DFE">
            <w:pPr>
              <w:spacing w:after="0" w:line="240" w:lineRule="auto"/>
              <w:jc w:val="center"/>
              <w:rPr>
                <w:rFonts w:eastAsia="Calibri" w:cstheme="minorHAnsi"/>
                <w:lang w:val="en-GB"/>
              </w:rPr>
            </w:pPr>
            <w:r w:rsidRPr="007542F4">
              <w:rPr>
                <w:rFonts w:eastAsia="Calibri" w:cstheme="minorHAnsi"/>
                <w:bCs/>
                <w:lang w:val="en-GB"/>
              </w:rPr>
              <w:t xml:space="preserve">23% </w:t>
            </w:r>
          </w:p>
        </w:tc>
        <w:tc>
          <w:tcPr>
            <w:tcW w:w="1284" w:type="dxa"/>
          </w:tcPr>
          <w:p w14:paraId="5D1109A0" w14:textId="77777777" w:rsidR="00FF7EB3" w:rsidRPr="007542F4" w:rsidRDefault="00FF7EB3" w:rsidP="00C62DFE">
            <w:pPr>
              <w:spacing w:after="0" w:line="240" w:lineRule="auto"/>
              <w:jc w:val="center"/>
              <w:rPr>
                <w:rFonts w:eastAsia="Calibri" w:cstheme="minorHAnsi"/>
                <w:lang w:val="en-GB"/>
              </w:rPr>
            </w:pPr>
            <w:r w:rsidRPr="007542F4">
              <w:rPr>
                <w:rFonts w:eastAsia="Calibri" w:cstheme="minorHAnsi"/>
                <w:bCs/>
                <w:lang w:val="en-GB"/>
              </w:rPr>
              <w:t xml:space="preserve">0% </w:t>
            </w:r>
          </w:p>
        </w:tc>
      </w:tr>
      <w:tr w:rsidR="00FF7EB3" w:rsidRPr="00C43E65" w14:paraId="2E5D0AD8" w14:textId="77777777" w:rsidTr="00D7163D">
        <w:trPr>
          <w:trHeight w:val="254"/>
        </w:trPr>
        <w:tc>
          <w:tcPr>
            <w:tcW w:w="1773" w:type="dxa"/>
          </w:tcPr>
          <w:p w14:paraId="4C4E28E0" w14:textId="77777777" w:rsidR="00FF7EB3" w:rsidRPr="007542F4" w:rsidRDefault="00FF7EB3" w:rsidP="00C62DFE">
            <w:pPr>
              <w:spacing w:after="0" w:line="240" w:lineRule="auto"/>
              <w:rPr>
                <w:rFonts w:eastAsia="Calibri" w:cstheme="minorHAnsi"/>
                <w:lang w:val="en-GB"/>
              </w:rPr>
            </w:pPr>
            <w:r w:rsidRPr="007542F4">
              <w:rPr>
                <w:rFonts w:eastAsia="Calibri" w:cstheme="minorHAnsi"/>
                <w:lang w:val="en-GB"/>
              </w:rPr>
              <w:t xml:space="preserve">PD-L1 ≥50% </w:t>
            </w:r>
          </w:p>
        </w:tc>
        <w:tc>
          <w:tcPr>
            <w:tcW w:w="2396" w:type="dxa"/>
          </w:tcPr>
          <w:p w14:paraId="6D82FC0E"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Pembrolizumab</w:t>
            </w:r>
          </w:p>
        </w:tc>
        <w:tc>
          <w:tcPr>
            <w:tcW w:w="1218" w:type="dxa"/>
          </w:tcPr>
          <w:p w14:paraId="550C8764"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PDCT</w:t>
            </w:r>
          </w:p>
        </w:tc>
        <w:tc>
          <w:tcPr>
            <w:tcW w:w="1908" w:type="dxa"/>
          </w:tcPr>
          <w:p w14:paraId="5CB2ED27"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0.50 (0.37 – 0.68)</w:t>
            </w:r>
          </w:p>
        </w:tc>
        <w:tc>
          <w:tcPr>
            <w:tcW w:w="1423" w:type="dxa"/>
          </w:tcPr>
          <w:p w14:paraId="5740EB9A" w14:textId="23B91A31" w:rsidR="00FF7EB3" w:rsidRPr="003E3325" w:rsidRDefault="00FF7EB3">
            <w:pPr>
              <w:spacing w:after="0" w:line="240" w:lineRule="auto"/>
              <w:rPr>
                <w:rFonts w:eastAsia="Calibri" w:cstheme="minorHAnsi"/>
                <w:lang w:val="en-GB"/>
              </w:rPr>
            </w:pPr>
            <w:r w:rsidRPr="003E3325">
              <w:rPr>
                <w:rFonts w:eastAsia="Calibri" w:cstheme="minorHAnsi"/>
                <w:lang w:val="en-GB"/>
              </w:rPr>
              <w:fldChar w:fldCharType="begin" w:fldLock="1"/>
            </w:r>
            <w:r w:rsidR="00315CD2">
              <w:rPr>
                <w:rFonts w:eastAsia="Calibri" w:cstheme="minorHAnsi"/>
                <w:lang w:val="en-GB"/>
              </w:rPr>
              <w:instrText>ADDIN CSL_CITATION {"citationItems":[{"id":"ITEM-1","itemData":{"DOI":"c","ISSN":"0028-4793","PMID":"27718847","abstract":"BACKGROUND Pembrolizumab is a humanized monoclonal antibody against programmed death 1 (PD-1) that has antitumor activity in advanced non-small-cell lung cancer (NSCLC), with increased activity in tumors that express programmed death ligand 1 (PD-L1). METHODS In this open-label, phase 3 trial, we randomly assigned 305 patients who had previously untreated advanced NSCLC with PD-L1 expression on at least 50% of tumor cells and no sensitizing mutation of the epidermal growth factor receptor gene or translocation of the anaplastic lymphoma kinase gene to receive either pembrolizumab (at a fixed dose of 200 mg every 3 weeks) or the investigator's choice of platinum-based chemotherapy. Crossover from the chemotherapy group to the pembrolizumab group was permitted in the event of disease progression. The primary end point, progression-free survival, was assessed by means of blinded, independent, central radiologic review. Secondary end points were overall survival, objective response rate, and safety. RESULTS Median progression-free survival was 10.3 months (95% confidence interval [CI], 6.7 to not reached) in the pembrolizumab group versus 6.0 months (95% CI, 4.2 to 6.2) in the chemotherapy group (hazard ratio for disease progression or death, 0.50; 95% CI, 0.37 to 0.68; P&lt;0.001). The estimated rate of overall survival at 6 months was 80.2% in the pembrolizumab group versus 72.4% in the chemotherapy group (hazard ratio for death, 0.60; 95% CI, 0.41 to 0.89; P=0.005). The response rate was higher in the pembrolizumab group than in the chemotherapy group (44.8% vs. 27.8%), the median duration of response was longer (not reached [range, 1.9+ to 14.5+ months] vs. 6.3 months [range, 2.1+ to 12.6+]), and treatment-related adverse events of any grade were less frequent (occurring in 73.4% vs. 90.0% of patients), as were grade 3, 4, or 5 treatment-related adverse events (26.6% vs. 53.3%). CONCLUSIONS In patients with advanced NSCLC and PD-L1 expression on at least 50% of tumor cells, pembrolizumab was associated with significantly longer progression-free and overall survival and with fewer adverse events than was platinum-based chemotherapy. (Funded by Merck; KEYNOTE-024 ClinicalTrials.gov number, NCT02142738 .).","author":[{"dropping-particle":"","family":"Reck","given":"Martin","non-dropping-particle":"","parse-names":false,"suffix":""},{"dropping-particle":"","family":"Rodríguez-Abreu","given":"Delvys","non-dropping-particle":"","parse-names":false,"suffix":""},{"dropping-particle":"","family":"Robinson","given":"Andrew G.","non-dropping-particle":"","parse-names":false,"suffix":""},{"dropping-particle":"","family":"Hui","given":"Rina","non-dropping-particle":"","parse-names":false,"suffix":""},{"dropping-particle":"","family":"Csőszi","given":"Tibor","non-dropping-particle":"","parse-names":false,"suffix":""},{"dropping-particle":"","family":"Fülöp","given":"Andrea","non-dropping-particle":"","parse-names":false,"suffix":""},{"dropping-particle":"","family":"Gottfried","given":"Maya","non-dropping-particle":"","parse-names":false,"suffix":""},{"dropping-particle":"","family":"Peled","given":"Nir","non-dropping-particle":"","parse-names":false,"suffix":""},{"dropping-particle":"","family":"Tafreshi","given":"Ali","non-dropping-particle":"","parse-names":false,"suffix":""},{"dropping-particle":"","family":"Cuffe","given":"Sinead","non-dropping-particle":"","parse-names":false,"suffix":""},{"dropping-particle":"","family":"O’Brien","given":"Mary","non-dropping-particle":"","parse-names":false,"suffix":""},{"dropping-particle":"","family":"Rao","given":"Suman","non-dropping-particle":"","parse-names":false,"suffix":""},{"dropping-particle":"","family":"Hotta","given":"Katsuyuki","non-dropping-particle":"","parse-names":false,"suffix":""},{"dropping-particle":"","family":"Leiby","given":"Melanie A.","non-dropping-particle":"","parse-names":false,"suffix":""},{"dropping-particle":"","family":"Lubiniecki","given":"Gregory M.","non-dropping-particle":"","parse-names":false,"suffix":""},{"dropping-particle":"","family":"Shentu","given":"Yue","non-dropping-particle":"","parse-names":false,"suffix":""},{"dropping-particle":"","family":"Rangwala","given":"Reshma","non-dropping-particle":"","parse-names":false,"suffix":""},{"dropping-particle":"","family":"Brahmer","given":"Julie R.","non-dropping-particle":"","parse-names":false,"suffix":""}],"container-title":"New England Journal of Medicine","id":"ITEM-1","issue":"19","issued":{"date-parts":[["2016","11","10"]]},"page":"1823-1833","title":"Pembrolizumab versus Chemotherapy for PD-L1–Positive Non–Small-Cell Lung Cancer","type":"article-journal","volume":"375"},"uris":["http://www.mendeley.com/documents/?uuid=0c09ac4f-12e8-4ada-8a5e-399b7e3a9594"]}],"mendeley":{"formattedCitation":"[36]","plainTextFormattedCitation":"[36]","previouslyFormattedCitation":"[36]"},"properties":{"noteIndex":0},"schema":"https://github.com/citation-style-language/schema/raw/master/csl-citation.json"}</w:instrText>
            </w:r>
            <w:r w:rsidRPr="003E3325">
              <w:rPr>
                <w:rFonts w:eastAsia="Calibri" w:cstheme="minorHAnsi"/>
                <w:lang w:val="en-GB"/>
              </w:rPr>
              <w:fldChar w:fldCharType="separate"/>
            </w:r>
            <w:r w:rsidR="009F237B" w:rsidRPr="009F237B">
              <w:rPr>
                <w:rFonts w:eastAsia="Calibri" w:cstheme="minorHAnsi"/>
                <w:noProof/>
                <w:lang w:val="en-GB"/>
              </w:rPr>
              <w:t>[36]</w:t>
            </w:r>
            <w:r w:rsidRPr="003E3325">
              <w:rPr>
                <w:rFonts w:eastAsia="Calibri" w:cstheme="minorHAnsi"/>
                <w:lang w:val="en-GB"/>
              </w:rPr>
              <w:fldChar w:fldCharType="end"/>
            </w:r>
          </w:p>
        </w:tc>
        <w:tc>
          <w:tcPr>
            <w:tcW w:w="1250" w:type="dxa"/>
          </w:tcPr>
          <w:p w14:paraId="709B4524"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0.7546</w:t>
            </w:r>
          </w:p>
        </w:tc>
        <w:tc>
          <w:tcPr>
            <w:tcW w:w="1284" w:type="dxa"/>
          </w:tcPr>
          <w:p w14:paraId="0FB859E3"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0.4070</w:t>
            </w:r>
          </w:p>
        </w:tc>
      </w:tr>
      <w:tr w:rsidR="00FF7EB3" w:rsidRPr="00C43E65" w14:paraId="1E1B1DA7" w14:textId="77777777" w:rsidTr="00D7163D">
        <w:trPr>
          <w:trHeight w:val="254"/>
        </w:trPr>
        <w:tc>
          <w:tcPr>
            <w:tcW w:w="1773" w:type="dxa"/>
          </w:tcPr>
          <w:p w14:paraId="4275CED8" w14:textId="77777777" w:rsidR="00FF7EB3" w:rsidRPr="007542F4" w:rsidRDefault="00FF7EB3" w:rsidP="00C62DFE">
            <w:pPr>
              <w:spacing w:after="0" w:line="240" w:lineRule="auto"/>
              <w:rPr>
                <w:rFonts w:eastAsia="Calibri" w:cstheme="minorHAnsi"/>
                <w:lang w:val="en-GB"/>
              </w:rPr>
            </w:pPr>
            <w:r w:rsidRPr="007542F4">
              <w:rPr>
                <w:rFonts w:eastAsia="Calibri" w:cstheme="minorHAnsi"/>
                <w:lang w:val="en-GB"/>
              </w:rPr>
              <w:t xml:space="preserve">PD-L1 ≥50% </w:t>
            </w:r>
          </w:p>
        </w:tc>
        <w:tc>
          <w:tcPr>
            <w:tcW w:w="2396" w:type="dxa"/>
          </w:tcPr>
          <w:p w14:paraId="3C8D0E29" w14:textId="77777777" w:rsidR="00FF7EB3" w:rsidRPr="007542F4" w:rsidRDefault="00FF7EB3">
            <w:pPr>
              <w:spacing w:after="0" w:line="240" w:lineRule="auto"/>
              <w:rPr>
                <w:rFonts w:eastAsia="Calibri" w:cstheme="minorHAnsi"/>
                <w:lang w:val="en-GB"/>
              </w:rPr>
            </w:pPr>
            <w:proofErr w:type="spellStart"/>
            <w:r w:rsidRPr="007542F4">
              <w:rPr>
                <w:rFonts w:eastAsia="Calibri" w:cstheme="minorHAnsi"/>
                <w:lang w:val="en-GB"/>
              </w:rPr>
              <w:t>Pembro</w:t>
            </w:r>
            <w:proofErr w:type="spellEnd"/>
            <w:r w:rsidRPr="007542F4">
              <w:rPr>
                <w:rFonts w:eastAsia="Calibri" w:cstheme="minorHAnsi"/>
                <w:lang w:val="en-GB"/>
              </w:rPr>
              <w:t xml:space="preserve"> &amp; Chemo</w:t>
            </w:r>
          </w:p>
        </w:tc>
        <w:tc>
          <w:tcPr>
            <w:tcW w:w="1218" w:type="dxa"/>
          </w:tcPr>
          <w:p w14:paraId="0A64FEA2"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PDCT</w:t>
            </w:r>
          </w:p>
        </w:tc>
        <w:tc>
          <w:tcPr>
            <w:tcW w:w="1908" w:type="dxa"/>
          </w:tcPr>
          <w:p w14:paraId="5F89481E"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0.36 (0.25 – 0.52)</w:t>
            </w:r>
          </w:p>
        </w:tc>
        <w:tc>
          <w:tcPr>
            <w:tcW w:w="1423" w:type="dxa"/>
          </w:tcPr>
          <w:p w14:paraId="30A09ABD" w14:textId="1C1F03CC" w:rsidR="00FF7EB3" w:rsidRPr="003E3325" w:rsidRDefault="00FF7EB3">
            <w:pPr>
              <w:spacing w:after="0" w:line="240" w:lineRule="auto"/>
              <w:rPr>
                <w:rFonts w:eastAsia="Calibri" w:cstheme="minorHAnsi"/>
                <w:lang w:val="en-GB"/>
              </w:rPr>
            </w:pPr>
            <w:r w:rsidRPr="003E3325">
              <w:rPr>
                <w:rFonts w:eastAsia="Calibri" w:cstheme="minorHAnsi"/>
                <w:lang w:val="en-GB"/>
              </w:rPr>
              <w:fldChar w:fldCharType="begin" w:fldLock="1"/>
            </w:r>
            <w:r w:rsidR="00315CD2">
              <w:rPr>
                <w:rFonts w:eastAsia="Calibri" w:cstheme="minorHAnsi"/>
                <w:lang w:val="en-GB"/>
              </w:rPr>
              <w:instrText>ADDIN CSL_CITATION {"citationItems":[{"id":"ITEM-1","itemData":{"DOI":"10.1056/NEJMoa1801005","ISSN":"0028-4793","PMID":"29658856","abstract":"Abstract Background First-line therapy for advanced non–small-cell lung cancer (NSCLC) that lacks targetable mutations is platinum-based chemotherapy. Among patients with a tumor proportion score for programmed death ligand 1 (PD-L1) of 50% or greater, pembrolizumab has replaced cytotoxic chemotherapy as the first-line treatment of choice. The addition of pembrolizumab to chemotherapy resulted in significantly higher rates of response and longer progression-free survival than chemotherapy alone in a phase 2 trial. Methods In this double-blind, phase 3 trial, we randomly assigned (in a 2:1 ratio) 616 patients with metastatic nonsquamous NSCLC without sensitizing EGFR or ALK mutations who had received no previous treatment for metastatic disease to receive pemetrexed and a platinum-based drug plus either 200 mg of pembrolizumab or placebo every 3 weeks for 4 cycles, followed by pembrolizumab or placebo for up to a total of 35 cycles plus pemetrexed maintenance therapy. Crossover to pembrolizumab monotherapy...","author":[{"dropping-particle":"","family":"Gandhi","given":"Leena","non-dropping-particle":"","parse-names":false,"suffix":""},{"dropping-particle":"","family":"Rodríguez-Abreu","given":"Delvys","non-dropping-particle":"","parse-names":false,"suffix":""},{"dropping-particle":"","family":"Gadgeel","given":"Shirish","non-dropping-particle":"","parse-names":false,"suffix":""},{"dropping-particle":"","family":"Esteban","given":"Emilio","non-dropping-particle":"","parse-names":false,"suffix":""},{"dropping-particle":"","family":"Felip","given":"Enriqueta","non-dropping-particle":"","parse-names":false,"suffix":""},{"dropping-particle":"","family":"Angelis","given":"Flávia","non-dropping-particle":"De","parse-names":false,"suffix":""},{"dropping-particle":"","family":"Domine","given":"Manuel","non-dropping-particle":"","parse-names":false,"suffix":""},{"dropping-particle":"","family":"Clingan","given":"Philip","non-dropping-particle":"","parse-names":false,"suffix":""},{"dropping-particle":"","family":"Hochmair","given":"Maximilian J.","non-dropping-particle":"","parse-names":false,"suffix":""},{"dropping-particle":"","family":"Powell","given":"Steven F.","non-dropping-particle":"","parse-names":false,"suffix":""},{"dropping-particle":"","family":"Cheng","given":"Susanna Y.-S.","non-dropping-particle":"","parse-names":false,"suffix":""},{"dropping-particle":"","family":"Bischoff","given":"Helge G.","non-dropping-particle":"","parse-names":false,"suffix":""},{"dropping-particle":"","family":"Peled","given":"Nir","non-dropping-particle":"","parse-names":false,"suffix":""},{"dropping-particle":"","family":"Grossi","given":"Francesco","non-dropping-particle":"","parse-names":false,"suffix":""},{"dropping-particle":"","family":"Jennens","given":"Ross R.","non-dropping-particle":"","parse-names":false,"suffix":""},{"dropping-particle":"","family":"Reck","given":"Martin","non-dropping-particle":"","parse-names":false,"suffix":""},{"dropping-particle":"","family":"Hui","given":"Rina","non-dropping-particle":"","parse-names":false,"suffix":""},{"dropping-particle":"","family":"Garon","given":"Edward B.","non-dropping-particle":"","parse-names":false,"suffix":""},{"dropping-particle":"","family":"Boyer","given":"Michael","non-dropping-particle":"","parse-names":false,"suffix":""},{"dropping-particle":"","family":"Rubio-Viqueira","given":"Belén","non-dropping-particle":"","parse-names":false,"suffix":""},{"dropping-particle":"","family":"Novello","given":"Silvia","non-dropping-particle":"","parse-names":false,"suffix":""},{"dropping-particle":"","family":"Kurata","given":"Takayasu","non-dropping-particle":"","parse-names":false,"suffix":""},{"dropping-particle":"","family":"Gray","given":"Jhanelle E.","non-dropping-particle":"","parse-names":false,"suffix":""},{"dropping-particle":"","family":"Vida","given":"John","non-dropping-particle":"","parse-names":false,"suffix":""},{"dropping-particle":"","family":"Wei","given":"Ziwen","non-dropping-particle":"","parse-names":false,"suffix":""},{"dropping-particle":"","family":"Yang","given":"Jing","non-dropping-particle":"","parse-names":false,"suffix":""},{"dropping-particle":"","family":"Raftopoulos","given":"Harry","non-dropping-particle":"","parse-names":false,"suffix":""},{"dropping-particle":"","family":"Pietanza","given":"M. Catherine","non-dropping-particle":"","parse-names":false,"suffix":""},{"dropping-particle":"","family":"Garassino","given":"Marina C.","non-dropping-particle":"","parse-names":false,"suffix":""}],"container-title":"New England Journal of Medicine","id":"ITEM-1","issue":"22","issued":{"date-parts":[["2018","5","31"]]},"page":"2078-2092","title":"Pembrolizumab plus Chemotherapy in Metastatic Non–Small-Cell Lung Cancer","type":"article-journal","volume":"378"},"uris":["http://www.mendeley.com/documents/?uuid=05b6e3c3-d099-4f95-af64-a54ed1bf8ab8"]}],"mendeley":{"formattedCitation":"[34]","plainTextFormattedCitation":"[34]","previouslyFormattedCitation":"[34]"},"properties":{"noteIndex":0},"schema":"https://github.com/citation-style-language/schema/raw/master/csl-citation.json"}</w:instrText>
            </w:r>
            <w:r w:rsidRPr="003E3325">
              <w:rPr>
                <w:rFonts w:eastAsia="Calibri" w:cstheme="minorHAnsi"/>
                <w:lang w:val="en-GB"/>
              </w:rPr>
              <w:fldChar w:fldCharType="separate"/>
            </w:r>
            <w:r w:rsidR="009F237B" w:rsidRPr="009F237B">
              <w:rPr>
                <w:rFonts w:eastAsia="Calibri" w:cstheme="minorHAnsi"/>
                <w:noProof/>
                <w:lang w:val="en-GB"/>
              </w:rPr>
              <w:t>[34]</w:t>
            </w:r>
            <w:r w:rsidRPr="003E3325">
              <w:rPr>
                <w:rFonts w:eastAsia="Calibri" w:cstheme="minorHAnsi"/>
                <w:lang w:val="en-GB"/>
              </w:rPr>
              <w:fldChar w:fldCharType="end"/>
            </w:r>
          </w:p>
        </w:tc>
        <w:tc>
          <w:tcPr>
            <w:tcW w:w="1250" w:type="dxa"/>
          </w:tcPr>
          <w:p w14:paraId="1C5D1775"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0.4376</w:t>
            </w:r>
          </w:p>
        </w:tc>
        <w:tc>
          <w:tcPr>
            <w:tcW w:w="1284" w:type="dxa"/>
          </w:tcPr>
          <w:p w14:paraId="3A59B254"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0.1995</w:t>
            </w:r>
          </w:p>
        </w:tc>
      </w:tr>
      <w:tr w:rsidR="00FF7EB3" w:rsidRPr="00C43E65" w14:paraId="19ED9EC3" w14:textId="77777777" w:rsidTr="00D7163D">
        <w:trPr>
          <w:trHeight w:val="67"/>
        </w:trPr>
        <w:tc>
          <w:tcPr>
            <w:tcW w:w="1773" w:type="dxa"/>
          </w:tcPr>
          <w:p w14:paraId="114D610B" w14:textId="61908445" w:rsidR="00FF7EB3" w:rsidRPr="007542F4" w:rsidRDefault="00FF7EB3" w:rsidP="00C62DFE">
            <w:pPr>
              <w:spacing w:after="0" w:line="240" w:lineRule="auto"/>
              <w:rPr>
                <w:rFonts w:eastAsia="Calibri" w:cstheme="minorHAnsi"/>
                <w:lang w:val="en-GB"/>
              </w:rPr>
            </w:pPr>
            <w:r w:rsidRPr="007542F4">
              <w:rPr>
                <w:rFonts w:eastAsia="Calibri" w:cstheme="minorHAnsi"/>
                <w:lang w:val="en-GB"/>
              </w:rPr>
              <w:t xml:space="preserve">PD-L1 1-49% </w:t>
            </w:r>
          </w:p>
        </w:tc>
        <w:tc>
          <w:tcPr>
            <w:tcW w:w="2396" w:type="dxa"/>
          </w:tcPr>
          <w:p w14:paraId="6090A083" w14:textId="77777777" w:rsidR="00FF7EB3" w:rsidRPr="007542F4" w:rsidRDefault="00FF7EB3">
            <w:pPr>
              <w:spacing w:after="0" w:line="240" w:lineRule="auto"/>
              <w:rPr>
                <w:rFonts w:eastAsia="Calibri" w:cstheme="minorHAnsi"/>
                <w:lang w:val="en-GB"/>
              </w:rPr>
            </w:pPr>
            <w:proofErr w:type="spellStart"/>
            <w:r w:rsidRPr="007542F4">
              <w:rPr>
                <w:rFonts w:eastAsia="Calibri" w:cstheme="minorHAnsi"/>
                <w:lang w:val="en-GB"/>
              </w:rPr>
              <w:t>Pembro</w:t>
            </w:r>
            <w:proofErr w:type="spellEnd"/>
            <w:r w:rsidRPr="007542F4">
              <w:rPr>
                <w:rFonts w:eastAsia="Calibri" w:cstheme="minorHAnsi"/>
                <w:lang w:val="en-GB"/>
              </w:rPr>
              <w:t xml:space="preserve"> &amp; Chemo</w:t>
            </w:r>
          </w:p>
        </w:tc>
        <w:tc>
          <w:tcPr>
            <w:tcW w:w="1218" w:type="dxa"/>
          </w:tcPr>
          <w:p w14:paraId="276AA04D" w14:textId="77777777" w:rsidR="00FF7EB3" w:rsidRPr="007542F4" w:rsidRDefault="00FF7EB3">
            <w:pPr>
              <w:spacing w:after="0" w:line="240" w:lineRule="auto"/>
              <w:rPr>
                <w:rFonts w:eastAsia="Calibri" w:cstheme="minorHAnsi"/>
                <w:lang w:val="en-GB"/>
              </w:rPr>
            </w:pPr>
            <w:r w:rsidRPr="007542F4">
              <w:rPr>
                <w:rFonts w:eastAsia="Calibri" w:cstheme="minorHAnsi"/>
                <w:lang w:val="en-GB"/>
              </w:rPr>
              <w:t>PDCT</w:t>
            </w:r>
          </w:p>
        </w:tc>
        <w:tc>
          <w:tcPr>
            <w:tcW w:w="1908" w:type="dxa"/>
          </w:tcPr>
          <w:p w14:paraId="4094743A"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0.55 (0.34 – 0.90)</w:t>
            </w:r>
          </w:p>
        </w:tc>
        <w:tc>
          <w:tcPr>
            <w:tcW w:w="1423" w:type="dxa"/>
          </w:tcPr>
          <w:p w14:paraId="1A3BAF23" w14:textId="37A414F0" w:rsidR="00FF7EB3" w:rsidRPr="003E3325" w:rsidRDefault="00FF7EB3">
            <w:pPr>
              <w:spacing w:after="0" w:line="240" w:lineRule="auto"/>
              <w:rPr>
                <w:rFonts w:eastAsia="Calibri" w:cstheme="minorHAnsi"/>
                <w:lang w:val="en-GB"/>
              </w:rPr>
            </w:pPr>
            <w:r w:rsidRPr="003E3325">
              <w:rPr>
                <w:rFonts w:eastAsia="Calibri" w:cstheme="minorHAnsi"/>
                <w:lang w:val="en-GB"/>
              </w:rPr>
              <w:fldChar w:fldCharType="begin" w:fldLock="1"/>
            </w:r>
            <w:r w:rsidR="00315CD2">
              <w:rPr>
                <w:rFonts w:eastAsia="Calibri" w:cstheme="minorHAnsi"/>
                <w:lang w:val="en-GB"/>
              </w:rPr>
              <w:instrText>ADDIN CSL_CITATION {"citationItems":[{"id":"ITEM-1","itemData":{"DOI":"10.1056/NEJMoa1801005","ISSN":"0028-4793","PMID":"29658856","abstract":"Abstract Background First-line therapy for advanced non–small-cell lung cancer (NSCLC) that lacks targetable mutations is platinum-based chemotherapy. Among patients with a tumor proportion score for programmed death ligand 1 (PD-L1) of 50% or greater, pembrolizumab has replaced cytotoxic chemotherapy as the first-line treatment of choice. The addition of pembrolizumab to chemotherapy resulted in significantly higher rates of response and longer progression-free survival than chemotherapy alone in a phase 2 trial. Methods In this double-blind, phase 3 trial, we randomly assigned (in a 2:1 ratio) 616 patients with metastatic nonsquamous NSCLC without sensitizing EGFR or ALK mutations who had received no previous treatment for metastatic disease to receive pemetrexed and a platinum-based drug plus either 200 mg of pembrolizumab or placebo every 3 weeks for 4 cycles, followed by pembrolizumab or placebo for up to a total of 35 cycles plus pemetrexed maintenance therapy. Crossover to pembrolizumab monotherapy...","author":[{"dropping-particle":"","family":"Gandhi","given":"Leena","non-dropping-particle":"","parse-names":false,"suffix":""},{"dropping-particle":"","family":"Rodríguez-Abreu","given":"Delvys","non-dropping-particle":"","parse-names":false,"suffix":""},{"dropping-particle":"","family":"Gadgeel","given":"Shirish","non-dropping-particle":"","parse-names":false,"suffix":""},{"dropping-particle":"","family":"Esteban","given":"Emilio","non-dropping-particle":"","parse-names":false,"suffix":""},{"dropping-particle":"","family":"Felip","given":"Enriqueta","non-dropping-particle":"","parse-names":false,"suffix":""},{"dropping-particle":"","family":"Angelis","given":"Flávia","non-dropping-particle":"De","parse-names":false,"suffix":""},{"dropping-particle":"","family":"Domine","given":"Manuel","non-dropping-particle":"","parse-names":false,"suffix":""},{"dropping-particle":"","family":"Clingan","given":"Philip","non-dropping-particle":"","parse-names":false,"suffix":""},{"dropping-particle":"","family":"Hochmair","given":"Maximilian J.","non-dropping-particle":"","parse-names":false,"suffix":""},{"dropping-particle":"","family":"Powell","given":"Steven F.","non-dropping-particle":"","parse-names":false,"suffix":""},{"dropping-particle":"","family":"Cheng","given":"Susanna Y.-S.","non-dropping-particle":"","parse-names":false,"suffix":""},{"dropping-particle":"","family":"Bischoff","given":"Helge G.","non-dropping-particle":"","parse-names":false,"suffix":""},{"dropping-particle":"","family":"Peled","given":"Nir","non-dropping-particle":"","parse-names":false,"suffix":""},{"dropping-particle":"","family":"Grossi","given":"Francesco","non-dropping-particle":"","parse-names":false,"suffix":""},{"dropping-particle":"","family":"Jennens","given":"Ross R.","non-dropping-particle":"","parse-names":false,"suffix":""},{"dropping-particle":"","family":"Reck","given":"Martin","non-dropping-particle":"","parse-names":false,"suffix":""},{"dropping-particle":"","family":"Hui","given":"Rina","non-dropping-particle":"","parse-names":false,"suffix":""},{"dropping-particle":"","family":"Garon","given":"Edward B.","non-dropping-particle":"","parse-names":false,"suffix":""},{"dropping-particle":"","family":"Boyer","given":"Michael","non-dropping-particle":"","parse-names":false,"suffix":""},{"dropping-particle":"","family":"Rubio-Viqueira","given":"Belén","non-dropping-particle":"","parse-names":false,"suffix":""},{"dropping-particle":"","family":"Novello","given":"Silvia","non-dropping-particle":"","parse-names":false,"suffix":""},{"dropping-particle":"","family":"Kurata","given":"Takayasu","non-dropping-particle":"","parse-names":false,"suffix":""},{"dropping-particle":"","family":"Gray","given":"Jhanelle E.","non-dropping-particle":"","parse-names":false,"suffix":""},{"dropping-particle":"","family":"Vida","given":"John","non-dropping-particle":"","parse-names":false,"suffix":""},{"dropping-particle":"","family":"Wei","given":"Ziwen","non-dropping-particle":"","parse-names":false,"suffix":""},{"dropping-particle":"","family":"Yang","given":"Jing","non-dropping-particle":"","parse-names":false,"suffix":""},{"dropping-particle":"","family":"Raftopoulos","given":"Harry","non-dropping-particle":"","parse-names":false,"suffix":""},{"dropping-particle":"","family":"Pietanza","given":"M. Catherine","non-dropping-particle":"","parse-names":false,"suffix":""},{"dropping-particle":"","family":"Garassino","given":"Marina C.","non-dropping-particle":"","parse-names":false,"suffix":""}],"container-title":"New England Journal of Medicine","id":"ITEM-1","issue":"22","issued":{"date-parts":[["2018","5","31"]]},"page":"2078-2092","title":"Pembrolizumab plus Chemotherapy in Metastatic Non–Small-Cell Lung Cancer","type":"article-journal","volume":"378"},"uris":["http://www.mendeley.com/documents/?uuid=05b6e3c3-d099-4f95-af64-a54ed1bf8ab8"]}],"mendeley":{"formattedCitation":"[34]","plainTextFormattedCitation":"[34]","previouslyFormattedCitation":"[34]"},"properties":{"noteIndex":0},"schema":"https://github.com/citation-style-language/schema/raw/master/csl-citation.json"}</w:instrText>
            </w:r>
            <w:r w:rsidRPr="003E3325">
              <w:rPr>
                <w:rFonts w:eastAsia="Calibri" w:cstheme="minorHAnsi"/>
                <w:lang w:val="en-GB"/>
              </w:rPr>
              <w:fldChar w:fldCharType="separate"/>
            </w:r>
            <w:r w:rsidR="009F237B" w:rsidRPr="009F237B">
              <w:rPr>
                <w:rFonts w:eastAsia="Calibri" w:cstheme="minorHAnsi"/>
                <w:noProof/>
                <w:lang w:val="en-GB"/>
              </w:rPr>
              <w:t>[34]</w:t>
            </w:r>
            <w:r w:rsidRPr="003E3325">
              <w:rPr>
                <w:rFonts w:eastAsia="Calibri" w:cstheme="minorHAnsi"/>
                <w:lang w:val="en-GB"/>
              </w:rPr>
              <w:fldChar w:fldCharType="end"/>
            </w:r>
            <w:r w:rsidRPr="003E3325">
              <w:rPr>
                <w:rFonts w:eastAsia="Calibri" w:cstheme="minorHAnsi"/>
                <w:lang w:val="en-GB"/>
              </w:rPr>
              <w:t xml:space="preserve"> </w:t>
            </w:r>
          </w:p>
        </w:tc>
        <w:tc>
          <w:tcPr>
            <w:tcW w:w="1250" w:type="dxa"/>
          </w:tcPr>
          <w:p w14:paraId="7EBA91ED"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0.8715</w:t>
            </w:r>
          </w:p>
        </w:tc>
        <w:tc>
          <w:tcPr>
            <w:tcW w:w="1284" w:type="dxa"/>
          </w:tcPr>
          <w:p w14:paraId="567D247C" w14:textId="77777777" w:rsidR="00FF7EB3" w:rsidRPr="007542F4" w:rsidRDefault="00FF7EB3">
            <w:pPr>
              <w:spacing w:after="0" w:line="240" w:lineRule="auto"/>
              <w:jc w:val="center"/>
              <w:rPr>
                <w:rFonts w:eastAsia="Calibri" w:cstheme="minorHAnsi"/>
                <w:lang w:val="en-GB"/>
              </w:rPr>
            </w:pPr>
            <w:r w:rsidRPr="007542F4">
              <w:rPr>
                <w:rFonts w:eastAsia="Calibri" w:cstheme="minorHAnsi"/>
                <w:lang w:val="en-GB"/>
              </w:rPr>
              <w:t>0.4726</w:t>
            </w:r>
          </w:p>
        </w:tc>
      </w:tr>
    </w:tbl>
    <w:p w14:paraId="4BF06007" w14:textId="321D248C" w:rsidR="00FF7EB3" w:rsidRPr="00E70A58" w:rsidRDefault="0055436F" w:rsidP="00D7163D">
      <w:pPr>
        <w:spacing w:after="0" w:line="480" w:lineRule="auto"/>
        <w:ind w:right="2759"/>
        <w:jc w:val="both"/>
        <w:rPr>
          <w:rFonts w:ascii="Calibri" w:eastAsia="Calibri" w:hAnsi="Calibri" w:cs="Times New Roman"/>
          <w:sz w:val="18"/>
          <w:szCs w:val="18"/>
          <w:lang w:val="en-GB"/>
        </w:rPr>
      </w:pPr>
      <w:r>
        <w:rPr>
          <w:rFonts w:ascii="Calibri" w:eastAsia="Calibri" w:hAnsi="Calibri" w:cs="Times New Roman"/>
          <w:sz w:val="18"/>
          <w:szCs w:val="18"/>
          <w:lang w:val="en-GB"/>
        </w:rPr>
        <w:t xml:space="preserve">1L Treat, first-line treatment; Control, control arm treatment in randomized control trial (RCT); </w:t>
      </w:r>
      <w:r w:rsidR="00FF7EB3" w:rsidRPr="00E70A58">
        <w:rPr>
          <w:rFonts w:ascii="Calibri" w:eastAsia="Calibri" w:hAnsi="Calibri" w:cs="Times New Roman"/>
          <w:sz w:val="18"/>
          <w:szCs w:val="18"/>
          <w:lang w:val="en-GB"/>
        </w:rPr>
        <w:t xml:space="preserve">PFS HR, progression free hazard rate; </w:t>
      </w:r>
      <w:proofErr w:type="spellStart"/>
      <w:r w:rsidR="00FF7EB3" w:rsidRPr="00E70A58">
        <w:rPr>
          <w:rFonts w:ascii="Calibri" w:eastAsia="Calibri" w:hAnsi="Calibri" w:cs="Times New Roman"/>
          <w:sz w:val="18"/>
          <w:szCs w:val="18"/>
          <w:lang w:val="en-GB"/>
        </w:rPr>
        <w:t>inHR</w:t>
      </w:r>
      <w:proofErr w:type="spellEnd"/>
      <w:r w:rsidR="00FF7EB3" w:rsidRPr="00E70A58">
        <w:rPr>
          <w:rFonts w:ascii="Calibri" w:eastAsia="Calibri" w:hAnsi="Calibri" w:cs="Times New Roman"/>
          <w:sz w:val="18"/>
          <w:szCs w:val="18"/>
          <w:lang w:val="en-GB"/>
        </w:rPr>
        <w:t xml:space="preserve">, calibrated hazard rate used in Truncated Gompertz distribution to simulate cohort with novel treatment effect as the one observed in RCT (i.e., PF HR). </w:t>
      </w:r>
    </w:p>
    <w:p w14:paraId="5FA0C76E" w14:textId="4C75743A" w:rsidR="00FF7EB3" w:rsidRPr="00E70A58" w:rsidRDefault="00536FCE" w:rsidP="00AB7D4E">
      <w:pPr>
        <w:spacing w:after="0" w:line="480" w:lineRule="auto"/>
        <w:ind w:right="1058"/>
        <w:jc w:val="both"/>
        <w:rPr>
          <w:rFonts w:ascii="Calibri" w:eastAsia="Calibri" w:hAnsi="Calibri" w:cs="Times New Roman"/>
          <w:sz w:val="18"/>
          <w:szCs w:val="18"/>
          <w:lang w:val="en-GB"/>
        </w:rPr>
      </w:pPr>
      <w:r>
        <w:rPr>
          <w:rFonts w:ascii="Calibri" w:eastAsia="Calibri" w:hAnsi="Calibri" w:cs="Times New Roman"/>
          <w:sz w:val="18"/>
          <w:szCs w:val="18"/>
          <w:vertAlign w:val="superscript"/>
          <w:lang w:val="en-GB"/>
        </w:rPr>
        <w:t>a</w:t>
      </w:r>
      <w:r w:rsidR="00FF7EB3" w:rsidRPr="00E70A58">
        <w:rPr>
          <w:rFonts w:ascii="Calibri" w:eastAsia="Calibri" w:hAnsi="Calibri" w:cs="Times New Roman"/>
          <w:sz w:val="18"/>
          <w:szCs w:val="18"/>
          <w:lang w:val="en-GB"/>
        </w:rPr>
        <w:t xml:space="preserve"> Classic activating EGFR mutations (exon 19 deletions and exon 21 L858R point mutations).</w:t>
      </w:r>
    </w:p>
    <w:p w14:paraId="360FAD77" w14:textId="67009390" w:rsidR="00FF7EB3" w:rsidRPr="00E70A58" w:rsidRDefault="00536FCE" w:rsidP="00282DA2">
      <w:pPr>
        <w:spacing w:after="0" w:line="480" w:lineRule="auto"/>
        <w:ind w:right="1058"/>
        <w:jc w:val="both"/>
        <w:rPr>
          <w:rFonts w:ascii="Calibri" w:eastAsia="Calibri" w:hAnsi="Calibri" w:cs="Times New Roman"/>
          <w:sz w:val="18"/>
          <w:szCs w:val="18"/>
          <w:lang w:val="en-GB"/>
        </w:rPr>
      </w:pPr>
      <w:r>
        <w:rPr>
          <w:rFonts w:ascii="Calibri" w:eastAsia="Calibri" w:hAnsi="Calibri" w:cs="Times New Roman"/>
          <w:sz w:val="18"/>
          <w:szCs w:val="18"/>
          <w:vertAlign w:val="superscript"/>
          <w:lang w:val="en-GB"/>
        </w:rPr>
        <w:t xml:space="preserve">b </w:t>
      </w:r>
      <w:r w:rsidR="00FF7EB3" w:rsidRPr="00E70A58">
        <w:rPr>
          <w:rFonts w:ascii="Calibri" w:eastAsia="Calibri" w:hAnsi="Calibri" w:cs="Times New Roman"/>
          <w:sz w:val="18"/>
          <w:szCs w:val="18"/>
          <w:lang w:val="en-GB"/>
        </w:rPr>
        <w:t>Non- classic activating EGFR mutations, resistance mutations, and other mutations.</w:t>
      </w:r>
    </w:p>
    <w:p w14:paraId="127E744B" w14:textId="0B4F3EB7" w:rsidR="00FF7EB3" w:rsidRPr="00E70A58" w:rsidRDefault="00536FCE" w:rsidP="009E5143">
      <w:pPr>
        <w:spacing w:after="0" w:line="480" w:lineRule="auto"/>
        <w:ind w:right="1058"/>
        <w:jc w:val="both"/>
        <w:rPr>
          <w:rFonts w:ascii="Calibri" w:eastAsia="Calibri" w:hAnsi="Calibri" w:cs="Times New Roman"/>
          <w:sz w:val="18"/>
          <w:szCs w:val="18"/>
          <w:lang w:val="en-GB"/>
        </w:rPr>
      </w:pPr>
      <w:r>
        <w:rPr>
          <w:rFonts w:ascii="Calibri" w:eastAsia="Calibri" w:hAnsi="Calibri" w:cs="Times New Roman"/>
          <w:sz w:val="18"/>
          <w:szCs w:val="18"/>
          <w:vertAlign w:val="superscript"/>
          <w:lang w:val="en-GB"/>
        </w:rPr>
        <w:t>c</w:t>
      </w:r>
      <w:r w:rsidR="00FF7EB3" w:rsidRPr="00E70A58">
        <w:rPr>
          <w:rFonts w:ascii="Calibri" w:eastAsia="Calibri" w:hAnsi="Calibri" w:cs="Times New Roman"/>
          <w:sz w:val="18"/>
          <w:szCs w:val="18"/>
          <w:lang w:val="en-GB"/>
        </w:rPr>
        <w:t xml:space="preserve"> Special request to the author to provide PFS HR, method used can be obtain</w:t>
      </w:r>
      <w:r w:rsidR="00FF7EB3">
        <w:rPr>
          <w:rFonts w:ascii="Calibri" w:eastAsia="Calibri" w:hAnsi="Calibri" w:cs="Times New Roman"/>
          <w:sz w:val="18"/>
          <w:szCs w:val="18"/>
          <w:lang w:val="en-GB"/>
        </w:rPr>
        <w:t>ed</w:t>
      </w:r>
      <w:r w:rsidR="00FF7EB3" w:rsidRPr="00E70A58">
        <w:rPr>
          <w:rFonts w:ascii="Calibri" w:eastAsia="Calibri" w:hAnsi="Calibri" w:cs="Times New Roman"/>
          <w:sz w:val="18"/>
          <w:szCs w:val="18"/>
          <w:lang w:val="en-GB"/>
        </w:rPr>
        <w:t xml:space="preserve"> </w:t>
      </w:r>
      <w:r w:rsidR="00FF7EB3">
        <w:rPr>
          <w:rFonts w:ascii="Calibri" w:eastAsia="Calibri" w:hAnsi="Calibri" w:cs="Times New Roman"/>
          <w:sz w:val="18"/>
          <w:szCs w:val="18"/>
          <w:lang w:val="en-GB"/>
        </w:rPr>
        <w:t>from</w:t>
      </w:r>
      <w:r w:rsidR="00FF7EB3" w:rsidRPr="00E70A58">
        <w:rPr>
          <w:rFonts w:ascii="Calibri" w:eastAsia="Calibri" w:hAnsi="Calibri" w:cs="Times New Roman"/>
          <w:sz w:val="18"/>
          <w:szCs w:val="18"/>
          <w:lang w:val="en-GB"/>
        </w:rPr>
        <w:t xml:space="preserve"> original work of </w:t>
      </w:r>
      <w:r w:rsidR="00FF7EB3" w:rsidRPr="00E70A58">
        <w:rPr>
          <w:rFonts w:ascii="Calibri" w:eastAsia="Calibri" w:hAnsi="Calibri" w:cs="Times New Roman"/>
          <w:sz w:val="18"/>
          <w:szCs w:val="18"/>
          <w:lang w:val="en-GB"/>
        </w:rPr>
        <w:fldChar w:fldCharType="begin" w:fldLock="1"/>
      </w:r>
      <w:r w:rsidR="00315CD2">
        <w:rPr>
          <w:rFonts w:ascii="Calibri" w:eastAsia="Calibri" w:hAnsi="Calibri" w:cs="Times New Roman"/>
          <w:sz w:val="18"/>
          <w:szCs w:val="18"/>
          <w:lang w:val="en-GB"/>
        </w:rPr>
        <w:instrText>ADDIN CSL_CITATION {"citationItems":[{"id":"ITEM-1","itemData":{"DOI":"10.1016/j.critrevonc.2020.103035","ISSN":"10408428","abstract":"Outcomes used for the effectiveness (median) and cost-effectiveness (mean) on overall survival (OS) are different and can vary from one another. Therefore, we compared median and mean OS gains of targeted therapies and immunotherapies for stage IIIB/IV Non-small cell lung cancer and explored underlying aspect. Eligible trials were searched in PubMed, survival curves were digitized, and parametric survival models fitted to model the mean OS. Twenty-seven trials were found for targeted therapies (n = 17) and immunotherapies (n = 10). Differences between median and mean OS gains in months ranged from −2.8 to 6.8 and −4.9 to 0.3 for two different subgroups of targeted therapies, and −2.4 to 11.4 for immunotherapies. The mean OS gain was substantially larger for most immunotherapy trials, due to relatively long survival. Median and mean OS gains did not differ for targeted therapies. Our findings imply a potential discrepancy between the estimates of effectiveness and cost-effectiveness of cancer treatments.","author":[{"dropping-particle":"","family":"Simons","given":"Martijn","non-dropping-particle":"","parse-names":false,"suffix":""},{"dropping-particle":"","family":"Ramaekers","given":"Bram","non-dropping-particle":"","parse-names":false,"suffix":""},{"dropping-particle":"","family":"Peeters","given":"Andrea","non-dropping-particle":"","parse-names":false,"suffix":""},{"dropping-particle":"","family":"Mankor","given":"Joanne","non-dropping-particle":"","parse-names":false,"suffix":""},{"dropping-particle":"","family":"Paats","given":"Marthe","non-dropping-particle":"","parse-names":false,"suffix":""},{"dropping-particle":"","family":"Aerts","given":"Joachim","non-dropping-particle":"","parse-names":false,"suffix":""},{"dropping-particle":"","family":"Harten","given":"Wim","non-dropping-particle":"van","parse-names":false,"suffix":""},{"dropping-particle":"","family":"Retèl","given":"Valesca","non-dropping-particle":"","parse-names":false,"suffix":""},{"dropping-particle":"","family":"Joore","given":"Manuela","non-dropping-particle":"","parse-names":false,"suffix":""}],"container-title":"Critical Reviews in Oncology/Hematology","id":"ITEM-1","issue":"June","issued":{"date-parts":[["2020","9"]]},"page":"103035","publisher":"Elsevier","title":"Observed versus modelled lifetime overall survival of targeted therapies and immunotherapies for advanced non-small cell lung cancer patients – A systematic review","type":"article-journal","volume":"153"},"uris":["http://www.mendeley.com/documents/?uuid=0720c12c-2d7c-46fe-9a8d-a3f6fc3c7672"]}],"mendeley":{"formattedCitation":"[38]","plainTextFormattedCitation":"[38]","previouslyFormattedCitation":"[38]"},"properties":{"noteIndex":0},"schema":"https://github.com/citation-style-language/schema/raw/master/csl-citation.json"}</w:instrText>
      </w:r>
      <w:r w:rsidR="00FF7EB3" w:rsidRPr="00E70A58">
        <w:rPr>
          <w:rFonts w:ascii="Calibri" w:eastAsia="Calibri" w:hAnsi="Calibri" w:cs="Times New Roman"/>
          <w:sz w:val="18"/>
          <w:szCs w:val="18"/>
          <w:lang w:val="en-GB"/>
        </w:rPr>
        <w:fldChar w:fldCharType="separate"/>
      </w:r>
      <w:r w:rsidR="009F237B" w:rsidRPr="009F237B">
        <w:rPr>
          <w:rFonts w:ascii="Calibri" w:eastAsia="Calibri" w:hAnsi="Calibri" w:cs="Times New Roman"/>
          <w:noProof/>
          <w:sz w:val="18"/>
          <w:szCs w:val="18"/>
          <w:lang w:val="en-GB"/>
        </w:rPr>
        <w:t>[38]</w:t>
      </w:r>
      <w:r w:rsidR="00FF7EB3" w:rsidRPr="00E70A58">
        <w:rPr>
          <w:rFonts w:ascii="Calibri" w:eastAsia="Calibri" w:hAnsi="Calibri" w:cs="Times New Roman"/>
          <w:sz w:val="18"/>
          <w:szCs w:val="18"/>
          <w:lang w:val="en-GB"/>
        </w:rPr>
        <w:fldChar w:fldCharType="end"/>
      </w:r>
      <w:r w:rsidR="00FF7EB3" w:rsidRPr="00E70A58">
        <w:rPr>
          <w:rFonts w:ascii="Calibri" w:eastAsia="Calibri" w:hAnsi="Calibri" w:cs="Times New Roman"/>
          <w:sz w:val="18"/>
          <w:szCs w:val="18"/>
          <w:lang w:val="en-GB"/>
        </w:rPr>
        <w:t>.</w:t>
      </w:r>
    </w:p>
    <w:p w14:paraId="18400E5B" w14:textId="3D01581B" w:rsidR="00FF7EB3" w:rsidRPr="00E70A58" w:rsidRDefault="00536FCE" w:rsidP="0069376F">
      <w:pPr>
        <w:spacing w:after="0" w:line="480" w:lineRule="auto"/>
        <w:ind w:right="1058"/>
        <w:jc w:val="both"/>
        <w:rPr>
          <w:rFonts w:ascii="Calibri" w:eastAsia="Calibri" w:hAnsi="Calibri" w:cs="Times New Roman"/>
          <w:sz w:val="18"/>
          <w:szCs w:val="18"/>
          <w:lang w:val="en-GB"/>
        </w:rPr>
      </w:pPr>
      <w:r>
        <w:rPr>
          <w:rFonts w:ascii="Calibri" w:eastAsia="Calibri" w:hAnsi="Calibri" w:cs="Times New Roman"/>
          <w:sz w:val="18"/>
          <w:szCs w:val="18"/>
          <w:vertAlign w:val="superscript"/>
          <w:lang w:val="en-GB"/>
        </w:rPr>
        <w:lastRenderedPageBreak/>
        <w:t>d</w:t>
      </w:r>
      <w:r w:rsidR="00FF7EB3" w:rsidRPr="00E70A58">
        <w:rPr>
          <w:rFonts w:ascii="Calibri" w:eastAsia="Calibri" w:hAnsi="Calibri" w:cs="Times New Roman"/>
          <w:sz w:val="18"/>
          <w:szCs w:val="18"/>
          <w:lang w:val="en-GB"/>
        </w:rPr>
        <w:t xml:space="preserve"> Direct comparison to PDCT: - 0.47*0.45 = 0.212.</w:t>
      </w:r>
    </w:p>
    <w:p w14:paraId="6C7379DF" w14:textId="17CD46A6" w:rsidR="00FF7EB3" w:rsidRPr="00E70A58" w:rsidRDefault="00536FCE" w:rsidP="0069376F">
      <w:pPr>
        <w:spacing w:after="0" w:line="480" w:lineRule="auto"/>
        <w:ind w:right="1058"/>
        <w:jc w:val="both"/>
        <w:rPr>
          <w:rFonts w:ascii="Calibri" w:eastAsia="Calibri" w:hAnsi="Calibri" w:cs="Calibri"/>
          <w:sz w:val="18"/>
          <w:szCs w:val="18"/>
          <w:lang w:val="en-GB"/>
        </w:rPr>
      </w:pPr>
      <w:r>
        <w:rPr>
          <w:rFonts w:ascii="Calibri" w:eastAsia="Calibri" w:hAnsi="Calibri" w:cs="Calibri"/>
          <w:sz w:val="18"/>
          <w:szCs w:val="18"/>
          <w:vertAlign w:val="superscript"/>
          <w:lang w:val="en-GB"/>
        </w:rPr>
        <w:t>e</w:t>
      </w:r>
      <w:r w:rsidR="00FF7EB3" w:rsidRPr="00E70A58">
        <w:rPr>
          <w:rFonts w:ascii="Calibri" w:eastAsia="Calibri" w:hAnsi="Calibri" w:cs="Calibri"/>
          <w:sz w:val="18"/>
          <w:szCs w:val="18"/>
          <w:lang w:val="en-GB"/>
        </w:rPr>
        <w:t xml:space="preserve"> </w:t>
      </w:r>
      <w:r w:rsidR="00FF7EB3" w:rsidRPr="00E70A58">
        <w:rPr>
          <w:rFonts w:ascii="Calibri" w:eastAsia="Calibri" w:hAnsi="Calibri" w:cs="Times New Roman"/>
          <w:sz w:val="18"/>
          <w:szCs w:val="18"/>
          <w:lang w:val="en-GB"/>
        </w:rPr>
        <w:t>No literature evidence for PFS HR</w:t>
      </w:r>
      <w:r w:rsidR="00FF7EB3" w:rsidRPr="00E70A58">
        <w:rPr>
          <w:rFonts w:ascii="Calibri" w:eastAsia="Calibri" w:hAnsi="Calibri" w:cs="Calibri"/>
          <w:sz w:val="18"/>
          <w:szCs w:val="18"/>
          <w:lang w:val="en-GB"/>
        </w:rPr>
        <w:t xml:space="preserve">, it was </w:t>
      </w:r>
      <w:r w:rsidR="00FF7EB3">
        <w:rPr>
          <w:rFonts w:ascii="Calibri" w:eastAsia="Calibri" w:hAnsi="Calibri" w:cs="Calibri"/>
          <w:sz w:val="18"/>
          <w:szCs w:val="18"/>
          <w:lang w:val="en-GB"/>
        </w:rPr>
        <w:t xml:space="preserve">assumed that </w:t>
      </w:r>
      <w:r w:rsidR="00FF7EB3" w:rsidRPr="00E70A58">
        <w:rPr>
          <w:rFonts w:ascii="Calibri" w:eastAsia="Calibri" w:hAnsi="Calibri" w:cs="Calibri"/>
          <w:sz w:val="18"/>
          <w:szCs w:val="18"/>
          <w:lang w:val="en-GB"/>
        </w:rPr>
        <w:t xml:space="preserve">treatment effect will be the same as </w:t>
      </w:r>
      <w:proofErr w:type="spellStart"/>
      <w:r w:rsidR="00FF7EB3" w:rsidRPr="00E70A58">
        <w:rPr>
          <w:rFonts w:ascii="Calibri" w:eastAsia="Calibri" w:hAnsi="Calibri" w:cs="Calibri"/>
          <w:sz w:val="18"/>
          <w:szCs w:val="18"/>
          <w:lang w:val="en-GB"/>
        </w:rPr>
        <w:t>crizotinib</w:t>
      </w:r>
      <w:proofErr w:type="spellEnd"/>
      <w:r w:rsidR="00FF7EB3" w:rsidRPr="00E70A58">
        <w:rPr>
          <w:rFonts w:ascii="Calibri" w:eastAsia="Calibri" w:hAnsi="Calibri" w:cs="Calibri"/>
          <w:sz w:val="18"/>
          <w:szCs w:val="18"/>
          <w:lang w:val="en-GB"/>
        </w:rPr>
        <w:t xml:space="preserve"> in ALK patients. </w:t>
      </w:r>
    </w:p>
    <w:p w14:paraId="25173E6C" w14:textId="7057679B" w:rsidR="00FF7EB3" w:rsidRPr="00E70A58" w:rsidRDefault="00E07D25" w:rsidP="00EF573D">
      <w:pPr>
        <w:spacing w:after="0" w:line="480" w:lineRule="auto"/>
        <w:ind w:right="2759"/>
        <w:jc w:val="both"/>
        <w:rPr>
          <w:rFonts w:ascii="Calibri" w:eastAsia="Calibri" w:hAnsi="Calibri" w:cs="Times New Roman"/>
          <w:sz w:val="18"/>
          <w:szCs w:val="18"/>
          <w:lang w:val="en-GB"/>
        </w:rPr>
      </w:pPr>
      <w:r>
        <w:rPr>
          <w:rFonts w:ascii="Calibri" w:eastAsia="Calibri" w:hAnsi="Calibri" w:cs="Calibri"/>
          <w:sz w:val="18"/>
          <w:szCs w:val="18"/>
          <w:vertAlign w:val="superscript"/>
          <w:lang w:val="en-GB"/>
        </w:rPr>
        <w:t>f</w:t>
      </w:r>
      <w:r w:rsidR="00FF7EB3" w:rsidRPr="00E70A58">
        <w:rPr>
          <w:rFonts w:ascii="Calibri" w:eastAsia="Calibri" w:hAnsi="Calibri" w:cs="Calibri"/>
          <w:sz w:val="18"/>
          <w:szCs w:val="18"/>
          <w:lang w:val="en-GB"/>
        </w:rPr>
        <w:t xml:space="preserve"> </w:t>
      </w:r>
      <w:r w:rsidR="00FF7EB3" w:rsidRPr="00E70A58">
        <w:rPr>
          <w:rFonts w:ascii="Calibri" w:eastAsia="Calibri" w:hAnsi="Calibri" w:cs="Times New Roman"/>
          <w:sz w:val="18"/>
          <w:szCs w:val="18"/>
          <w:lang w:val="en-GB"/>
        </w:rPr>
        <w:t>No literature evidence for PFS HR</w:t>
      </w:r>
      <w:r w:rsidR="00FF7EB3" w:rsidRPr="00E70A58">
        <w:rPr>
          <w:rFonts w:ascii="Calibri" w:eastAsia="Calibri" w:hAnsi="Calibri" w:cs="Calibri"/>
          <w:sz w:val="18"/>
          <w:szCs w:val="18"/>
          <w:lang w:val="en-GB"/>
        </w:rPr>
        <w:t>, it was assumed</w:t>
      </w:r>
      <w:r w:rsidR="00FF7EB3">
        <w:rPr>
          <w:rFonts w:ascii="Calibri" w:eastAsia="Calibri" w:hAnsi="Calibri" w:cs="Calibri"/>
          <w:sz w:val="18"/>
          <w:szCs w:val="18"/>
          <w:lang w:val="en-GB"/>
        </w:rPr>
        <w:t xml:space="preserve"> that</w:t>
      </w:r>
      <w:r w:rsidR="00FF7EB3" w:rsidRPr="00E70A58">
        <w:rPr>
          <w:rFonts w:ascii="Calibri" w:eastAsia="Calibri" w:hAnsi="Calibri" w:cs="Calibri"/>
          <w:sz w:val="18"/>
          <w:szCs w:val="18"/>
          <w:lang w:val="en-GB"/>
        </w:rPr>
        <w:t xml:space="preserve"> treatment effect will be the same as dabrafenib and trametinib in BRAF</w:t>
      </w:r>
      <w:r w:rsidR="00FF7EB3" w:rsidRPr="00E70A58">
        <w:rPr>
          <w:rFonts w:ascii="Calibri" w:eastAsia="Calibri" w:hAnsi="Calibri" w:cs="Calibri"/>
          <w:sz w:val="18"/>
          <w:szCs w:val="18"/>
          <w:vertAlign w:val="subscript"/>
          <w:lang w:val="en-GB"/>
        </w:rPr>
        <w:t>val600</w:t>
      </w:r>
      <w:r w:rsidR="00FF7EB3" w:rsidRPr="00E70A58">
        <w:rPr>
          <w:rFonts w:ascii="Calibri" w:eastAsia="Calibri" w:hAnsi="Calibri" w:cs="Calibri"/>
          <w:sz w:val="18"/>
          <w:szCs w:val="18"/>
          <w:lang w:val="en-GB"/>
        </w:rPr>
        <w:t xml:space="preserve"> patients compared to dabrafenib and</w:t>
      </w:r>
      <w:r w:rsidR="00EF573D">
        <w:rPr>
          <w:rFonts w:ascii="Calibri" w:eastAsia="Calibri" w:hAnsi="Calibri" w:cs="Calibri"/>
          <w:sz w:val="18"/>
          <w:szCs w:val="18"/>
          <w:lang w:val="en-GB"/>
        </w:rPr>
        <w:t xml:space="preserve"> </w:t>
      </w:r>
      <w:r w:rsidR="00FF7EB3" w:rsidRPr="00E70A58">
        <w:rPr>
          <w:rFonts w:ascii="Calibri" w:eastAsia="Calibri" w:hAnsi="Calibri" w:cs="Calibri"/>
          <w:sz w:val="18"/>
          <w:szCs w:val="18"/>
          <w:lang w:val="en-GB"/>
        </w:rPr>
        <w:t xml:space="preserve">placebo. </w:t>
      </w:r>
    </w:p>
    <w:p w14:paraId="72A65467" w14:textId="06A4371B" w:rsidR="00FF7EB3" w:rsidRDefault="00E07D25" w:rsidP="0069376F">
      <w:pPr>
        <w:spacing w:after="200" w:line="480" w:lineRule="auto"/>
        <w:jc w:val="both"/>
        <w:rPr>
          <w:rFonts w:ascii="Calibri" w:eastAsia="Calibri" w:hAnsi="Calibri" w:cs="Times New Roman"/>
          <w:sz w:val="18"/>
          <w:szCs w:val="18"/>
          <w:lang w:val="en-GB"/>
        </w:rPr>
      </w:pPr>
      <w:r>
        <w:rPr>
          <w:rFonts w:ascii="Calibri" w:eastAsia="Calibri" w:hAnsi="Calibri" w:cs="Calibri"/>
          <w:sz w:val="18"/>
          <w:szCs w:val="18"/>
          <w:vertAlign w:val="superscript"/>
          <w:lang w:val="en-GB"/>
        </w:rPr>
        <w:t>g</w:t>
      </w:r>
      <w:r w:rsidR="00FF7EB3" w:rsidRPr="00E70A58">
        <w:rPr>
          <w:rFonts w:ascii="Calibri" w:eastAsia="Calibri" w:hAnsi="Calibri" w:cs="Times New Roman"/>
          <w:sz w:val="18"/>
          <w:szCs w:val="18"/>
          <w:vertAlign w:val="superscript"/>
          <w:lang w:val="en-GB"/>
        </w:rPr>
        <w:t xml:space="preserve"> </w:t>
      </w:r>
      <w:r w:rsidR="00FF7EB3" w:rsidRPr="00E70A58">
        <w:rPr>
          <w:rFonts w:ascii="Calibri" w:eastAsia="Calibri" w:hAnsi="Calibri" w:cs="Times New Roman"/>
          <w:sz w:val="18"/>
          <w:szCs w:val="18"/>
          <w:lang w:val="en-GB"/>
        </w:rPr>
        <w:t>No literature evidence for PFS HR, we assumed</w:t>
      </w:r>
      <w:r w:rsidR="00FF7EB3">
        <w:rPr>
          <w:rFonts w:ascii="Calibri" w:eastAsia="Calibri" w:hAnsi="Calibri" w:cs="Times New Roman"/>
          <w:sz w:val="18"/>
          <w:szCs w:val="18"/>
          <w:lang w:val="en-GB"/>
        </w:rPr>
        <w:t xml:space="preserve"> that</w:t>
      </w:r>
      <w:r w:rsidR="00FF7EB3" w:rsidRPr="00E70A58">
        <w:rPr>
          <w:rFonts w:ascii="Calibri" w:eastAsia="Calibri" w:hAnsi="Calibri" w:cs="Times New Roman"/>
          <w:sz w:val="18"/>
          <w:szCs w:val="18"/>
          <w:lang w:val="en-GB"/>
        </w:rPr>
        <w:t xml:space="preserve"> the treatment effect will be the same as prognostic value of EGFR</w:t>
      </w:r>
      <w:r w:rsidR="00FF7EB3" w:rsidRPr="00E70A58">
        <w:rPr>
          <w:rFonts w:ascii="Calibri" w:eastAsia="Calibri" w:hAnsi="Calibri" w:cs="Times New Roman"/>
          <w:sz w:val="18"/>
          <w:szCs w:val="18"/>
          <w:vertAlign w:val="subscript"/>
          <w:lang w:val="en-GB"/>
        </w:rPr>
        <w:t xml:space="preserve"> (classic)</w:t>
      </w:r>
      <w:r w:rsidR="00FF7EB3" w:rsidRPr="00E70A58">
        <w:rPr>
          <w:rFonts w:ascii="Calibri" w:eastAsia="Calibri" w:hAnsi="Calibri" w:cs="Times New Roman"/>
          <w:sz w:val="18"/>
          <w:szCs w:val="18"/>
          <w:lang w:val="en-GB"/>
        </w:rPr>
        <w:t>.</w:t>
      </w:r>
    </w:p>
    <w:p w14:paraId="29C869EC" w14:textId="77777777" w:rsidR="00FF7EB3" w:rsidRDefault="00FF7EB3">
      <w:pPr>
        <w:spacing w:line="480" w:lineRule="auto"/>
        <w:rPr>
          <w:rFonts w:ascii="Calibri" w:eastAsia="Calibri" w:hAnsi="Calibri" w:cs="Times New Roman"/>
          <w:sz w:val="18"/>
          <w:szCs w:val="18"/>
          <w:lang w:val="en-GB"/>
        </w:rPr>
        <w:pPrChange w:id="7" w:author="Mfumbilwa, Z.A. (Zakile)" w:date="2021-11-22T09:37:00Z">
          <w:pPr/>
        </w:pPrChange>
      </w:pPr>
      <w:r>
        <w:rPr>
          <w:rFonts w:ascii="Calibri" w:eastAsia="Calibri" w:hAnsi="Calibri" w:cs="Times New Roman"/>
          <w:sz w:val="18"/>
          <w:szCs w:val="18"/>
          <w:lang w:val="en-GB"/>
        </w:rPr>
        <w:br w:type="page"/>
      </w:r>
    </w:p>
    <w:p w14:paraId="72891A56" w14:textId="2EA707A7" w:rsidR="002E11C0" w:rsidRPr="00F21B54" w:rsidRDefault="002E11C0" w:rsidP="00CD4B0D">
      <w:pPr>
        <w:spacing w:line="480" w:lineRule="auto"/>
        <w:rPr>
          <w:rFonts w:ascii="Calibri" w:eastAsia="Calibri" w:hAnsi="Calibri" w:cs="Times New Roman"/>
          <w:lang w:val="en-GB"/>
        </w:rPr>
      </w:pPr>
      <w:r w:rsidRPr="00F21B54">
        <w:rPr>
          <w:rFonts w:ascii="Calibri" w:eastAsia="Calibri" w:hAnsi="Calibri" w:cs="Times New Roman"/>
          <w:lang w:val="en-GB"/>
        </w:rPr>
        <w:lastRenderedPageBreak/>
        <w:t>Table A</w:t>
      </w:r>
      <w:r>
        <w:rPr>
          <w:rFonts w:ascii="Calibri" w:eastAsia="Calibri" w:hAnsi="Calibri" w:cs="Times New Roman"/>
          <w:lang w:val="en-GB"/>
        </w:rPr>
        <w:t>5</w:t>
      </w:r>
      <w:r w:rsidRPr="00F21B54">
        <w:rPr>
          <w:rFonts w:ascii="Calibri" w:eastAsia="Calibri" w:hAnsi="Calibri" w:cs="Times New Roman"/>
          <w:lang w:val="en-GB"/>
        </w:rPr>
        <w:t>. Second line treatment recommendation with assumed PF HR per molecular subgroup</w:t>
      </w:r>
      <w:r w:rsidR="00AB7A9B">
        <w:rPr>
          <w:rFonts w:ascii="Calibri" w:eastAsia="Calibri" w:hAnsi="Calibri" w:cs="Times New Roman"/>
          <w:lang w:val="en-GB"/>
        </w:rPr>
        <w:t xml:space="preserve"> and per </w:t>
      </w:r>
      <w:r w:rsidRPr="00F21B54">
        <w:rPr>
          <w:rFonts w:ascii="Calibri" w:eastAsia="Calibri" w:hAnsi="Calibri" w:cs="Times New Roman"/>
          <w:lang w:val="en-GB"/>
        </w:rPr>
        <w:t xml:space="preserve">first line </w:t>
      </w:r>
      <w:r w:rsidR="00AB7A9B">
        <w:rPr>
          <w:rFonts w:ascii="Calibri" w:eastAsia="Calibri" w:hAnsi="Calibri" w:cs="Times New Roman"/>
          <w:lang w:val="en-GB"/>
        </w:rPr>
        <w:t>treatment</w:t>
      </w:r>
    </w:p>
    <w:tbl>
      <w:tblPr>
        <w:tblW w:w="11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917"/>
        <w:gridCol w:w="1833"/>
        <w:gridCol w:w="1918"/>
        <w:gridCol w:w="2582"/>
        <w:gridCol w:w="1372"/>
      </w:tblGrid>
      <w:tr w:rsidR="002E11C0" w:rsidRPr="005F6822" w14:paraId="7768A921" w14:textId="77777777" w:rsidTr="00EF573D">
        <w:tc>
          <w:tcPr>
            <w:tcW w:w="1980" w:type="dxa"/>
          </w:tcPr>
          <w:p w14:paraId="10C44A22" w14:textId="0A496EC7" w:rsidR="002E11C0" w:rsidRPr="005F6822" w:rsidRDefault="002E11C0" w:rsidP="00C62DFE">
            <w:pPr>
              <w:spacing w:after="0" w:line="240" w:lineRule="auto"/>
              <w:rPr>
                <w:rFonts w:ascii="Calibri" w:eastAsia="Calibri" w:hAnsi="Calibri" w:cs="Times New Roman"/>
                <w:bCs/>
                <w:lang w:val="en-GB"/>
              </w:rPr>
            </w:pPr>
            <w:r w:rsidRPr="005F6822">
              <w:rPr>
                <w:rFonts w:ascii="Calibri" w:eastAsia="Calibri" w:hAnsi="Calibri" w:cs="Times New Roman"/>
                <w:bCs/>
                <w:lang w:val="en-GB"/>
              </w:rPr>
              <w:t xml:space="preserve">Biomarker </w:t>
            </w:r>
          </w:p>
        </w:tc>
        <w:tc>
          <w:tcPr>
            <w:tcW w:w="1917" w:type="dxa"/>
          </w:tcPr>
          <w:p w14:paraId="555CBB9D" w14:textId="017A01F0" w:rsidR="002E11C0" w:rsidRPr="005F6822" w:rsidRDefault="00407577">
            <w:pPr>
              <w:spacing w:after="0" w:line="240" w:lineRule="auto"/>
              <w:rPr>
                <w:rFonts w:ascii="Calibri" w:eastAsia="Calibri" w:hAnsi="Calibri" w:cs="Times New Roman"/>
                <w:bCs/>
                <w:lang w:val="en-GB"/>
              </w:rPr>
            </w:pPr>
            <w:r>
              <w:rPr>
                <w:rFonts w:ascii="Calibri" w:eastAsia="Calibri" w:hAnsi="Calibri" w:cs="Times New Roman"/>
                <w:bCs/>
                <w:lang w:val="en-GB"/>
              </w:rPr>
              <w:t>1L Treat</w:t>
            </w:r>
          </w:p>
        </w:tc>
        <w:tc>
          <w:tcPr>
            <w:tcW w:w="1833" w:type="dxa"/>
          </w:tcPr>
          <w:p w14:paraId="619657E4" w14:textId="3CBD94B8" w:rsidR="002E11C0" w:rsidRPr="005F6822" w:rsidRDefault="00407577">
            <w:pPr>
              <w:spacing w:after="0" w:line="240" w:lineRule="auto"/>
              <w:rPr>
                <w:rFonts w:ascii="Calibri" w:eastAsia="Calibri" w:hAnsi="Calibri" w:cs="Times New Roman"/>
                <w:bCs/>
                <w:lang w:val="en-GB"/>
              </w:rPr>
            </w:pPr>
            <w:r>
              <w:rPr>
                <w:rFonts w:ascii="Calibri" w:eastAsia="Calibri" w:hAnsi="Calibri" w:cs="Times New Roman"/>
                <w:bCs/>
                <w:lang w:val="en-GB"/>
              </w:rPr>
              <w:t>2L Treat</w:t>
            </w:r>
          </w:p>
        </w:tc>
        <w:tc>
          <w:tcPr>
            <w:tcW w:w="1918" w:type="dxa"/>
          </w:tcPr>
          <w:p w14:paraId="5FB6A835" w14:textId="77777777" w:rsidR="002E11C0" w:rsidRPr="005F6822" w:rsidRDefault="002E11C0">
            <w:pPr>
              <w:spacing w:after="0" w:line="240" w:lineRule="auto"/>
              <w:rPr>
                <w:rFonts w:ascii="Calibri" w:eastAsia="Calibri" w:hAnsi="Calibri" w:cs="Times New Roman"/>
                <w:bCs/>
                <w:lang w:val="en-GB"/>
              </w:rPr>
            </w:pPr>
            <w:r w:rsidRPr="005F6822">
              <w:rPr>
                <w:rFonts w:ascii="Calibri" w:eastAsia="Calibri" w:hAnsi="Calibri" w:cs="Times New Roman"/>
                <w:bCs/>
                <w:lang w:val="en-GB"/>
              </w:rPr>
              <w:t>PPFS HR</w:t>
            </w:r>
          </w:p>
        </w:tc>
        <w:tc>
          <w:tcPr>
            <w:tcW w:w="2582" w:type="dxa"/>
          </w:tcPr>
          <w:p w14:paraId="7D5FE60C" w14:textId="77777777" w:rsidR="002E11C0" w:rsidRPr="005F6822" w:rsidRDefault="002E11C0">
            <w:pPr>
              <w:spacing w:after="0" w:line="240" w:lineRule="auto"/>
              <w:rPr>
                <w:rFonts w:ascii="Calibri" w:eastAsia="Calibri" w:hAnsi="Calibri" w:cs="Times New Roman"/>
                <w:bCs/>
                <w:lang w:val="en-GB"/>
              </w:rPr>
            </w:pPr>
            <w:r w:rsidRPr="005F6822">
              <w:rPr>
                <w:rFonts w:ascii="Calibri" w:eastAsia="Calibri" w:hAnsi="Calibri" w:cs="Times New Roman"/>
                <w:bCs/>
                <w:lang w:val="en-GB"/>
              </w:rPr>
              <w:t xml:space="preserve">Treat arm vs Control arm </w:t>
            </w:r>
          </w:p>
        </w:tc>
        <w:tc>
          <w:tcPr>
            <w:tcW w:w="1372" w:type="dxa"/>
          </w:tcPr>
          <w:p w14:paraId="630950AB" w14:textId="77777777" w:rsidR="002E11C0" w:rsidRPr="005F6822" w:rsidRDefault="002E11C0">
            <w:pPr>
              <w:spacing w:after="0" w:line="240" w:lineRule="auto"/>
              <w:rPr>
                <w:rFonts w:ascii="Calibri" w:eastAsia="Calibri" w:hAnsi="Calibri" w:cs="Times New Roman"/>
                <w:bCs/>
                <w:lang w:val="en-GB"/>
              </w:rPr>
            </w:pPr>
            <w:r w:rsidRPr="005F6822">
              <w:rPr>
                <w:rFonts w:ascii="Calibri" w:eastAsia="Calibri" w:hAnsi="Calibri" w:cs="Times New Roman"/>
                <w:bCs/>
                <w:lang w:val="en-GB"/>
              </w:rPr>
              <w:t xml:space="preserve">References </w:t>
            </w:r>
          </w:p>
        </w:tc>
      </w:tr>
      <w:tr w:rsidR="002E11C0" w:rsidRPr="005F6822" w14:paraId="41A2584D" w14:textId="77777777" w:rsidTr="00EF573D">
        <w:tc>
          <w:tcPr>
            <w:tcW w:w="1980" w:type="dxa"/>
          </w:tcPr>
          <w:p w14:paraId="052D3E3E" w14:textId="77777777" w:rsidR="002E11C0" w:rsidRPr="005F6822" w:rsidRDefault="002E11C0" w:rsidP="00C62DFE">
            <w:pPr>
              <w:spacing w:after="0" w:line="240" w:lineRule="auto"/>
              <w:rPr>
                <w:rFonts w:ascii="Calibri" w:eastAsia="Calibri" w:hAnsi="Calibri" w:cs="Times New Roman"/>
                <w:lang w:val="en-GB"/>
              </w:rPr>
            </w:pPr>
            <w:r w:rsidRPr="005F6822">
              <w:rPr>
                <w:rFonts w:ascii="Calibri" w:eastAsia="Calibri" w:hAnsi="Calibri" w:cs="Times New Roman"/>
                <w:lang w:val="en-GB"/>
              </w:rPr>
              <w:t xml:space="preserve">EGFR </w:t>
            </w:r>
            <w:r w:rsidRPr="005F6822">
              <w:rPr>
                <w:rFonts w:ascii="Calibri" w:eastAsia="Calibri" w:hAnsi="Calibri" w:cs="Times New Roman"/>
                <w:vertAlign w:val="subscript"/>
                <w:lang w:val="en-GB"/>
              </w:rPr>
              <w:t>(classic)</w:t>
            </w:r>
          </w:p>
        </w:tc>
        <w:tc>
          <w:tcPr>
            <w:tcW w:w="1917" w:type="dxa"/>
          </w:tcPr>
          <w:p w14:paraId="33B98FB0" w14:textId="77777777" w:rsidR="002E11C0" w:rsidRPr="001C3570" w:rsidRDefault="002E11C0">
            <w:pPr>
              <w:spacing w:after="0" w:line="240" w:lineRule="auto"/>
              <w:rPr>
                <w:rFonts w:ascii="Calibri" w:eastAsia="Calibri" w:hAnsi="Calibri" w:cs="Times New Roman"/>
                <w:lang w:val="en-GB"/>
              </w:rPr>
            </w:pPr>
            <w:r w:rsidRPr="001C3570">
              <w:rPr>
                <w:rFonts w:ascii="Calibri" w:eastAsia="Calibri" w:hAnsi="Calibri" w:cs="Times New Roman"/>
                <w:lang w:val="en-GB"/>
              </w:rPr>
              <w:t xml:space="preserve">Gefitinib </w:t>
            </w:r>
          </w:p>
        </w:tc>
        <w:tc>
          <w:tcPr>
            <w:tcW w:w="1833" w:type="dxa"/>
          </w:tcPr>
          <w:p w14:paraId="70CA317F" w14:textId="77777777" w:rsidR="002E11C0" w:rsidRPr="005F6822" w:rsidRDefault="002E11C0">
            <w:pPr>
              <w:spacing w:after="0" w:line="240" w:lineRule="auto"/>
              <w:rPr>
                <w:rFonts w:ascii="Calibri" w:eastAsia="Calibri" w:hAnsi="Calibri" w:cs="Times New Roman"/>
                <w:sz w:val="24"/>
                <w:szCs w:val="24"/>
                <w:lang w:val="en-GB"/>
              </w:rPr>
            </w:pPr>
            <w:r w:rsidRPr="005F6822">
              <w:rPr>
                <w:rFonts w:ascii="Calibri" w:eastAsia="Calibri" w:hAnsi="Calibri" w:cs="Times New Roman"/>
                <w:sz w:val="24"/>
                <w:szCs w:val="24"/>
                <w:lang w:val="en-GB"/>
              </w:rPr>
              <w:t>Cis + Pem</w:t>
            </w:r>
          </w:p>
        </w:tc>
        <w:tc>
          <w:tcPr>
            <w:tcW w:w="1918" w:type="dxa"/>
          </w:tcPr>
          <w:p w14:paraId="17D9B7D2" w14:textId="77777777" w:rsidR="002E11C0" w:rsidRPr="005F6822" w:rsidRDefault="002E11C0">
            <w:pPr>
              <w:spacing w:after="0" w:line="240" w:lineRule="auto"/>
              <w:jc w:val="center"/>
              <w:rPr>
                <w:rFonts w:ascii="Calibri" w:eastAsia="Calibri" w:hAnsi="Calibri" w:cs="Times New Roman"/>
                <w:lang w:val="en-GB"/>
              </w:rPr>
            </w:pPr>
            <w:r w:rsidRPr="005F6822">
              <w:rPr>
                <w:rFonts w:ascii="Calibri" w:eastAsia="Calibri" w:hAnsi="Calibri" w:cs="Times New Roman"/>
                <w:lang w:val="en-GB"/>
              </w:rPr>
              <w:t>N/A</w:t>
            </w:r>
          </w:p>
        </w:tc>
        <w:tc>
          <w:tcPr>
            <w:tcW w:w="2582" w:type="dxa"/>
          </w:tcPr>
          <w:p w14:paraId="166DAF4F" w14:textId="77777777" w:rsidR="002E11C0" w:rsidRPr="005F6822" w:rsidRDefault="002E11C0">
            <w:pPr>
              <w:spacing w:after="0" w:line="240" w:lineRule="auto"/>
              <w:rPr>
                <w:rFonts w:ascii="Calibri" w:eastAsia="Calibri" w:hAnsi="Calibri" w:cs="Times New Roman"/>
                <w:lang w:val="en-GB"/>
              </w:rPr>
            </w:pPr>
            <w:r w:rsidRPr="005F6822">
              <w:rPr>
                <w:rFonts w:ascii="Calibri" w:eastAsia="Calibri" w:hAnsi="Calibri" w:cs="Times New Roman"/>
                <w:lang w:val="en-GB"/>
              </w:rPr>
              <w:t>-</w:t>
            </w:r>
          </w:p>
        </w:tc>
        <w:tc>
          <w:tcPr>
            <w:tcW w:w="1372" w:type="dxa"/>
          </w:tcPr>
          <w:p w14:paraId="08EB3023" w14:textId="77777777" w:rsidR="002E11C0" w:rsidRPr="001C3570" w:rsidRDefault="002E11C0">
            <w:pPr>
              <w:spacing w:after="0" w:line="240" w:lineRule="auto"/>
              <w:rPr>
                <w:rFonts w:eastAsia="Calibri" w:cstheme="minorHAnsi"/>
                <w:lang w:val="en-GB"/>
              </w:rPr>
            </w:pPr>
            <w:r w:rsidRPr="001C3570">
              <w:rPr>
                <w:rFonts w:eastAsia="Calibri" w:cstheme="minorHAnsi"/>
                <w:lang w:val="en-GB"/>
              </w:rPr>
              <w:t>-</w:t>
            </w:r>
          </w:p>
        </w:tc>
      </w:tr>
      <w:tr w:rsidR="00094FE1" w:rsidRPr="00F919CD" w14:paraId="196CA8E0" w14:textId="77777777" w:rsidTr="00EF573D">
        <w:tc>
          <w:tcPr>
            <w:tcW w:w="1980" w:type="dxa"/>
          </w:tcPr>
          <w:p w14:paraId="0C22548C" w14:textId="77777777" w:rsidR="00094FE1" w:rsidRPr="005F6822" w:rsidRDefault="00094FE1" w:rsidP="00C62DFE">
            <w:pPr>
              <w:spacing w:after="0" w:line="240" w:lineRule="auto"/>
              <w:rPr>
                <w:rFonts w:ascii="Calibri" w:eastAsia="Calibri" w:hAnsi="Calibri" w:cs="Times New Roman"/>
                <w:lang w:val="en-GB"/>
              </w:rPr>
            </w:pPr>
          </w:p>
        </w:tc>
        <w:tc>
          <w:tcPr>
            <w:tcW w:w="1917" w:type="dxa"/>
          </w:tcPr>
          <w:p w14:paraId="1C1238C8" w14:textId="39523C81" w:rsidR="00094FE1" w:rsidRPr="001C3570" w:rsidRDefault="00094FE1">
            <w:pPr>
              <w:spacing w:after="0" w:line="240" w:lineRule="auto"/>
              <w:rPr>
                <w:rFonts w:ascii="Calibri" w:eastAsia="Calibri" w:hAnsi="Calibri" w:cs="Times New Roman"/>
                <w:lang w:val="en-GB"/>
              </w:rPr>
            </w:pPr>
            <w:r w:rsidRPr="001C3570">
              <w:rPr>
                <w:rFonts w:ascii="Calibri" w:eastAsia="Calibri" w:hAnsi="Calibri" w:cs="Times New Roman"/>
                <w:lang w:val="nl-NL"/>
              </w:rPr>
              <w:t>Erlotinib</w:t>
            </w:r>
          </w:p>
        </w:tc>
        <w:tc>
          <w:tcPr>
            <w:tcW w:w="1833" w:type="dxa"/>
          </w:tcPr>
          <w:p w14:paraId="021913CC" w14:textId="398C516D" w:rsidR="00094FE1" w:rsidRPr="005F6822" w:rsidRDefault="00094FE1">
            <w:pPr>
              <w:spacing w:after="0" w:line="240" w:lineRule="auto"/>
              <w:rPr>
                <w:rFonts w:ascii="Calibri" w:eastAsia="Calibri" w:hAnsi="Calibri" w:cs="Times New Roman"/>
                <w:sz w:val="24"/>
                <w:szCs w:val="24"/>
                <w:lang w:val="en-GB"/>
              </w:rPr>
            </w:pPr>
            <w:r w:rsidRPr="00D51C11">
              <w:rPr>
                <w:rFonts w:ascii="Calibri" w:eastAsia="Calibri" w:hAnsi="Calibri" w:cs="Times New Roman"/>
                <w:sz w:val="24"/>
                <w:szCs w:val="24"/>
                <w:lang w:val="nl-NL"/>
              </w:rPr>
              <w:t>Cis + Pem</w:t>
            </w:r>
          </w:p>
        </w:tc>
        <w:tc>
          <w:tcPr>
            <w:tcW w:w="1918" w:type="dxa"/>
          </w:tcPr>
          <w:p w14:paraId="171922FF" w14:textId="7BC1F35D" w:rsidR="00094FE1" w:rsidRPr="005F6822" w:rsidRDefault="00094FE1">
            <w:pPr>
              <w:spacing w:after="0" w:line="240" w:lineRule="auto"/>
              <w:jc w:val="center"/>
              <w:rPr>
                <w:rFonts w:ascii="Calibri" w:eastAsia="Calibri" w:hAnsi="Calibri" w:cs="Times New Roman"/>
                <w:lang w:val="en-GB"/>
              </w:rPr>
            </w:pPr>
            <w:r w:rsidRPr="00D51C11">
              <w:rPr>
                <w:rFonts w:ascii="Calibri" w:eastAsia="Calibri" w:hAnsi="Calibri" w:cs="Times New Roman"/>
                <w:lang w:val="nl-NL"/>
              </w:rPr>
              <w:t>N/A</w:t>
            </w:r>
          </w:p>
        </w:tc>
        <w:tc>
          <w:tcPr>
            <w:tcW w:w="2582" w:type="dxa"/>
          </w:tcPr>
          <w:p w14:paraId="3A6058B9" w14:textId="1886C34D" w:rsidR="00094FE1" w:rsidRPr="005F6822" w:rsidRDefault="00094FE1">
            <w:pPr>
              <w:spacing w:after="0" w:line="240" w:lineRule="auto"/>
              <w:rPr>
                <w:rFonts w:ascii="Calibri" w:eastAsia="Calibri" w:hAnsi="Calibri" w:cs="Times New Roman"/>
                <w:lang w:val="en-GB"/>
              </w:rPr>
            </w:pPr>
            <w:r w:rsidRPr="00D51C11">
              <w:rPr>
                <w:rFonts w:ascii="Calibri" w:eastAsia="Calibri" w:hAnsi="Calibri" w:cs="Times New Roman"/>
                <w:lang w:val="nl-NL"/>
              </w:rPr>
              <w:t>-</w:t>
            </w:r>
          </w:p>
        </w:tc>
        <w:tc>
          <w:tcPr>
            <w:tcW w:w="1372" w:type="dxa"/>
          </w:tcPr>
          <w:p w14:paraId="1D3871A6" w14:textId="4D1E7F24" w:rsidR="00094FE1" w:rsidRPr="001C3570" w:rsidRDefault="00094FE1">
            <w:pPr>
              <w:spacing w:after="0" w:line="240" w:lineRule="auto"/>
              <w:rPr>
                <w:rFonts w:eastAsia="Calibri" w:cstheme="minorHAnsi"/>
                <w:lang w:val="nl-NL"/>
              </w:rPr>
            </w:pPr>
            <w:r w:rsidRPr="001C3570">
              <w:rPr>
                <w:rFonts w:eastAsia="Calibri" w:cstheme="minorHAnsi"/>
                <w:lang w:val="nl-NL"/>
              </w:rPr>
              <w:t>-</w:t>
            </w:r>
          </w:p>
        </w:tc>
      </w:tr>
      <w:tr w:rsidR="00094FE1" w:rsidRPr="005F6822" w14:paraId="540E697C" w14:textId="77777777" w:rsidTr="00EF573D">
        <w:tc>
          <w:tcPr>
            <w:tcW w:w="1980" w:type="dxa"/>
          </w:tcPr>
          <w:p w14:paraId="4023D747" w14:textId="796957FD" w:rsidR="00094FE1" w:rsidRPr="00D51C11" w:rsidRDefault="00094FE1" w:rsidP="00C62DFE">
            <w:pPr>
              <w:spacing w:after="0" w:line="240" w:lineRule="auto"/>
              <w:rPr>
                <w:rFonts w:ascii="Calibri" w:eastAsia="Calibri" w:hAnsi="Calibri" w:cs="Times New Roman"/>
                <w:lang w:val="nl-NL"/>
              </w:rPr>
            </w:pPr>
            <w:r w:rsidRPr="005F6822">
              <w:rPr>
                <w:rFonts w:ascii="Calibri" w:eastAsia="Calibri" w:hAnsi="Calibri" w:cs="Times New Roman"/>
                <w:lang w:val="en-GB"/>
              </w:rPr>
              <w:t xml:space="preserve">EGFR </w:t>
            </w:r>
            <w:r w:rsidRPr="005F6822">
              <w:rPr>
                <w:rFonts w:ascii="Calibri" w:eastAsia="Calibri" w:hAnsi="Calibri" w:cs="Times New Roman"/>
                <w:vertAlign w:val="subscript"/>
                <w:lang w:val="en-GB"/>
              </w:rPr>
              <w:t>(non-classic)</w:t>
            </w:r>
          </w:p>
        </w:tc>
        <w:tc>
          <w:tcPr>
            <w:tcW w:w="1917" w:type="dxa"/>
          </w:tcPr>
          <w:p w14:paraId="3A0699D5" w14:textId="0C762449" w:rsidR="00094FE1" w:rsidRPr="001C3570" w:rsidRDefault="00094FE1">
            <w:pPr>
              <w:spacing w:after="0" w:line="240" w:lineRule="auto"/>
              <w:rPr>
                <w:rFonts w:ascii="Calibri" w:eastAsia="Calibri" w:hAnsi="Calibri" w:cs="Times New Roman"/>
                <w:lang w:val="nl-NL"/>
              </w:rPr>
            </w:pPr>
            <w:proofErr w:type="spellStart"/>
            <w:r w:rsidRPr="001C3570">
              <w:rPr>
                <w:rFonts w:ascii="Calibri" w:eastAsia="Calibri" w:hAnsi="Calibri" w:cs="Times New Roman"/>
                <w:lang w:val="en-GB"/>
              </w:rPr>
              <w:t>Afatinib</w:t>
            </w:r>
            <w:proofErr w:type="spellEnd"/>
          </w:p>
        </w:tc>
        <w:tc>
          <w:tcPr>
            <w:tcW w:w="1833" w:type="dxa"/>
          </w:tcPr>
          <w:p w14:paraId="2A484E75" w14:textId="50F5B2F5" w:rsidR="00094FE1" w:rsidRPr="00D51C11" w:rsidRDefault="00094FE1">
            <w:pPr>
              <w:spacing w:after="0" w:line="240" w:lineRule="auto"/>
              <w:rPr>
                <w:rFonts w:ascii="Calibri" w:eastAsia="Calibri" w:hAnsi="Calibri" w:cs="Times New Roman"/>
                <w:sz w:val="24"/>
                <w:szCs w:val="24"/>
                <w:lang w:val="nl-NL"/>
              </w:rPr>
            </w:pPr>
            <w:r w:rsidRPr="005F6822">
              <w:rPr>
                <w:rFonts w:ascii="Calibri" w:eastAsia="Calibri" w:hAnsi="Calibri" w:cs="Times New Roman"/>
                <w:sz w:val="24"/>
                <w:szCs w:val="24"/>
                <w:lang w:val="en-GB"/>
              </w:rPr>
              <w:t>Cis + Pem</w:t>
            </w:r>
          </w:p>
        </w:tc>
        <w:tc>
          <w:tcPr>
            <w:tcW w:w="1918" w:type="dxa"/>
          </w:tcPr>
          <w:p w14:paraId="32F69C52" w14:textId="1ACD230C" w:rsidR="00094FE1" w:rsidRPr="00D51C11" w:rsidRDefault="00094FE1">
            <w:pPr>
              <w:spacing w:after="0" w:line="240" w:lineRule="auto"/>
              <w:jc w:val="center"/>
              <w:rPr>
                <w:rFonts w:ascii="Calibri" w:eastAsia="Calibri" w:hAnsi="Calibri" w:cs="Times New Roman"/>
                <w:lang w:val="nl-NL"/>
              </w:rPr>
            </w:pPr>
            <w:r w:rsidRPr="005F6822">
              <w:rPr>
                <w:rFonts w:ascii="Calibri" w:eastAsia="Calibri" w:hAnsi="Calibri" w:cs="Times New Roman"/>
                <w:lang w:val="en-GB"/>
              </w:rPr>
              <w:t>N/A</w:t>
            </w:r>
          </w:p>
        </w:tc>
        <w:tc>
          <w:tcPr>
            <w:tcW w:w="2582" w:type="dxa"/>
          </w:tcPr>
          <w:p w14:paraId="39D7CA02" w14:textId="3576D045" w:rsidR="00094FE1" w:rsidRPr="00D51C11" w:rsidRDefault="00094FE1">
            <w:pPr>
              <w:spacing w:after="0" w:line="240" w:lineRule="auto"/>
              <w:rPr>
                <w:rFonts w:ascii="Calibri" w:eastAsia="Calibri" w:hAnsi="Calibri" w:cs="Times New Roman"/>
                <w:lang w:val="nl-NL"/>
              </w:rPr>
            </w:pPr>
            <w:r w:rsidRPr="005F6822">
              <w:rPr>
                <w:rFonts w:ascii="Calibri" w:eastAsia="Calibri" w:hAnsi="Calibri" w:cs="Times New Roman"/>
                <w:lang w:val="en-GB"/>
              </w:rPr>
              <w:t>-</w:t>
            </w:r>
          </w:p>
        </w:tc>
        <w:tc>
          <w:tcPr>
            <w:tcW w:w="1372" w:type="dxa"/>
          </w:tcPr>
          <w:p w14:paraId="266D8EDD" w14:textId="468C8AD5" w:rsidR="00094FE1" w:rsidRPr="001C3570" w:rsidRDefault="00094FE1">
            <w:pPr>
              <w:spacing w:after="0" w:line="240" w:lineRule="auto"/>
              <w:rPr>
                <w:rFonts w:eastAsia="Calibri" w:cstheme="minorHAnsi"/>
                <w:lang w:val="en-GB"/>
              </w:rPr>
            </w:pPr>
            <w:r w:rsidRPr="001C3570">
              <w:rPr>
                <w:rFonts w:eastAsia="Calibri" w:cstheme="minorHAnsi"/>
                <w:lang w:val="en-GB"/>
              </w:rPr>
              <w:t>-</w:t>
            </w:r>
          </w:p>
        </w:tc>
      </w:tr>
      <w:tr w:rsidR="00094FE1" w:rsidRPr="005F6822" w14:paraId="0C0C66A3" w14:textId="77777777" w:rsidTr="00EF573D">
        <w:tc>
          <w:tcPr>
            <w:tcW w:w="1980" w:type="dxa"/>
          </w:tcPr>
          <w:p w14:paraId="47F19289" w14:textId="3A613192" w:rsidR="00094FE1" w:rsidRPr="005F6822" w:rsidRDefault="00094FE1" w:rsidP="00C62DFE">
            <w:pPr>
              <w:spacing w:after="0" w:line="240" w:lineRule="auto"/>
              <w:rPr>
                <w:rFonts w:ascii="Calibri" w:eastAsia="Calibri" w:hAnsi="Calibri" w:cs="Times New Roman"/>
                <w:lang w:val="en-GB"/>
              </w:rPr>
            </w:pPr>
            <w:r w:rsidRPr="005F6822">
              <w:rPr>
                <w:rFonts w:ascii="Calibri" w:eastAsia="Calibri" w:hAnsi="Calibri" w:cs="Times New Roman"/>
                <w:lang w:val="en-GB"/>
              </w:rPr>
              <w:t xml:space="preserve">ALK </w:t>
            </w:r>
          </w:p>
        </w:tc>
        <w:tc>
          <w:tcPr>
            <w:tcW w:w="1917" w:type="dxa"/>
          </w:tcPr>
          <w:p w14:paraId="198F7F78" w14:textId="436365BD" w:rsidR="00094FE1" w:rsidRPr="001C3570" w:rsidRDefault="00094FE1">
            <w:pPr>
              <w:spacing w:after="0" w:line="240" w:lineRule="auto"/>
              <w:rPr>
                <w:rFonts w:ascii="Calibri" w:eastAsia="Calibri" w:hAnsi="Calibri" w:cs="Times New Roman"/>
                <w:lang w:val="en-GB"/>
              </w:rPr>
            </w:pPr>
            <w:proofErr w:type="spellStart"/>
            <w:r w:rsidRPr="001C3570">
              <w:rPr>
                <w:rFonts w:ascii="Calibri" w:eastAsia="Calibri" w:hAnsi="Calibri" w:cs="Times New Roman"/>
                <w:lang w:val="en-GB"/>
              </w:rPr>
              <w:t>Alectinib</w:t>
            </w:r>
            <w:proofErr w:type="spellEnd"/>
          </w:p>
        </w:tc>
        <w:tc>
          <w:tcPr>
            <w:tcW w:w="1833" w:type="dxa"/>
          </w:tcPr>
          <w:p w14:paraId="3119CF13" w14:textId="3D6BAFD3" w:rsidR="00094FE1" w:rsidRPr="005F6822" w:rsidRDefault="00094FE1">
            <w:pPr>
              <w:spacing w:after="0" w:line="240" w:lineRule="auto"/>
              <w:rPr>
                <w:rFonts w:ascii="Calibri" w:eastAsia="Calibri" w:hAnsi="Calibri" w:cs="Times New Roman"/>
                <w:sz w:val="24"/>
                <w:szCs w:val="24"/>
                <w:lang w:val="en-GB"/>
              </w:rPr>
            </w:pPr>
            <w:proofErr w:type="spellStart"/>
            <w:r w:rsidRPr="005F6822">
              <w:rPr>
                <w:rFonts w:ascii="Calibri" w:eastAsia="Calibri" w:hAnsi="Calibri" w:cs="Times New Roman"/>
                <w:sz w:val="24"/>
                <w:szCs w:val="24"/>
                <w:lang w:val="en-GB"/>
              </w:rPr>
              <w:t>Lorlatinib</w:t>
            </w:r>
            <w:proofErr w:type="spellEnd"/>
          </w:p>
        </w:tc>
        <w:tc>
          <w:tcPr>
            <w:tcW w:w="1918" w:type="dxa"/>
          </w:tcPr>
          <w:p w14:paraId="4629D362" w14:textId="5E74F6D7" w:rsidR="00094FE1" w:rsidRPr="005F6822" w:rsidRDefault="00094FE1">
            <w:pPr>
              <w:spacing w:after="0" w:line="240" w:lineRule="auto"/>
              <w:jc w:val="center"/>
              <w:rPr>
                <w:rFonts w:ascii="Calibri" w:eastAsia="Calibri" w:hAnsi="Calibri" w:cs="Times New Roman"/>
                <w:lang w:val="en-GB"/>
              </w:rPr>
            </w:pPr>
            <w:r w:rsidRPr="005F6822">
              <w:rPr>
                <w:rFonts w:ascii="Calibri" w:eastAsia="Calibri" w:hAnsi="Calibri" w:cs="Times New Roman"/>
                <w:lang w:val="en-GB"/>
              </w:rPr>
              <w:t>0.49 (0.37 – 0.64)</w:t>
            </w:r>
          </w:p>
        </w:tc>
        <w:tc>
          <w:tcPr>
            <w:tcW w:w="2582" w:type="dxa"/>
          </w:tcPr>
          <w:p w14:paraId="4D9F3B61" w14:textId="17D73464" w:rsidR="00094FE1" w:rsidRPr="005F6822" w:rsidRDefault="00094FE1">
            <w:pPr>
              <w:spacing w:after="0" w:line="240" w:lineRule="auto"/>
              <w:rPr>
                <w:rFonts w:ascii="Calibri" w:eastAsia="Calibri" w:hAnsi="Calibri" w:cs="Times New Roman"/>
                <w:lang w:val="en-GB"/>
              </w:rPr>
            </w:pPr>
            <w:proofErr w:type="spellStart"/>
            <w:r w:rsidRPr="005F6822">
              <w:rPr>
                <w:rFonts w:ascii="Calibri" w:eastAsia="Calibri" w:hAnsi="Calibri" w:cs="Times New Roman"/>
                <w:lang w:val="en-GB"/>
              </w:rPr>
              <w:t>Crizotinib</w:t>
            </w:r>
            <w:proofErr w:type="spellEnd"/>
            <w:r w:rsidRPr="005F6822">
              <w:rPr>
                <w:rFonts w:ascii="Calibri" w:eastAsia="Calibri" w:hAnsi="Calibri" w:cs="Times New Roman"/>
                <w:lang w:val="en-GB"/>
              </w:rPr>
              <w:t xml:space="preserve"> vs </w:t>
            </w:r>
            <w:proofErr w:type="spellStart"/>
            <w:r w:rsidRPr="005F6822">
              <w:rPr>
                <w:rFonts w:ascii="Calibri" w:eastAsia="Calibri" w:hAnsi="Calibri" w:cs="Times New Roman"/>
                <w:lang w:val="en-GB"/>
              </w:rPr>
              <w:t>CT</w:t>
            </w:r>
            <w:r w:rsidR="000E2B31">
              <w:rPr>
                <w:rFonts w:ascii="Calibri" w:eastAsia="Calibri" w:hAnsi="Calibri" w:cs="Times New Roman"/>
                <w:vertAlign w:val="superscript"/>
                <w:lang w:val="en-GB"/>
              </w:rPr>
              <w:t>a</w:t>
            </w:r>
            <w:proofErr w:type="spellEnd"/>
          </w:p>
        </w:tc>
        <w:tc>
          <w:tcPr>
            <w:tcW w:w="1372" w:type="dxa"/>
          </w:tcPr>
          <w:p w14:paraId="70B5DDD7" w14:textId="3E2343F8" w:rsidR="00094FE1" w:rsidRPr="001C3570" w:rsidRDefault="00094FE1">
            <w:pPr>
              <w:spacing w:after="0" w:line="240" w:lineRule="auto"/>
              <w:rPr>
                <w:rFonts w:eastAsia="Calibri" w:cstheme="minorHAnsi"/>
                <w:lang w:val="en-GB"/>
              </w:rPr>
            </w:pPr>
            <w:r w:rsidRPr="001C3570">
              <w:rPr>
                <w:rFonts w:eastAsia="Calibri" w:cstheme="minorHAnsi"/>
                <w:lang w:val="en-GB"/>
              </w:rPr>
              <w:fldChar w:fldCharType="begin" w:fldLock="1"/>
            </w:r>
            <w:r w:rsidR="00315CD2">
              <w:rPr>
                <w:rFonts w:eastAsia="Calibri" w:cstheme="minorHAnsi"/>
                <w:lang w:val="en-GB"/>
              </w:rPr>
              <w:instrText>ADDIN CSL_CITATION {"citationItems":[{"id":"ITEM-1","itemData":{"DOI":"10.1056/NEJMoa1214886","ISSN":"0028-4793","abstract":"BACKGROUND In single-group studies, chromosomal rearrangements of the anaplastic lymphoma kinase gene (ALK) have been associated with marked clinical responses to crizotinib, an oral tyrosine kinase inhibitor targeting ALK. Whether crizotinib is superior to standard chemotherapy with respect to efficacy is unknown. METHODS We conducted a phase 3, open-label trial comparing crizotinib with chemotherapy in 347 patients with locally advanced or metastatic ALK-positive lung cancer who had received one prior platinum-based regimen. Patients were randomly assigned to receive oral treatment with crizotinib (250 mg) twice daily or intravenous chemotherapy with either pemetrexed (500 mg per square meter of body-surface area) or docetaxel (75 mg per square meter) every 3 weeks. Patients in the chemotherapy group who had disease progression were permitted to cross over to crizotinib as part of a separate study. The primary end point was progression-free survival. RESULTS The median progression-free survival was 7.7 months in the crizotinib group and 3.0 months in the chemotherapy group (hazard ratio for progression or death with crizotinib, 0.49; 95% confidence interval [CI], 0.37 to 0.64; P&lt;0.001). The response rates were 65% (95% CI, 58 to 72) with crizotinib, as compared with 20% (95% CI, 14 to 26) with chemotherapy (P&lt;0.001). An interim analysis of overall survival showed no significant improvement with crizotinib as compared with chemotherapy (hazard ratio for death in the crizotinib group, 1.02; 95% CI, 0.68 to 1.54; P=0.54). Common adverse events associated with crizotinib were visual disorder, gastrointestinal side effects, and elevated liver aminotransferase levels, whereas common adverse events with chemotherapy were fatigue, alopecia, and dyspnea. Patients reported greater reductions in symptoms of lung cancer and greater improvement in global quality of life with crizotinib than with chemotherapy. CONCLUSIONS Crizotinib is superior to standard chemotherapy in patients with previously treated, advanced non-small-cell lung cancer with ALK rearrangement. (Funded by Pfizer; ClinicalTrials.gov number, NCT00932893.).","author":[{"dropping-particle":"","family":"Shaw","given":"Alice T.","non-dropping-particle":"","parse-names":false,"suffix":""},{"dropping-particle":"","family":"Kim","given":"Dong-Wan","non-dropping-particle":"","parse-names":false,"suffix":""},{"dropping-particle":"","family":"Nakagawa","given":"Kazuhiko","non-dropping-particle":"","parse-names":false,"suffix":""},{"dropping-particle":"","family":"Seto","given":"Takashi","non-dropping-particle":"","parse-names":false,"suffix":""},{"dropping-particle":"","family":"Crinó","given":"Lucio","non-dropping-particle":"","parse-names":false,"suffix":""},{"dropping-particle":"","family":"Ahn","given":"Myung-Ju","non-dropping-particle":"","parse-names":false,"suffix":""},{"dropping-particle":"","family":"Pas","given":"Tommaso","non-dropping-particle":"De","parse-names":false,"suffix":""},{"dropping-particle":"","family":"Besse","given":"Benjamin","non-dropping-particle":"","parse-names":false,"suffix":""},{"dropping-particle":"","family":"Solomon","given":"Benjamin J.","non-dropping-particle":"","parse-names":false,"suffix":""},{"dropping-particle":"","family":"Blackhall","given":"Fiona","non-dropping-particle":"","parse-names":false,"suffix":""},{"dropping-particle":"","family":"Wu","given":"Yi-Long","non-dropping-particle":"","parse-names":false,"suffix":""},{"dropping-particle":"","family":"Thomas","given":"Michael","non-dropping-particle":"","parse-names":false,"suffix":""},{"dropping-particle":"","family":"O'Byrne","given":"Kenneth J.","non-dropping-particle":"","parse-names":false,"suffix":""},{"dropping-particle":"","family":"Moro-Sibilot","given":"Denis","non-dropping-particle":"","parse-names":false,"suffix":""},{"dropping-particle":"","family":"Camidge","given":"D. Ross","non-dropping-particle":"","parse-names":false,"suffix":""},{"dropping-particle":"","family":"Mok","given":"Tony","non-dropping-particle":"","parse-names":false,"suffix":""},{"dropping-particle":"","family":"Hirsh","given":"Vera","non-dropping-particle":"","parse-names":false,"suffix":""},{"dropping-particle":"","family":"Riely","given":"Gregory J.","non-dropping-particle":"","parse-names":false,"suffix":""},{"dropping-particle":"","family":"Iyer","given":"Shrividya","non-dropping-particle":"","parse-names":false,"suffix":""},{"dropping-particle":"","family":"Tassell","given":"Vanessa","non-dropping-particle":"","parse-names":false,"suffix":""},{"dropping-particle":"","family":"Polli","given":"Anna","non-dropping-particle":"","parse-names":false,"suffix":""},{"dropping-particle":"","family":"Wilner","given":"Keith D.","non-dropping-particle":"","parse-names":false,"suffix":""},{"dropping-particle":"","family":"Jänne","given":"Pasi A.","non-dropping-particle":"","parse-names":false,"suffix":""}],"container-title":"New England Journal of Medicine","id":"ITEM-1","issue":"25","issued":{"date-parts":[["2013","6","20"]]},"page":"2385-2394","publisher":"Massachusetts Medical Society","title":"Crizotinib versus Chemotherapy in Advanced ALK -Positive Lung Cancer","type":"article-journal","volume":"368"},"uris":["http://www.mendeley.com/documents/?uuid=9b5e1a1c-000f-30a7-923a-8cc3cd228adf"]}],"mendeley":{"formattedCitation":"[74]","plainTextFormattedCitation":"[74]","previouslyFormattedCitation":"[74]"},"properties":{"noteIndex":0},"schema":"https://github.com/citation-style-language/schema/raw/master/csl-citation.json"}</w:instrText>
            </w:r>
            <w:r w:rsidRPr="001C3570">
              <w:rPr>
                <w:rFonts w:eastAsia="Calibri" w:cstheme="minorHAnsi"/>
                <w:lang w:val="en-GB"/>
              </w:rPr>
              <w:fldChar w:fldCharType="separate"/>
            </w:r>
            <w:r w:rsidR="009F237B" w:rsidRPr="009F237B">
              <w:rPr>
                <w:rFonts w:eastAsia="Calibri" w:cstheme="minorHAnsi"/>
                <w:noProof/>
                <w:lang w:val="en-GB"/>
              </w:rPr>
              <w:t>[74]</w:t>
            </w:r>
            <w:r w:rsidRPr="001C3570">
              <w:rPr>
                <w:rFonts w:eastAsia="Calibri" w:cstheme="minorHAnsi"/>
                <w:lang w:val="en-GB"/>
              </w:rPr>
              <w:fldChar w:fldCharType="end"/>
            </w:r>
          </w:p>
        </w:tc>
      </w:tr>
      <w:tr w:rsidR="00094FE1" w:rsidRPr="005F6822" w14:paraId="1AA67192" w14:textId="77777777" w:rsidTr="00EF573D">
        <w:tc>
          <w:tcPr>
            <w:tcW w:w="1980" w:type="dxa"/>
          </w:tcPr>
          <w:p w14:paraId="52CA337C" w14:textId="1611095C" w:rsidR="00094FE1" w:rsidRPr="005F6822" w:rsidRDefault="00094FE1" w:rsidP="00C62DFE">
            <w:pPr>
              <w:spacing w:after="0" w:line="240" w:lineRule="auto"/>
              <w:rPr>
                <w:rFonts w:ascii="Calibri" w:eastAsia="Calibri" w:hAnsi="Calibri" w:cs="Times New Roman"/>
                <w:lang w:val="en-GB"/>
              </w:rPr>
            </w:pPr>
            <w:r w:rsidRPr="005F6822">
              <w:rPr>
                <w:rFonts w:ascii="Calibri" w:eastAsia="Calibri" w:hAnsi="Calibri" w:cs="Times New Roman"/>
                <w:lang w:val="en-GB"/>
              </w:rPr>
              <w:t xml:space="preserve">ROS1 </w:t>
            </w:r>
          </w:p>
        </w:tc>
        <w:tc>
          <w:tcPr>
            <w:tcW w:w="1917" w:type="dxa"/>
          </w:tcPr>
          <w:p w14:paraId="322605B2" w14:textId="0160990A" w:rsidR="00094FE1" w:rsidRPr="001C3570" w:rsidRDefault="00094FE1">
            <w:pPr>
              <w:spacing w:after="0" w:line="240" w:lineRule="auto"/>
              <w:rPr>
                <w:rFonts w:ascii="Calibri" w:eastAsia="Calibri" w:hAnsi="Calibri" w:cs="Times New Roman"/>
                <w:lang w:val="en-GB"/>
              </w:rPr>
            </w:pPr>
            <w:proofErr w:type="spellStart"/>
            <w:r w:rsidRPr="001C3570">
              <w:rPr>
                <w:rFonts w:ascii="Calibri" w:eastAsia="Calibri" w:hAnsi="Calibri" w:cs="Times New Roman"/>
                <w:lang w:val="en-GB"/>
              </w:rPr>
              <w:t>Crizotinib</w:t>
            </w:r>
            <w:proofErr w:type="spellEnd"/>
          </w:p>
        </w:tc>
        <w:tc>
          <w:tcPr>
            <w:tcW w:w="1833" w:type="dxa"/>
          </w:tcPr>
          <w:p w14:paraId="77B55BD9" w14:textId="17C6A9C7" w:rsidR="00094FE1" w:rsidRPr="005F6822" w:rsidRDefault="00094FE1">
            <w:pPr>
              <w:spacing w:after="0" w:line="240" w:lineRule="auto"/>
              <w:rPr>
                <w:rFonts w:ascii="Calibri" w:eastAsia="Calibri" w:hAnsi="Calibri" w:cs="Times New Roman"/>
                <w:sz w:val="24"/>
                <w:szCs w:val="24"/>
                <w:lang w:val="en-GB"/>
              </w:rPr>
            </w:pPr>
            <w:r w:rsidRPr="005F6822">
              <w:rPr>
                <w:rFonts w:ascii="Calibri" w:eastAsia="Calibri" w:hAnsi="Calibri" w:cs="Times New Roman"/>
                <w:sz w:val="24"/>
                <w:szCs w:val="24"/>
                <w:lang w:val="en-GB"/>
              </w:rPr>
              <w:t>Cis + Pem</w:t>
            </w:r>
          </w:p>
        </w:tc>
        <w:tc>
          <w:tcPr>
            <w:tcW w:w="1918" w:type="dxa"/>
          </w:tcPr>
          <w:p w14:paraId="03917A0A" w14:textId="3961B37A" w:rsidR="00094FE1" w:rsidRPr="005F6822" w:rsidRDefault="00094FE1">
            <w:pPr>
              <w:spacing w:after="0" w:line="240" w:lineRule="auto"/>
              <w:jc w:val="center"/>
              <w:rPr>
                <w:rFonts w:ascii="Calibri" w:eastAsia="Calibri" w:hAnsi="Calibri" w:cs="Times New Roman"/>
                <w:lang w:val="en-GB"/>
              </w:rPr>
            </w:pPr>
            <w:r w:rsidRPr="005F6822">
              <w:rPr>
                <w:rFonts w:ascii="Calibri" w:eastAsia="Calibri" w:hAnsi="Calibri" w:cs="Times New Roman"/>
                <w:lang w:val="en-GB"/>
              </w:rPr>
              <w:t>N/A</w:t>
            </w:r>
          </w:p>
        </w:tc>
        <w:tc>
          <w:tcPr>
            <w:tcW w:w="2582" w:type="dxa"/>
          </w:tcPr>
          <w:p w14:paraId="7F037BD0" w14:textId="742F1A9F" w:rsidR="00094FE1" w:rsidRPr="005F6822" w:rsidRDefault="00094FE1">
            <w:pPr>
              <w:spacing w:after="0" w:line="240" w:lineRule="auto"/>
              <w:rPr>
                <w:rFonts w:ascii="Calibri" w:eastAsia="Calibri" w:hAnsi="Calibri" w:cs="Times New Roman"/>
                <w:lang w:val="en-GB"/>
              </w:rPr>
            </w:pPr>
          </w:p>
        </w:tc>
        <w:tc>
          <w:tcPr>
            <w:tcW w:w="1372" w:type="dxa"/>
          </w:tcPr>
          <w:p w14:paraId="43B1E4E1" w14:textId="4E1D34A8" w:rsidR="00094FE1" w:rsidRPr="001C3570" w:rsidRDefault="00094FE1">
            <w:pPr>
              <w:spacing w:after="0" w:line="240" w:lineRule="auto"/>
              <w:rPr>
                <w:rFonts w:eastAsia="Calibri" w:cstheme="minorHAnsi"/>
                <w:lang w:val="en-GB"/>
              </w:rPr>
            </w:pPr>
          </w:p>
        </w:tc>
      </w:tr>
      <w:tr w:rsidR="00094FE1" w:rsidRPr="005F6822" w14:paraId="515C199C" w14:textId="77777777" w:rsidTr="00EF573D">
        <w:tc>
          <w:tcPr>
            <w:tcW w:w="1980" w:type="dxa"/>
          </w:tcPr>
          <w:p w14:paraId="7E5F9BBE" w14:textId="4C374A10" w:rsidR="00094FE1" w:rsidRPr="005F6822" w:rsidRDefault="00094FE1" w:rsidP="00C62DFE">
            <w:pPr>
              <w:spacing w:after="0" w:line="240" w:lineRule="auto"/>
              <w:rPr>
                <w:rFonts w:ascii="Calibri" w:eastAsia="Calibri" w:hAnsi="Calibri" w:cs="Times New Roman"/>
                <w:lang w:val="en-GB"/>
              </w:rPr>
            </w:pPr>
            <w:r w:rsidRPr="005F6822">
              <w:rPr>
                <w:rFonts w:ascii="Calibri" w:eastAsia="Calibri" w:hAnsi="Calibri" w:cs="Times New Roman"/>
                <w:lang w:val="en-GB"/>
              </w:rPr>
              <w:t xml:space="preserve">BRAF </w:t>
            </w:r>
            <w:r w:rsidRPr="005F6822">
              <w:rPr>
                <w:rFonts w:ascii="Calibri" w:eastAsia="Calibri" w:hAnsi="Calibri" w:cs="Times New Roman"/>
                <w:vertAlign w:val="subscript"/>
                <w:lang w:val="en-GB"/>
              </w:rPr>
              <w:t>(V600E)</w:t>
            </w:r>
            <w:r w:rsidRPr="005F6822">
              <w:rPr>
                <w:rFonts w:ascii="Calibri" w:eastAsia="Calibri" w:hAnsi="Calibri" w:cs="Times New Roman"/>
                <w:lang w:val="en-GB"/>
              </w:rPr>
              <w:t xml:space="preserve"> </w:t>
            </w:r>
          </w:p>
        </w:tc>
        <w:tc>
          <w:tcPr>
            <w:tcW w:w="1917" w:type="dxa"/>
          </w:tcPr>
          <w:p w14:paraId="34E6C096" w14:textId="149E781D" w:rsidR="00094FE1" w:rsidRPr="001C3570" w:rsidRDefault="00094FE1">
            <w:pPr>
              <w:spacing w:after="0" w:line="240" w:lineRule="auto"/>
              <w:rPr>
                <w:rFonts w:ascii="Calibri" w:eastAsia="Calibri" w:hAnsi="Calibri" w:cs="Times New Roman"/>
                <w:lang w:val="en-GB"/>
              </w:rPr>
            </w:pPr>
            <w:proofErr w:type="spellStart"/>
            <w:r w:rsidRPr="001C3570">
              <w:rPr>
                <w:rFonts w:ascii="Calibri" w:eastAsia="Calibri" w:hAnsi="Calibri" w:cs="Times New Roman"/>
                <w:lang w:val="en-GB"/>
              </w:rPr>
              <w:t>Dabraf</w:t>
            </w:r>
            <w:proofErr w:type="spellEnd"/>
            <w:r w:rsidRPr="001C3570">
              <w:rPr>
                <w:rFonts w:ascii="Calibri" w:eastAsia="Calibri" w:hAnsi="Calibri" w:cs="Times New Roman"/>
                <w:lang w:val="en-GB"/>
              </w:rPr>
              <w:t xml:space="preserve"> &amp; </w:t>
            </w:r>
            <w:proofErr w:type="spellStart"/>
            <w:r w:rsidRPr="001C3570">
              <w:rPr>
                <w:rFonts w:ascii="Calibri" w:eastAsia="Calibri" w:hAnsi="Calibri" w:cs="Times New Roman"/>
                <w:lang w:val="en-GB"/>
              </w:rPr>
              <w:t>Tramet</w:t>
            </w:r>
            <w:proofErr w:type="spellEnd"/>
          </w:p>
        </w:tc>
        <w:tc>
          <w:tcPr>
            <w:tcW w:w="1833" w:type="dxa"/>
          </w:tcPr>
          <w:p w14:paraId="1376F803" w14:textId="3321380E" w:rsidR="00094FE1" w:rsidRPr="005F6822" w:rsidRDefault="00094FE1">
            <w:pPr>
              <w:spacing w:after="0" w:line="240" w:lineRule="auto"/>
              <w:rPr>
                <w:rFonts w:ascii="Calibri" w:eastAsia="Calibri" w:hAnsi="Calibri" w:cs="Times New Roman"/>
                <w:sz w:val="24"/>
                <w:szCs w:val="24"/>
                <w:lang w:val="en-GB"/>
              </w:rPr>
            </w:pPr>
            <w:r w:rsidRPr="005F6822">
              <w:rPr>
                <w:rFonts w:ascii="Calibri" w:eastAsia="Calibri" w:hAnsi="Calibri" w:cs="Times New Roman"/>
                <w:sz w:val="24"/>
                <w:szCs w:val="24"/>
                <w:lang w:val="en-GB"/>
              </w:rPr>
              <w:t xml:space="preserve">PDL1 &gt;= 50: </w:t>
            </w:r>
            <w:proofErr w:type="spellStart"/>
            <w:r w:rsidRPr="005F6822">
              <w:rPr>
                <w:rFonts w:ascii="Calibri" w:eastAsia="Calibri" w:hAnsi="Calibri" w:cs="Times New Roman"/>
                <w:sz w:val="24"/>
                <w:szCs w:val="24"/>
                <w:lang w:val="en-GB"/>
              </w:rPr>
              <w:t>Pemb</w:t>
            </w:r>
            <w:proofErr w:type="spellEnd"/>
          </w:p>
        </w:tc>
        <w:tc>
          <w:tcPr>
            <w:tcW w:w="1918" w:type="dxa"/>
          </w:tcPr>
          <w:p w14:paraId="5615436F" w14:textId="1AC659F8" w:rsidR="00094FE1" w:rsidRPr="005F6822" w:rsidRDefault="00094FE1">
            <w:pPr>
              <w:spacing w:after="0" w:line="240" w:lineRule="auto"/>
              <w:jc w:val="center"/>
              <w:rPr>
                <w:rFonts w:ascii="Calibri" w:eastAsia="Calibri" w:hAnsi="Calibri" w:cs="Times New Roman"/>
                <w:lang w:val="en-GB"/>
              </w:rPr>
            </w:pPr>
            <w:r w:rsidRPr="005F6822">
              <w:rPr>
                <w:rFonts w:ascii="Calibri" w:eastAsia="Calibri" w:hAnsi="Calibri" w:cs="Times New Roman"/>
                <w:lang w:val="en-GB"/>
              </w:rPr>
              <w:t>0.59 (0.44 – 0.78)</w:t>
            </w:r>
          </w:p>
        </w:tc>
        <w:tc>
          <w:tcPr>
            <w:tcW w:w="2582" w:type="dxa"/>
          </w:tcPr>
          <w:p w14:paraId="08C8E9F2" w14:textId="467651D1" w:rsidR="00094FE1" w:rsidRPr="005F6822" w:rsidRDefault="00094FE1">
            <w:pPr>
              <w:spacing w:after="0" w:line="240" w:lineRule="auto"/>
              <w:rPr>
                <w:rFonts w:ascii="Calibri" w:eastAsia="Calibri" w:hAnsi="Calibri" w:cs="Times New Roman"/>
                <w:lang w:val="en-GB"/>
              </w:rPr>
            </w:pPr>
            <w:proofErr w:type="spellStart"/>
            <w:r w:rsidRPr="005F6822">
              <w:rPr>
                <w:rFonts w:ascii="Calibri" w:eastAsia="Calibri" w:hAnsi="Calibri" w:cs="Times New Roman"/>
                <w:lang w:val="en-GB"/>
              </w:rPr>
              <w:t>Pembro</w:t>
            </w:r>
            <w:proofErr w:type="spellEnd"/>
            <w:r w:rsidRPr="005F6822">
              <w:rPr>
                <w:rFonts w:ascii="Calibri" w:eastAsia="Calibri" w:hAnsi="Calibri" w:cs="Times New Roman"/>
                <w:lang w:val="en-GB"/>
              </w:rPr>
              <w:t xml:space="preserve"> (2 gm/kg) vs CT</w:t>
            </w:r>
          </w:p>
        </w:tc>
        <w:tc>
          <w:tcPr>
            <w:tcW w:w="1372" w:type="dxa"/>
          </w:tcPr>
          <w:p w14:paraId="1EC39C9E" w14:textId="7C479863" w:rsidR="00094FE1" w:rsidRPr="001C3570" w:rsidRDefault="00094FE1">
            <w:pPr>
              <w:spacing w:after="0" w:line="240" w:lineRule="auto"/>
              <w:rPr>
                <w:rFonts w:eastAsia="Calibri" w:cstheme="minorHAnsi"/>
                <w:lang w:val="en-GB"/>
              </w:rPr>
            </w:pPr>
            <w:r w:rsidRPr="001C3570">
              <w:rPr>
                <w:rFonts w:eastAsia="Calibri" w:cstheme="minorHAnsi"/>
                <w:lang w:val="en-GB"/>
              </w:rPr>
              <w:fldChar w:fldCharType="begin" w:fldLock="1"/>
            </w:r>
            <w:r w:rsidR="00315CD2">
              <w:rPr>
                <w:rFonts w:eastAsia="Calibri" w:cstheme="minorHAnsi"/>
                <w:lang w:val="en-GB"/>
              </w:rPr>
              <w:instrText>ADDIN CSL_CITATION {"citationItems":[{"id":"ITEM-1","itemData":{"DOI":"10.1016/S0140-6736(15)01281-7","ISSN":"01406736","PMID":"26712084","abstract":"Background Despite recent advances in the treatment of advanced non-small-cell lung cancer, there remains a need for effective treatments for progressive disease. We assessed the efficacy of pembrolizumab for patients with previously treated, PD-L1-positive, advanced non-small-cell lung cancer. Methods We did this randomised, open-label, phase 2/3 study at 202 academic medical centres in 24 countries. Patients with previously treated non-small-cell lung cancer with PD-L1 expression on at least 1% of tumour cells were randomly assigned (1:1:1) in blocks of six per stratum with an interactive voice-response system to receive pembrolizumab 2 mg/kg, pembrolizumab 10 mg/kg, or docetaxel 75 mg/m2 every 3 weeks. The primary endpoints were overall survival and progression-free survival both in the total population and in patients with PD-L1 expression on at least 50% of tumour cells. We used a threshold for significance of p&lt;0·00825 (one-sided) for the analysis of overall survival and a threshold of p&lt;0·001 for progression-free survival. This trial is registered at ClinicalTrials.gov, number NCT01905657. Findings Between Aug 28, 2013, and Feb 27, 2015, we enrolled 1034 patients: 345 allocated to pembrolizumab 2 mg/kg, 346 allocated to pembrolizumab 10 mg/kg, and 343 allocated to docetaxel. By Sept 30, 2015, 521 patients had died. In the total population, median overall survival was 10·4 months with pembrolizumab 2 mg/kg, 12·7 months with pembrolizumab 10 mg/kg, and 8·5 months with docetaxel. Overall survival was significantly longer for pembrolizumab 2 mg/kg versus docetaxel (hazard ratio [HR] 0·71, 95% CI 0·58-0·88; p=0·0008) and for pembrolizumab 10 mg/kg versus docetaxel (0·61, 0·49-0·75; p&lt;0·0001). Median progression-free survival was 3·9 months with pembrolizumab 2 mg/kg, 4·0 months with pembrolizumab 10 mg/kg, and 4·0 months with docetaxel, with no significant difference for pembrolizumab 2 mg/kg versus docetaxel (0·88, 0·74-1·05; p=0·07) or for pembrolizumab 10 mg/kg versus docetaxel (HR 0·79, 95% CI 0·66-0·94; p=0·004). Among patients with at least 50% of tumour cells expressing PD-L1, overall survival was significantly longer with pembrolizumab 2 mg/kg than with docetaxel (median 14·9 months vs 8·2 months; HR 0·54, 95% CI 0·38-0·77; p=0·0002) and with pembrolizumab 10 mg/kg than with docetaxel (17·3 months vs 8·2 months; 0·50, 0·36-0·70; p&lt;0·0001). Likewise, for this patient population, progression-free survival was significantly longer with pembrolizu…","author":[{"dropping-particle":"","family":"Herbst","given":"Roy S.","non-dropping-particle":"","parse-names":false,"suffix":""},{"dropping-particle":"","family":"Baas","given":"Paul","non-dropping-particle":"","parse-names":false,"suffix":""},{"dropping-particle":"","family":"Kim","given":"Dong-Wan","non-dropping-particle":"","parse-names":false,"suffix":""},{"dropping-particle":"","family":"Felip","given":"Enriqueta","non-dropping-particle":"","parse-names":false,"suffix":""},{"dropping-particle":"","family":"Pérez-Gracia","given":"José L.","non-dropping-particle":"","parse-names":false,"suffix":""},{"dropping-particle":"","family":"Han","given":"Ji-Youn","non-dropping-particle":"","parse-names":false,"suffix":""},{"dropping-particle":"","family":"Molina","given":"Julian","non-dropping-particle":"","parse-names":false,"suffix":""},{"dropping-particle":"","family":"Kim","given":"Joo-Hang","non-dropping-particle":"","parse-names":false,"suffix":""},{"dropping-particle":"","family":"Arvis","given":"Catherine Dubos","non-dropping-particle":"","parse-names":false,"suffix":""},{"dropping-particle":"","family":"Ahn","given":"Myung-Ju","non-dropping-particle":"","parse-names":false,"suffix":""},{"dropping-particle":"","family":"Majem","given":"Margarita","non-dropping-particle":"","parse-names":false,"suffix":""},{"dropping-particle":"","family":"Fidler","given":"Mary J.","non-dropping-particle":"","parse-names":false,"suffix":""},{"dropping-particle":"","family":"Castro","given":"Gilberto","non-dropping-particle":"de","parse-names":false,"suffix":""},{"dropping-particle":"","family":"Garrido","given":"Marcelo","non-dropping-particle":"","parse-names":false,"suffix":""},{"dropping-particle":"","family":"Lubiniecki","given":"Gregory M.","non-dropping-particle":"","parse-names":false,"suffix":""},{"dropping-particle":"","family":"Shentu","given":"Yue","non-dropping-particle":"","parse-names":false,"suffix":""},{"dropping-particle":"","family":"Im","given":"Ellie","non-dropping-particle":"","parse-names":false,"suffix":""},{"dropping-particle":"","family":"Dolled-Filhart","given":"Marisa","non-dropping-particle":"","parse-names":false,"suffix":""},{"dropping-particle":"","family":"Garon","given":"Edward B.","non-dropping-particle":"","parse-names":false,"suffix":""}],"container-title":"The Lancet","id":"ITEM-1","issue":"10027","issued":{"date-parts":[["2016","4","9"]]},"page":"1540-1550","publisher":"Lancet Publishing Group","title":"Pembrolizumab versus docetaxel for previously treated, PD-L1-positive, advanced non-small-cell lung cancer (KEYNOTE-010): a randomised controlled trial","type":"article-journal","volume":"387"},"uris":["http://www.mendeley.com/documents/?uuid=49e75149-3fe0-3a82-ac0d-a87c7ba5a1a0"]}],"mendeley":{"formattedCitation":"[35]","plainTextFormattedCitation":"[35]","previouslyFormattedCitation":"[35]"},"properties":{"noteIndex":0},"schema":"https://github.com/citation-style-language/schema/raw/master/csl-citation.json"}</w:instrText>
            </w:r>
            <w:r w:rsidRPr="001C3570">
              <w:rPr>
                <w:rFonts w:eastAsia="Calibri" w:cstheme="minorHAnsi"/>
                <w:lang w:val="en-GB"/>
              </w:rPr>
              <w:fldChar w:fldCharType="separate"/>
            </w:r>
            <w:r w:rsidR="009F237B" w:rsidRPr="009F237B">
              <w:rPr>
                <w:rFonts w:eastAsia="Calibri" w:cstheme="minorHAnsi"/>
                <w:noProof/>
                <w:lang w:val="nl-NL"/>
              </w:rPr>
              <w:t>[35]</w:t>
            </w:r>
            <w:r w:rsidRPr="001C3570">
              <w:rPr>
                <w:rFonts w:eastAsia="Calibri" w:cstheme="minorHAnsi"/>
                <w:lang w:val="en-GB"/>
              </w:rPr>
              <w:fldChar w:fldCharType="end"/>
            </w:r>
          </w:p>
        </w:tc>
      </w:tr>
      <w:tr w:rsidR="00094FE1" w:rsidRPr="00F919CD" w14:paraId="16DF30C9" w14:textId="77777777" w:rsidTr="00EF573D">
        <w:tc>
          <w:tcPr>
            <w:tcW w:w="1980" w:type="dxa"/>
          </w:tcPr>
          <w:p w14:paraId="554F690F" w14:textId="219887EA" w:rsidR="00094FE1" w:rsidRPr="005F6822" w:rsidRDefault="00094FE1" w:rsidP="00C62DFE">
            <w:pPr>
              <w:spacing w:after="0" w:line="240" w:lineRule="auto"/>
              <w:rPr>
                <w:rFonts w:ascii="Calibri" w:eastAsia="Calibri" w:hAnsi="Calibri" w:cs="Times New Roman"/>
                <w:lang w:val="en-GB"/>
              </w:rPr>
            </w:pPr>
          </w:p>
        </w:tc>
        <w:tc>
          <w:tcPr>
            <w:tcW w:w="1917" w:type="dxa"/>
          </w:tcPr>
          <w:p w14:paraId="627E5A29" w14:textId="73A2ED01" w:rsidR="00094FE1" w:rsidRPr="001C3570" w:rsidRDefault="00094FE1">
            <w:pPr>
              <w:spacing w:after="0" w:line="240" w:lineRule="auto"/>
              <w:rPr>
                <w:rFonts w:ascii="Calibri" w:eastAsia="Calibri" w:hAnsi="Calibri" w:cs="Times New Roman"/>
                <w:lang w:val="en-GB"/>
              </w:rPr>
            </w:pPr>
          </w:p>
        </w:tc>
        <w:tc>
          <w:tcPr>
            <w:tcW w:w="1833" w:type="dxa"/>
          </w:tcPr>
          <w:p w14:paraId="2455BE73" w14:textId="45BAFA28" w:rsidR="00094FE1" w:rsidRPr="005F6822" w:rsidRDefault="00094FE1">
            <w:pPr>
              <w:spacing w:after="0" w:line="240" w:lineRule="auto"/>
              <w:rPr>
                <w:rFonts w:ascii="Calibri" w:eastAsia="Calibri" w:hAnsi="Calibri" w:cs="Times New Roman"/>
                <w:sz w:val="24"/>
                <w:szCs w:val="24"/>
                <w:lang w:val="en-GB"/>
              </w:rPr>
            </w:pPr>
            <w:r w:rsidRPr="00D51C11">
              <w:rPr>
                <w:rFonts w:ascii="Calibri" w:eastAsia="Calibri" w:hAnsi="Calibri" w:cs="Times New Roman"/>
                <w:sz w:val="24"/>
                <w:szCs w:val="24"/>
                <w:lang w:val="nl-NL"/>
              </w:rPr>
              <w:t>PDL1 &lt; 50: Pemb + Chem</w:t>
            </w:r>
          </w:p>
        </w:tc>
        <w:tc>
          <w:tcPr>
            <w:tcW w:w="1918" w:type="dxa"/>
          </w:tcPr>
          <w:p w14:paraId="0877F64E" w14:textId="7D94321C" w:rsidR="00094FE1" w:rsidRPr="00094FE1" w:rsidRDefault="00094FE1">
            <w:pPr>
              <w:spacing w:after="0" w:line="240" w:lineRule="auto"/>
              <w:jc w:val="center"/>
              <w:rPr>
                <w:rFonts w:ascii="Calibri" w:eastAsia="Calibri" w:hAnsi="Calibri" w:cs="Times New Roman"/>
                <w:iCs/>
                <w:lang w:val="en-GB"/>
              </w:rPr>
            </w:pPr>
            <w:r w:rsidRPr="00094FE1">
              <w:rPr>
                <w:rFonts w:ascii="Calibri" w:eastAsia="Calibri" w:hAnsi="Calibri" w:cs="Times New Roman"/>
                <w:iCs/>
                <w:lang w:val="nl-NL"/>
              </w:rPr>
              <w:t>0.59 (0.44 – 0.78)</w:t>
            </w:r>
          </w:p>
        </w:tc>
        <w:tc>
          <w:tcPr>
            <w:tcW w:w="2582" w:type="dxa"/>
          </w:tcPr>
          <w:p w14:paraId="7D30CE79" w14:textId="4D288AC3" w:rsidR="00094FE1" w:rsidRPr="005F6822" w:rsidRDefault="00094FE1">
            <w:pPr>
              <w:spacing w:after="0" w:line="240" w:lineRule="auto"/>
              <w:rPr>
                <w:rFonts w:ascii="Calibri" w:eastAsia="Calibri" w:hAnsi="Calibri" w:cs="Times New Roman"/>
                <w:lang w:val="en-GB"/>
              </w:rPr>
            </w:pPr>
            <w:r w:rsidRPr="00D51C11">
              <w:rPr>
                <w:rFonts w:ascii="Calibri" w:eastAsia="Calibri" w:hAnsi="Calibri" w:cs="Times New Roman"/>
                <w:lang w:val="nl-NL"/>
              </w:rPr>
              <w:t>Pembro (2 gm/kg) vs CT</w:t>
            </w:r>
            <w:r w:rsidR="000E2B31">
              <w:rPr>
                <w:rFonts w:ascii="Calibri" w:eastAsia="Calibri" w:hAnsi="Calibri" w:cs="Times New Roman"/>
                <w:iCs/>
                <w:vertAlign w:val="superscript"/>
                <w:lang w:val="nl-NL"/>
              </w:rPr>
              <w:t xml:space="preserve"> b</w:t>
            </w:r>
          </w:p>
        </w:tc>
        <w:tc>
          <w:tcPr>
            <w:tcW w:w="1372" w:type="dxa"/>
          </w:tcPr>
          <w:p w14:paraId="546DE461" w14:textId="66B2AFD3" w:rsidR="00094FE1" w:rsidRPr="00357FBE" w:rsidRDefault="00094FE1">
            <w:pPr>
              <w:spacing w:after="0" w:line="240" w:lineRule="auto"/>
              <w:rPr>
                <w:rFonts w:eastAsia="Calibri" w:cstheme="minorHAnsi"/>
                <w:lang w:val="en-GB"/>
              </w:rPr>
            </w:pPr>
            <w:r w:rsidRPr="001C3570">
              <w:rPr>
                <w:rFonts w:eastAsia="Calibri" w:cstheme="minorHAnsi"/>
                <w:lang w:val="en-GB"/>
              </w:rPr>
              <w:fldChar w:fldCharType="begin" w:fldLock="1"/>
            </w:r>
            <w:r w:rsidR="00315CD2">
              <w:rPr>
                <w:rFonts w:eastAsia="Calibri" w:cstheme="minorHAnsi"/>
                <w:lang w:val="nl-NL"/>
              </w:rPr>
              <w:instrText>ADDIN CSL_CITATION {"citationItems":[{"id":"ITEM-1","itemData":{"DOI":"10.1016/S0140-6736(15)01281-7","ISSN":"01406736","PMID":"26712084","abstract":"Background Despite recent advances in the treatment of advanced non-small-cell lung cancer, there remains a need for effective treatments for progressive disease. We assessed the efficacy of pembrolizumab for patients with previously treated, PD-L1-positive, advanced non-small-cell lung cancer. Methods We did this randomised, open-label, phase 2/3 study at 202 academic medical centres in 24 countries. Patients with previously treated non-small-cell lung cancer with PD-L1 expression on at least 1% of tumour cells were randomly assigned (1:1:1) in blocks of six per stratum with an interactive voice-response system to receive pembrolizumab 2 mg/kg, pembrolizumab 10 mg/kg, or docetaxel 75 mg/m2 every 3 weeks. The primary endpoints were overall survival and progression-free survival both in the total population and in patients with PD-L1 expression on at least 50% of tumour cells. We used a threshold for significance of p&lt;0·00825 (one-sided) for the analysis of overall survival and a threshold of p&lt;0·001 for progression-free survival. This trial is registered at ClinicalTrials.gov, number NCT01905657. Findings Between Aug 28, 2013, and Feb 27, 2015, we enrolled 1034 patients: 345 allocated to pembrolizumab 2 mg/kg, 346 allocated to pembrolizumab 10 mg/kg, and 343 allocated to docetaxel. By Sept 30, 2015, 521 patients had died. In the total population, median overall survival was 10·4 months with pembrolizumab 2 mg/kg, 12·7 months with pembrolizumab 10 mg/kg, and 8·5 months with docetaxel. Overall survival was significantly longer for pembrolizumab 2 mg/kg versus docetaxel (hazard ratio [HR] 0·71, 95% CI 0·58-0·88; p=0·0008) and for pembrolizumab 10 mg/kg versus docetaxel (0·61, 0·49-0·75; p&lt;0·0001). Median progression-free survival was 3·9 months with pembrolizumab 2 mg/kg, 4·0 months with pembrolizumab 10 mg/kg, and 4·0 months with docetaxel, with no significant difference for pembrolizumab 2 mg/kg versus docetaxel (0·88, 0·74-1·05; p=0·07) or for pembrolizumab 10 mg/kg versus docetaxel (HR 0·79, 95% CI 0·66-0·94; p=0·004). Among patients with at least 50% of tumour cells expressing PD-L1, overall survival was significantly longer with pembrolizumab 2 mg/kg than with docetaxel (median 14·9 months vs 8·2 months; HR 0·54, 95% CI 0·38-0·77; p=0·0002) and with pembrolizumab 10 mg/kg than with docetaxel (17·3 months vs 8·2 months; 0·50, 0·36-0·70; p&lt;0·0001). Likewise, for this patient population, progression-free survival was significantly longer with pembrolizu…","author":[{"dropping-particle":"","family":"Herbst","given":"Roy S.","non-dropping-particle":"","parse-names":false,"suffix":""},{"dropping-particle":"","family":"Baas","given":"Paul","non-dropping-particle":"","parse-names":false,"suffix":""},{"dropping-particle":"","family":"Kim","given":"Dong-Wan","non-dropping-particle":"","parse-names":false,"suffix":""},{"dropping-particle":"","family":"Felip","given":"Enriqueta","non-dropping-particle":"","parse-names":false,"suffix":""},{"dropping-particle":"","family":"Pérez-Gracia","given":"José L.","non-dropping-particle":"","parse-names":false,"suffix":""},{"dropping-particle":"","family":"Han","given":"Ji-Youn","non-dropping-particle":"","parse-names":false,"suffix":""},{"dropping-particle":"","family":"Molina","given":"Julian","non-dropping-particle":"","parse-names":false,"suffix":""},{"dropping-particle":"","family":"Kim","given":"Joo-Hang","non-dropping-particle":"","parse-names":false,"suffix":""},{"dropping-particle":"","family":"Arvis","given":"Catherine Dubos","non-dropping-particle":"","parse-names":false,"suffix":""},{"dropping-particle":"","family":"Ahn","given":"Myung-Ju","non-dropping-particle":"","parse-names":false,"suffix":""},{"dropping-particle":"","family":"Majem","given":"Margarita","non-dropping-particle":"","parse-names":false,"suffix":""},{"dropping-particle":"","family":"Fidler","given":"Mary J.","non-dropping-particle":"","parse-names":false,"suffix":""},{"dropping-particle":"","family":"Cas</w:instrText>
            </w:r>
            <w:r w:rsidR="00315CD2" w:rsidRPr="00357FBE">
              <w:rPr>
                <w:rFonts w:eastAsia="Calibri" w:cstheme="minorHAnsi"/>
                <w:lang w:val="en-GB"/>
              </w:rPr>
              <w:instrText>tro","given":"Gilberto","non-dropping-particle":"de","parse-names":false,"suffix":""},{"dropping-particle":"","family":"Garrido","given":"Marcelo","non-dropping-particle":"","parse-names":false,"suffix":""},{"dropping-particle":"","family":"Lubiniecki","given":"Gregory M.","non-dropping-particle":"","parse-names":false,"suffix":""},{"dropping-particle":"","family":"Shentu","given":"Yue","non-dropping-particle":"","parse-names":false,"suffix":""},{"dropping-particle":"","family":"Im","given":"Ellie","non-dropping-particle":"","parse-names":false,"suffix":""},{"dropping-particle":"","family":"Dolled-Filhart","given":"Marisa","non-dropping-particle":"","parse-names":false,"suffix":""},{"dropping-particle":"","family":"Garon","given":"Edward B.","non-dropping-particle":"","parse-names":false,"suffix":""}],"container-title":"The Lancet","id":"ITEM-1","issue":"10027","issued":{"date-parts":[["2016","4","9"]]},"page":"1540-1550","publisher":"Lancet Publishing Group","title":"Pembrolizumab versus docetaxel for previously treated, PD-L1-positive, advanced non-small-cell lung cancer (KEYNOTE-010): a randomised controlled trial","type":"article-journal","volume":"387"},"uris":["http://www.mendeley.com/documents/?uuid=49e75149-3fe0-3a82-ac0d-a87c7ba5a1a0"]}],"mendeley":{"formattedCitation":"[35]","plainTextFormattedCitation":"[35]","previouslyFormattedCitation":"[35]"},"properties":{"noteIndex":0},"schema":"https://github.com/citation-style-language/schema/raw/master/csl-citation.json"}</w:instrText>
            </w:r>
            <w:r w:rsidRPr="001C3570">
              <w:rPr>
                <w:rFonts w:eastAsia="Calibri" w:cstheme="minorHAnsi"/>
                <w:lang w:val="en-GB"/>
              </w:rPr>
              <w:fldChar w:fldCharType="separate"/>
            </w:r>
            <w:r w:rsidR="009F237B" w:rsidRPr="009F237B">
              <w:rPr>
                <w:rFonts w:eastAsia="Calibri" w:cstheme="minorHAnsi"/>
                <w:noProof/>
                <w:lang w:val="en-GB"/>
              </w:rPr>
              <w:t>[35]</w:t>
            </w:r>
            <w:r w:rsidRPr="001C3570">
              <w:rPr>
                <w:rFonts w:eastAsia="Calibri" w:cstheme="minorHAnsi"/>
                <w:lang w:val="en-GB"/>
              </w:rPr>
              <w:fldChar w:fldCharType="end"/>
            </w:r>
          </w:p>
        </w:tc>
      </w:tr>
      <w:tr w:rsidR="00094FE1" w:rsidRPr="005F6822" w14:paraId="27608A66" w14:textId="77777777" w:rsidTr="00EF573D">
        <w:tc>
          <w:tcPr>
            <w:tcW w:w="1980" w:type="dxa"/>
          </w:tcPr>
          <w:p w14:paraId="0B5F56CE" w14:textId="11B2616E" w:rsidR="00094FE1" w:rsidRPr="00357FBE" w:rsidRDefault="00094FE1" w:rsidP="00C62DFE">
            <w:pPr>
              <w:spacing w:after="0" w:line="240" w:lineRule="auto"/>
              <w:rPr>
                <w:rFonts w:ascii="Calibri" w:eastAsia="Calibri" w:hAnsi="Calibri" w:cs="Times New Roman"/>
                <w:lang w:val="en-GB"/>
              </w:rPr>
            </w:pPr>
            <w:r w:rsidRPr="005F6822">
              <w:rPr>
                <w:rFonts w:ascii="Calibri" w:eastAsia="Calibri" w:hAnsi="Calibri" w:cs="Times New Roman"/>
                <w:lang w:val="en-GB"/>
              </w:rPr>
              <w:t>NTRK</w:t>
            </w:r>
            <w:r w:rsidRPr="005F6822">
              <w:rPr>
                <w:rFonts w:ascii="Calibri" w:eastAsia="Calibri" w:hAnsi="Calibri" w:cs="Times New Roman"/>
                <w:vertAlign w:val="subscript"/>
                <w:lang w:val="en-GB"/>
              </w:rPr>
              <w:t xml:space="preserve"> (1,2,3)</w:t>
            </w:r>
            <w:r w:rsidRPr="005F6822">
              <w:rPr>
                <w:rFonts w:ascii="Calibri" w:eastAsia="Calibri" w:hAnsi="Calibri" w:cs="Times New Roman"/>
                <w:lang w:val="en-GB"/>
              </w:rPr>
              <w:t xml:space="preserve"> </w:t>
            </w:r>
          </w:p>
        </w:tc>
        <w:tc>
          <w:tcPr>
            <w:tcW w:w="1917" w:type="dxa"/>
          </w:tcPr>
          <w:p w14:paraId="6391D0C2" w14:textId="03506553" w:rsidR="00094FE1" w:rsidRPr="00357FBE" w:rsidRDefault="00094FE1">
            <w:pPr>
              <w:spacing w:after="0" w:line="240" w:lineRule="auto"/>
              <w:rPr>
                <w:rFonts w:ascii="Calibri" w:eastAsia="Calibri" w:hAnsi="Calibri" w:cs="Times New Roman"/>
                <w:lang w:val="en-GB"/>
              </w:rPr>
            </w:pPr>
            <w:proofErr w:type="spellStart"/>
            <w:r w:rsidRPr="001C3570">
              <w:rPr>
                <w:rFonts w:ascii="Calibri" w:eastAsia="Calibri" w:hAnsi="Calibri" w:cs="Times New Roman"/>
                <w:lang w:val="en-GB"/>
              </w:rPr>
              <w:t>Larotrectinib</w:t>
            </w:r>
            <w:proofErr w:type="spellEnd"/>
          </w:p>
        </w:tc>
        <w:tc>
          <w:tcPr>
            <w:tcW w:w="1833" w:type="dxa"/>
          </w:tcPr>
          <w:p w14:paraId="6C029DF5" w14:textId="7B771533" w:rsidR="00094FE1" w:rsidRPr="00357FBE" w:rsidRDefault="00094FE1">
            <w:pPr>
              <w:spacing w:after="0" w:line="240" w:lineRule="auto"/>
              <w:rPr>
                <w:rFonts w:ascii="Calibri" w:eastAsia="Calibri" w:hAnsi="Calibri" w:cs="Times New Roman"/>
                <w:sz w:val="24"/>
                <w:szCs w:val="24"/>
                <w:lang w:val="en-GB"/>
              </w:rPr>
            </w:pPr>
            <w:r w:rsidRPr="005F6822">
              <w:rPr>
                <w:rFonts w:ascii="Calibri" w:eastAsia="Calibri" w:hAnsi="Calibri" w:cs="Times New Roman"/>
                <w:sz w:val="24"/>
                <w:szCs w:val="24"/>
                <w:lang w:val="en-GB"/>
              </w:rPr>
              <w:t xml:space="preserve">Cis + </w:t>
            </w:r>
            <w:proofErr w:type="spellStart"/>
            <w:r w:rsidRPr="005F6822">
              <w:rPr>
                <w:rFonts w:ascii="Calibri" w:eastAsia="Calibri" w:hAnsi="Calibri" w:cs="Times New Roman"/>
                <w:sz w:val="24"/>
                <w:szCs w:val="24"/>
                <w:lang w:val="en-GB"/>
              </w:rPr>
              <w:t>Pem</w:t>
            </w:r>
            <w:proofErr w:type="spellEnd"/>
          </w:p>
        </w:tc>
        <w:tc>
          <w:tcPr>
            <w:tcW w:w="1918" w:type="dxa"/>
          </w:tcPr>
          <w:p w14:paraId="3B72A708" w14:textId="04607262" w:rsidR="00094FE1" w:rsidRPr="00357FBE" w:rsidRDefault="00094FE1">
            <w:pPr>
              <w:spacing w:after="0" w:line="240" w:lineRule="auto"/>
              <w:jc w:val="center"/>
              <w:rPr>
                <w:rFonts w:ascii="Calibri" w:eastAsia="Calibri" w:hAnsi="Calibri" w:cs="Times New Roman"/>
                <w:i/>
                <w:vertAlign w:val="superscript"/>
                <w:lang w:val="en-GB"/>
              </w:rPr>
            </w:pPr>
            <w:r w:rsidRPr="005F6822">
              <w:rPr>
                <w:rFonts w:ascii="Calibri" w:eastAsia="Calibri" w:hAnsi="Calibri" w:cs="Times New Roman"/>
                <w:lang w:val="en-GB"/>
              </w:rPr>
              <w:t>N/A</w:t>
            </w:r>
          </w:p>
        </w:tc>
        <w:tc>
          <w:tcPr>
            <w:tcW w:w="2582" w:type="dxa"/>
          </w:tcPr>
          <w:p w14:paraId="387EAE74" w14:textId="34C97EC3" w:rsidR="00094FE1" w:rsidRPr="00357FBE" w:rsidRDefault="00094FE1">
            <w:pPr>
              <w:spacing w:after="0" w:line="240" w:lineRule="auto"/>
              <w:rPr>
                <w:rFonts w:ascii="Calibri" w:eastAsia="Calibri" w:hAnsi="Calibri" w:cs="Times New Roman"/>
                <w:lang w:val="en-GB"/>
              </w:rPr>
            </w:pPr>
            <w:r w:rsidRPr="005F6822">
              <w:rPr>
                <w:rFonts w:ascii="Calibri" w:eastAsia="Calibri" w:hAnsi="Calibri" w:cs="Times New Roman"/>
                <w:lang w:val="en-GB"/>
              </w:rPr>
              <w:t>-</w:t>
            </w:r>
          </w:p>
        </w:tc>
        <w:tc>
          <w:tcPr>
            <w:tcW w:w="1372" w:type="dxa"/>
          </w:tcPr>
          <w:p w14:paraId="6EF77C18" w14:textId="6A368359" w:rsidR="00094FE1" w:rsidRPr="001C3570" w:rsidRDefault="00094FE1">
            <w:pPr>
              <w:spacing w:after="0" w:line="240" w:lineRule="auto"/>
              <w:rPr>
                <w:rFonts w:eastAsia="Calibri" w:cstheme="minorHAnsi"/>
                <w:lang w:val="en-GB"/>
              </w:rPr>
            </w:pPr>
            <w:r w:rsidRPr="001C3570">
              <w:rPr>
                <w:rFonts w:eastAsia="Calibri" w:cstheme="minorHAnsi"/>
                <w:lang w:val="en-GB"/>
              </w:rPr>
              <w:t>-</w:t>
            </w:r>
          </w:p>
        </w:tc>
      </w:tr>
      <w:tr w:rsidR="00094FE1" w:rsidRPr="005F6822" w14:paraId="35B6FDEC" w14:textId="77777777" w:rsidTr="00EF573D">
        <w:tc>
          <w:tcPr>
            <w:tcW w:w="1980" w:type="dxa"/>
          </w:tcPr>
          <w:p w14:paraId="3DAA3143" w14:textId="383D6905" w:rsidR="00094FE1" w:rsidRPr="005F6822" w:rsidRDefault="00094FE1" w:rsidP="00C62DFE">
            <w:pPr>
              <w:spacing w:after="0" w:line="240" w:lineRule="auto"/>
              <w:rPr>
                <w:rFonts w:ascii="Calibri" w:eastAsia="Calibri" w:hAnsi="Calibri" w:cs="Times New Roman"/>
                <w:lang w:val="en-GB"/>
              </w:rPr>
            </w:pPr>
            <w:r w:rsidRPr="005F6822">
              <w:rPr>
                <w:rFonts w:ascii="Calibri" w:eastAsia="Calibri" w:hAnsi="Calibri" w:cs="Times New Roman"/>
                <w:lang w:val="en-GB"/>
              </w:rPr>
              <w:t xml:space="preserve">MET </w:t>
            </w:r>
            <w:r w:rsidRPr="005F6822">
              <w:rPr>
                <w:rFonts w:ascii="Calibri" w:eastAsia="Calibri" w:hAnsi="Calibri" w:cs="Times New Roman"/>
                <w:vertAlign w:val="subscript"/>
                <w:lang w:val="en-GB"/>
              </w:rPr>
              <w:t xml:space="preserve">(amp / exon 14 </w:t>
            </w:r>
            <w:proofErr w:type="spellStart"/>
            <w:r w:rsidRPr="005F6822">
              <w:rPr>
                <w:rFonts w:ascii="Calibri" w:eastAsia="Calibri" w:hAnsi="Calibri" w:cs="Times New Roman"/>
                <w:vertAlign w:val="subscript"/>
                <w:lang w:val="en-GB"/>
              </w:rPr>
              <w:t>sk</w:t>
            </w:r>
            <w:proofErr w:type="spellEnd"/>
            <w:r w:rsidRPr="005F6822">
              <w:rPr>
                <w:rFonts w:ascii="Calibri" w:eastAsia="Calibri" w:hAnsi="Calibri" w:cs="Times New Roman"/>
                <w:vertAlign w:val="subscript"/>
                <w:lang w:val="en-GB"/>
              </w:rPr>
              <w:t>)</w:t>
            </w:r>
            <w:r w:rsidRPr="005F6822">
              <w:rPr>
                <w:rFonts w:ascii="Calibri" w:eastAsia="Calibri" w:hAnsi="Calibri" w:cs="Times New Roman"/>
                <w:lang w:val="en-GB"/>
              </w:rPr>
              <w:t xml:space="preserve"> </w:t>
            </w:r>
          </w:p>
        </w:tc>
        <w:tc>
          <w:tcPr>
            <w:tcW w:w="1917" w:type="dxa"/>
          </w:tcPr>
          <w:p w14:paraId="4530B8BF" w14:textId="45A0B1B5" w:rsidR="00094FE1" w:rsidRPr="001C3570" w:rsidRDefault="00094FE1">
            <w:pPr>
              <w:spacing w:after="0" w:line="240" w:lineRule="auto"/>
              <w:rPr>
                <w:rFonts w:ascii="Calibri" w:eastAsia="Calibri" w:hAnsi="Calibri" w:cs="Times New Roman"/>
                <w:lang w:val="en-GB"/>
              </w:rPr>
            </w:pPr>
            <w:r w:rsidRPr="001C3570">
              <w:rPr>
                <w:rFonts w:ascii="Calibri" w:eastAsia="Calibri" w:hAnsi="Calibri" w:cs="Times New Roman"/>
                <w:lang w:val="en-GB"/>
              </w:rPr>
              <w:t>depends PDL1</w:t>
            </w:r>
          </w:p>
        </w:tc>
        <w:tc>
          <w:tcPr>
            <w:tcW w:w="1833" w:type="dxa"/>
          </w:tcPr>
          <w:p w14:paraId="792C5651" w14:textId="46992E52" w:rsidR="00094FE1" w:rsidRPr="005F6822" w:rsidRDefault="00094FE1">
            <w:pPr>
              <w:spacing w:after="0" w:line="240" w:lineRule="auto"/>
              <w:rPr>
                <w:rFonts w:ascii="Calibri" w:eastAsia="Calibri" w:hAnsi="Calibri" w:cs="Times New Roman"/>
                <w:sz w:val="24"/>
                <w:szCs w:val="24"/>
                <w:lang w:val="en-GB"/>
              </w:rPr>
            </w:pPr>
            <w:r w:rsidRPr="005F6822">
              <w:rPr>
                <w:rFonts w:ascii="Calibri" w:eastAsia="Calibri" w:hAnsi="Calibri" w:cs="Times New Roman"/>
                <w:sz w:val="24"/>
                <w:szCs w:val="24"/>
                <w:lang w:val="en-GB"/>
              </w:rPr>
              <w:t>-</w:t>
            </w:r>
          </w:p>
        </w:tc>
        <w:tc>
          <w:tcPr>
            <w:tcW w:w="1918" w:type="dxa"/>
          </w:tcPr>
          <w:p w14:paraId="34F866F3" w14:textId="0346E319" w:rsidR="00094FE1" w:rsidRPr="005F6822" w:rsidRDefault="00094FE1">
            <w:pPr>
              <w:spacing w:after="0" w:line="240" w:lineRule="auto"/>
              <w:jc w:val="center"/>
              <w:rPr>
                <w:rFonts w:ascii="Calibri" w:eastAsia="Calibri" w:hAnsi="Calibri" w:cs="Times New Roman"/>
                <w:lang w:val="en-GB"/>
              </w:rPr>
            </w:pPr>
            <w:r w:rsidRPr="005F6822">
              <w:rPr>
                <w:rFonts w:ascii="Calibri" w:eastAsia="Calibri" w:hAnsi="Calibri" w:cs="Times New Roman"/>
                <w:lang w:val="en-GB"/>
              </w:rPr>
              <w:t>-</w:t>
            </w:r>
          </w:p>
        </w:tc>
        <w:tc>
          <w:tcPr>
            <w:tcW w:w="2582" w:type="dxa"/>
          </w:tcPr>
          <w:p w14:paraId="38924621" w14:textId="276657B1" w:rsidR="00094FE1" w:rsidRPr="005F6822" w:rsidRDefault="00094FE1">
            <w:pPr>
              <w:spacing w:after="0" w:line="240" w:lineRule="auto"/>
              <w:rPr>
                <w:rFonts w:ascii="Calibri" w:eastAsia="Calibri" w:hAnsi="Calibri" w:cs="Times New Roman"/>
                <w:lang w:val="en-GB"/>
              </w:rPr>
            </w:pPr>
            <w:r w:rsidRPr="005F6822">
              <w:rPr>
                <w:rFonts w:ascii="Calibri" w:eastAsia="Calibri" w:hAnsi="Calibri" w:cs="Times New Roman"/>
                <w:lang w:val="en-GB"/>
              </w:rPr>
              <w:t>-</w:t>
            </w:r>
          </w:p>
        </w:tc>
        <w:tc>
          <w:tcPr>
            <w:tcW w:w="1372" w:type="dxa"/>
          </w:tcPr>
          <w:p w14:paraId="5E992F43" w14:textId="36524FF8" w:rsidR="00094FE1" w:rsidRPr="001C3570" w:rsidRDefault="00094FE1">
            <w:pPr>
              <w:spacing w:after="0" w:line="240" w:lineRule="auto"/>
              <w:rPr>
                <w:rFonts w:eastAsia="Calibri" w:cstheme="minorHAnsi"/>
                <w:lang w:val="en-GB"/>
              </w:rPr>
            </w:pPr>
            <w:r w:rsidRPr="001C3570">
              <w:rPr>
                <w:rFonts w:eastAsia="Calibri" w:cstheme="minorHAnsi"/>
                <w:lang w:val="en-GB"/>
              </w:rPr>
              <w:t>-</w:t>
            </w:r>
          </w:p>
        </w:tc>
      </w:tr>
      <w:tr w:rsidR="00094FE1" w:rsidRPr="005F6822" w14:paraId="10BC7143" w14:textId="77777777" w:rsidTr="00EF573D">
        <w:tc>
          <w:tcPr>
            <w:tcW w:w="1980" w:type="dxa"/>
          </w:tcPr>
          <w:p w14:paraId="483825BE" w14:textId="41BB8349" w:rsidR="00094FE1" w:rsidRPr="005F6822" w:rsidRDefault="00094FE1" w:rsidP="00C62DFE">
            <w:pPr>
              <w:spacing w:after="0" w:line="240" w:lineRule="auto"/>
              <w:rPr>
                <w:rFonts w:ascii="Calibri" w:eastAsia="Calibri" w:hAnsi="Calibri" w:cs="Times New Roman"/>
                <w:lang w:val="en-GB"/>
              </w:rPr>
            </w:pPr>
            <w:r w:rsidRPr="005F6822">
              <w:rPr>
                <w:rFonts w:ascii="Calibri" w:eastAsia="Calibri" w:hAnsi="Calibri" w:cs="Times New Roman"/>
                <w:lang w:val="en-GB"/>
              </w:rPr>
              <w:t xml:space="preserve">RET </w:t>
            </w:r>
          </w:p>
        </w:tc>
        <w:tc>
          <w:tcPr>
            <w:tcW w:w="1917" w:type="dxa"/>
          </w:tcPr>
          <w:p w14:paraId="2D0CD027" w14:textId="43023FB9" w:rsidR="00094FE1" w:rsidRPr="001C3570" w:rsidRDefault="00094FE1">
            <w:pPr>
              <w:spacing w:after="0" w:line="240" w:lineRule="auto"/>
              <w:rPr>
                <w:rFonts w:ascii="Calibri" w:eastAsia="Calibri" w:hAnsi="Calibri" w:cs="Times New Roman"/>
                <w:lang w:val="en-GB"/>
              </w:rPr>
            </w:pPr>
            <w:r w:rsidRPr="001C3570">
              <w:rPr>
                <w:rFonts w:ascii="Calibri" w:eastAsia="Calibri" w:hAnsi="Calibri" w:cs="Times New Roman"/>
                <w:lang w:val="en-GB"/>
              </w:rPr>
              <w:t>depends PDL1</w:t>
            </w:r>
          </w:p>
        </w:tc>
        <w:tc>
          <w:tcPr>
            <w:tcW w:w="1833" w:type="dxa"/>
          </w:tcPr>
          <w:p w14:paraId="5F9A31BF" w14:textId="46C4866F" w:rsidR="00094FE1" w:rsidRPr="005F6822" w:rsidRDefault="00094FE1">
            <w:pPr>
              <w:spacing w:after="0" w:line="240" w:lineRule="auto"/>
              <w:rPr>
                <w:rFonts w:ascii="Calibri" w:eastAsia="Calibri" w:hAnsi="Calibri" w:cs="Times New Roman"/>
                <w:sz w:val="24"/>
                <w:szCs w:val="24"/>
                <w:lang w:val="en-GB"/>
              </w:rPr>
            </w:pPr>
            <w:r w:rsidRPr="005F6822">
              <w:rPr>
                <w:rFonts w:ascii="Calibri" w:eastAsia="Calibri" w:hAnsi="Calibri" w:cs="Times New Roman"/>
                <w:sz w:val="24"/>
                <w:szCs w:val="24"/>
                <w:lang w:val="en-GB"/>
              </w:rPr>
              <w:t>-</w:t>
            </w:r>
          </w:p>
        </w:tc>
        <w:tc>
          <w:tcPr>
            <w:tcW w:w="1918" w:type="dxa"/>
          </w:tcPr>
          <w:p w14:paraId="39735476" w14:textId="76B43BB2" w:rsidR="00094FE1" w:rsidRPr="005F6822" w:rsidRDefault="00094FE1">
            <w:pPr>
              <w:spacing w:after="0" w:line="240" w:lineRule="auto"/>
              <w:jc w:val="center"/>
              <w:rPr>
                <w:rFonts w:ascii="Calibri" w:eastAsia="Calibri" w:hAnsi="Calibri" w:cs="Times New Roman"/>
                <w:lang w:val="en-GB"/>
              </w:rPr>
            </w:pPr>
            <w:r w:rsidRPr="005F6822">
              <w:rPr>
                <w:rFonts w:ascii="Calibri" w:eastAsia="Calibri" w:hAnsi="Calibri" w:cs="Times New Roman"/>
                <w:lang w:val="en-GB"/>
              </w:rPr>
              <w:t>-</w:t>
            </w:r>
          </w:p>
        </w:tc>
        <w:tc>
          <w:tcPr>
            <w:tcW w:w="2582" w:type="dxa"/>
          </w:tcPr>
          <w:p w14:paraId="187C182C" w14:textId="20319370" w:rsidR="00094FE1" w:rsidRPr="005F6822" w:rsidRDefault="00094FE1">
            <w:pPr>
              <w:spacing w:after="0" w:line="240" w:lineRule="auto"/>
              <w:rPr>
                <w:rFonts w:ascii="Calibri" w:eastAsia="Calibri" w:hAnsi="Calibri" w:cs="Times New Roman"/>
                <w:lang w:val="en-GB"/>
              </w:rPr>
            </w:pPr>
            <w:r w:rsidRPr="005F6822">
              <w:rPr>
                <w:rFonts w:ascii="Calibri" w:eastAsia="Calibri" w:hAnsi="Calibri" w:cs="Times New Roman"/>
                <w:lang w:val="en-GB"/>
              </w:rPr>
              <w:t>-</w:t>
            </w:r>
          </w:p>
        </w:tc>
        <w:tc>
          <w:tcPr>
            <w:tcW w:w="1372" w:type="dxa"/>
          </w:tcPr>
          <w:p w14:paraId="6BB819A3" w14:textId="6505F883" w:rsidR="00094FE1" w:rsidRPr="001C3570" w:rsidRDefault="00094FE1">
            <w:pPr>
              <w:spacing w:after="0" w:line="240" w:lineRule="auto"/>
              <w:rPr>
                <w:rFonts w:eastAsia="Calibri" w:cstheme="minorHAnsi"/>
                <w:lang w:val="en-GB"/>
              </w:rPr>
            </w:pPr>
            <w:r w:rsidRPr="001C3570">
              <w:rPr>
                <w:rFonts w:eastAsia="Calibri" w:cstheme="minorHAnsi"/>
                <w:lang w:val="en-GB"/>
              </w:rPr>
              <w:t>-</w:t>
            </w:r>
          </w:p>
        </w:tc>
      </w:tr>
      <w:tr w:rsidR="00094FE1" w:rsidRPr="005F6822" w14:paraId="0F49B61B" w14:textId="77777777" w:rsidTr="00EF573D">
        <w:tc>
          <w:tcPr>
            <w:tcW w:w="1980" w:type="dxa"/>
          </w:tcPr>
          <w:p w14:paraId="2851D24F" w14:textId="0B2FE669" w:rsidR="00094FE1" w:rsidRPr="005F6822" w:rsidRDefault="00094FE1" w:rsidP="00C62DFE">
            <w:pPr>
              <w:spacing w:after="0" w:line="240" w:lineRule="auto"/>
              <w:rPr>
                <w:rFonts w:ascii="Calibri" w:eastAsia="Calibri" w:hAnsi="Calibri" w:cs="Times New Roman"/>
                <w:lang w:val="en-GB"/>
              </w:rPr>
            </w:pPr>
            <w:r w:rsidRPr="005F6822">
              <w:rPr>
                <w:rFonts w:ascii="Calibri" w:eastAsia="Calibri" w:hAnsi="Calibri" w:cs="Times New Roman"/>
                <w:lang w:val="en-GB"/>
              </w:rPr>
              <w:t>HER2</w:t>
            </w:r>
          </w:p>
        </w:tc>
        <w:tc>
          <w:tcPr>
            <w:tcW w:w="1917" w:type="dxa"/>
          </w:tcPr>
          <w:p w14:paraId="65FDF8AA" w14:textId="6D59830D" w:rsidR="00094FE1" w:rsidRPr="001C3570" w:rsidRDefault="00094FE1">
            <w:pPr>
              <w:spacing w:after="0" w:line="240" w:lineRule="auto"/>
              <w:rPr>
                <w:rFonts w:ascii="Calibri" w:eastAsia="Calibri" w:hAnsi="Calibri" w:cs="Times New Roman"/>
                <w:lang w:val="en-GB"/>
              </w:rPr>
            </w:pPr>
            <w:r w:rsidRPr="001C3570">
              <w:rPr>
                <w:rFonts w:ascii="Calibri" w:eastAsia="Calibri" w:hAnsi="Calibri" w:cs="Times New Roman"/>
                <w:lang w:val="en-GB"/>
              </w:rPr>
              <w:t>depends PDL1</w:t>
            </w:r>
          </w:p>
        </w:tc>
        <w:tc>
          <w:tcPr>
            <w:tcW w:w="1833" w:type="dxa"/>
          </w:tcPr>
          <w:p w14:paraId="5B397509" w14:textId="52DCF9A0" w:rsidR="00094FE1" w:rsidRPr="005F6822" w:rsidRDefault="00094FE1">
            <w:pPr>
              <w:spacing w:after="0" w:line="240" w:lineRule="auto"/>
              <w:rPr>
                <w:rFonts w:ascii="Calibri" w:eastAsia="Calibri" w:hAnsi="Calibri" w:cs="Times New Roman"/>
                <w:sz w:val="24"/>
                <w:szCs w:val="24"/>
                <w:lang w:val="en-GB"/>
              </w:rPr>
            </w:pPr>
            <w:r w:rsidRPr="005F6822">
              <w:rPr>
                <w:rFonts w:ascii="Calibri" w:eastAsia="Calibri" w:hAnsi="Calibri" w:cs="Times New Roman"/>
                <w:sz w:val="24"/>
                <w:szCs w:val="24"/>
                <w:lang w:val="en-GB"/>
              </w:rPr>
              <w:t>-</w:t>
            </w:r>
          </w:p>
        </w:tc>
        <w:tc>
          <w:tcPr>
            <w:tcW w:w="1918" w:type="dxa"/>
          </w:tcPr>
          <w:p w14:paraId="464BCDF5" w14:textId="67B4EEDC" w:rsidR="00094FE1" w:rsidRPr="005F6822" w:rsidRDefault="00094FE1">
            <w:pPr>
              <w:spacing w:after="0" w:line="240" w:lineRule="auto"/>
              <w:jc w:val="center"/>
              <w:rPr>
                <w:rFonts w:ascii="Calibri" w:eastAsia="Calibri" w:hAnsi="Calibri" w:cs="Times New Roman"/>
                <w:lang w:val="en-GB"/>
              </w:rPr>
            </w:pPr>
            <w:r w:rsidRPr="005F6822">
              <w:rPr>
                <w:rFonts w:ascii="Calibri" w:eastAsia="Calibri" w:hAnsi="Calibri" w:cs="Times New Roman"/>
                <w:lang w:val="en-GB"/>
              </w:rPr>
              <w:t>-</w:t>
            </w:r>
          </w:p>
        </w:tc>
        <w:tc>
          <w:tcPr>
            <w:tcW w:w="2582" w:type="dxa"/>
          </w:tcPr>
          <w:p w14:paraId="65291B39" w14:textId="5D6B6C0D" w:rsidR="00094FE1" w:rsidRPr="005F6822" w:rsidRDefault="00094FE1">
            <w:pPr>
              <w:spacing w:after="0" w:line="240" w:lineRule="auto"/>
              <w:rPr>
                <w:rFonts w:ascii="Calibri" w:eastAsia="Calibri" w:hAnsi="Calibri" w:cs="Times New Roman"/>
                <w:lang w:val="en-GB"/>
              </w:rPr>
            </w:pPr>
            <w:r w:rsidRPr="005F6822">
              <w:rPr>
                <w:rFonts w:ascii="Calibri" w:eastAsia="Calibri" w:hAnsi="Calibri" w:cs="Times New Roman"/>
                <w:lang w:val="en-GB"/>
              </w:rPr>
              <w:t>-</w:t>
            </w:r>
          </w:p>
        </w:tc>
        <w:tc>
          <w:tcPr>
            <w:tcW w:w="1372" w:type="dxa"/>
          </w:tcPr>
          <w:p w14:paraId="75065722" w14:textId="626799BC" w:rsidR="00094FE1" w:rsidRPr="001C3570" w:rsidRDefault="00094FE1">
            <w:pPr>
              <w:spacing w:after="0" w:line="240" w:lineRule="auto"/>
              <w:rPr>
                <w:rFonts w:eastAsia="Calibri" w:cstheme="minorHAnsi"/>
                <w:lang w:val="en-GB"/>
              </w:rPr>
            </w:pPr>
            <w:r w:rsidRPr="001C3570">
              <w:rPr>
                <w:rFonts w:eastAsia="Calibri" w:cstheme="minorHAnsi"/>
                <w:lang w:val="en-GB"/>
              </w:rPr>
              <w:t>-</w:t>
            </w:r>
          </w:p>
        </w:tc>
      </w:tr>
      <w:tr w:rsidR="00094FE1" w:rsidRPr="005F6822" w14:paraId="518E7198" w14:textId="77777777" w:rsidTr="00EF573D">
        <w:tc>
          <w:tcPr>
            <w:tcW w:w="1980" w:type="dxa"/>
          </w:tcPr>
          <w:p w14:paraId="19DBDBF0" w14:textId="79933812" w:rsidR="00094FE1" w:rsidRPr="005F6822" w:rsidRDefault="00094FE1" w:rsidP="00C62DFE">
            <w:pPr>
              <w:spacing w:after="0" w:line="240" w:lineRule="auto"/>
              <w:rPr>
                <w:rFonts w:ascii="Calibri" w:eastAsia="Calibri" w:hAnsi="Calibri" w:cs="Times New Roman"/>
                <w:lang w:val="en-GB"/>
              </w:rPr>
            </w:pPr>
            <w:r w:rsidRPr="005F6822">
              <w:rPr>
                <w:rFonts w:ascii="Calibri" w:eastAsia="Calibri" w:hAnsi="Calibri" w:cs="Times New Roman"/>
                <w:lang w:val="en-GB"/>
              </w:rPr>
              <w:t xml:space="preserve">KRAS </w:t>
            </w:r>
          </w:p>
        </w:tc>
        <w:tc>
          <w:tcPr>
            <w:tcW w:w="1917" w:type="dxa"/>
          </w:tcPr>
          <w:p w14:paraId="22914D85" w14:textId="2D60D900" w:rsidR="00094FE1" w:rsidRPr="001C3570" w:rsidRDefault="00094FE1">
            <w:pPr>
              <w:spacing w:after="0" w:line="240" w:lineRule="auto"/>
              <w:rPr>
                <w:rFonts w:ascii="Calibri" w:eastAsia="Calibri" w:hAnsi="Calibri" w:cs="Times New Roman"/>
                <w:lang w:val="en-GB"/>
              </w:rPr>
            </w:pPr>
            <w:r w:rsidRPr="001C3570">
              <w:rPr>
                <w:rFonts w:ascii="Calibri" w:eastAsia="Calibri" w:hAnsi="Calibri" w:cs="Times New Roman"/>
                <w:lang w:val="en-GB"/>
              </w:rPr>
              <w:t>depends PDL1</w:t>
            </w:r>
          </w:p>
        </w:tc>
        <w:tc>
          <w:tcPr>
            <w:tcW w:w="1833" w:type="dxa"/>
          </w:tcPr>
          <w:p w14:paraId="3B57BE29" w14:textId="5EC625DB" w:rsidR="00094FE1" w:rsidRPr="005F6822" w:rsidRDefault="00094FE1">
            <w:pPr>
              <w:spacing w:after="0" w:line="240" w:lineRule="auto"/>
              <w:rPr>
                <w:rFonts w:ascii="Calibri" w:eastAsia="Calibri" w:hAnsi="Calibri" w:cs="Times New Roman"/>
                <w:sz w:val="24"/>
                <w:szCs w:val="24"/>
                <w:lang w:val="en-GB"/>
              </w:rPr>
            </w:pPr>
            <w:r w:rsidRPr="005F6822">
              <w:rPr>
                <w:rFonts w:ascii="Calibri" w:eastAsia="Calibri" w:hAnsi="Calibri" w:cs="Times New Roman"/>
                <w:sz w:val="24"/>
                <w:szCs w:val="24"/>
                <w:lang w:val="en-GB"/>
              </w:rPr>
              <w:t>-</w:t>
            </w:r>
          </w:p>
        </w:tc>
        <w:tc>
          <w:tcPr>
            <w:tcW w:w="1918" w:type="dxa"/>
          </w:tcPr>
          <w:p w14:paraId="3026F261" w14:textId="1032C425" w:rsidR="00094FE1" w:rsidRPr="005F6822" w:rsidRDefault="00094FE1">
            <w:pPr>
              <w:spacing w:after="0" w:line="240" w:lineRule="auto"/>
              <w:jc w:val="center"/>
              <w:rPr>
                <w:rFonts w:ascii="Calibri" w:eastAsia="Calibri" w:hAnsi="Calibri" w:cs="Times New Roman"/>
                <w:lang w:val="en-GB"/>
              </w:rPr>
            </w:pPr>
            <w:r w:rsidRPr="005F6822">
              <w:rPr>
                <w:rFonts w:ascii="Calibri" w:eastAsia="Calibri" w:hAnsi="Calibri" w:cs="Times New Roman"/>
                <w:lang w:val="en-GB"/>
              </w:rPr>
              <w:t>-</w:t>
            </w:r>
          </w:p>
        </w:tc>
        <w:tc>
          <w:tcPr>
            <w:tcW w:w="2582" w:type="dxa"/>
          </w:tcPr>
          <w:p w14:paraId="612D31A7" w14:textId="13AE7D64" w:rsidR="00094FE1" w:rsidRPr="005F6822" w:rsidRDefault="00094FE1">
            <w:pPr>
              <w:spacing w:after="0" w:line="240" w:lineRule="auto"/>
              <w:rPr>
                <w:rFonts w:ascii="Calibri" w:eastAsia="Calibri" w:hAnsi="Calibri" w:cs="Times New Roman"/>
                <w:lang w:val="en-GB"/>
              </w:rPr>
            </w:pPr>
            <w:r w:rsidRPr="005F6822">
              <w:rPr>
                <w:rFonts w:ascii="Calibri" w:eastAsia="Calibri" w:hAnsi="Calibri" w:cs="Times New Roman"/>
                <w:lang w:val="en-GB"/>
              </w:rPr>
              <w:t>-</w:t>
            </w:r>
          </w:p>
        </w:tc>
        <w:tc>
          <w:tcPr>
            <w:tcW w:w="1372" w:type="dxa"/>
          </w:tcPr>
          <w:p w14:paraId="1DD6B946" w14:textId="1CD601F9" w:rsidR="00094FE1" w:rsidRPr="001C3570" w:rsidRDefault="00094FE1">
            <w:pPr>
              <w:spacing w:after="0" w:line="240" w:lineRule="auto"/>
              <w:rPr>
                <w:rFonts w:eastAsia="Calibri" w:cstheme="minorHAnsi"/>
                <w:lang w:val="en-GB"/>
              </w:rPr>
            </w:pPr>
            <w:r w:rsidRPr="001C3570">
              <w:rPr>
                <w:rFonts w:eastAsia="Calibri" w:cstheme="minorHAnsi"/>
                <w:lang w:val="en-GB"/>
              </w:rPr>
              <w:t>-</w:t>
            </w:r>
          </w:p>
        </w:tc>
      </w:tr>
      <w:tr w:rsidR="00094FE1" w:rsidRPr="005F6822" w14:paraId="55A4412E" w14:textId="77777777" w:rsidTr="00EF573D">
        <w:tc>
          <w:tcPr>
            <w:tcW w:w="1980" w:type="dxa"/>
          </w:tcPr>
          <w:p w14:paraId="60A8B2C7" w14:textId="4A6F040C" w:rsidR="00094FE1" w:rsidRPr="005F6822" w:rsidRDefault="00094FE1" w:rsidP="00C62DFE">
            <w:pPr>
              <w:spacing w:after="0" w:line="240" w:lineRule="auto"/>
              <w:rPr>
                <w:rFonts w:ascii="Calibri" w:eastAsia="Calibri" w:hAnsi="Calibri" w:cs="Times New Roman"/>
                <w:lang w:val="en-GB"/>
              </w:rPr>
            </w:pPr>
            <w:r w:rsidRPr="005F6822">
              <w:rPr>
                <w:rFonts w:ascii="Calibri" w:eastAsia="Calibri" w:hAnsi="Calibri" w:cs="Times New Roman"/>
                <w:lang w:val="en-GB"/>
              </w:rPr>
              <w:t>No / Unknown</w:t>
            </w:r>
          </w:p>
        </w:tc>
        <w:tc>
          <w:tcPr>
            <w:tcW w:w="1917" w:type="dxa"/>
          </w:tcPr>
          <w:p w14:paraId="42DF5EF9" w14:textId="00C115D7" w:rsidR="00094FE1" w:rsidRPr="001C3570" w:rsidRDefault="00094FE1">
            <w:pPr>
              <w:spacing w:after="0" w:line="240" w:lineRule="auto"/>
              <w:rPr>
                <w:rFonts w:ascii="Calibri" w:eastAsia="Calibri" w:hAnsi="Calibri" w:cs="Times New Roman"/>
                <w:lang w:val="en-GB"/>
              </w:rPr>
            </w:pPr>
            <w:r w:rsidRPr="001C3570">
              <w:rPr>
                <w:rFonts w:ascii="Calibri" w:eastAsia="Calibri" w:hAnsi="Calibri" w:cs="Times New Roman"/>
                <w:lang w:val="en-GB"/>
              </w:rPr>
              <w:t>Depends PDL1</w:t>
            </w:r>
          </w:p>
        </w:tc>
        <w:tc>
          <w:tcPr>
            <w:tcW w:w="1833" w:type="dxa"/>
          </w:tcPr>
          <w:p w14:paraId="0E4B58C4" w14:textId="72EA1363" w:rsidR="00094FE1" w:rsidRPr="005F6822" w:rsidRDefault="00094FE1">
            <w:pPr>
              <w:spacing w:after="0" w:line="240" w:lineRule="auto"/>
              <w:rPr>
                <w:rFonts w:ascii="Calibri" w:eastAsia="Calibri" w:hAnsi="Calibri" w:cs="Times New Roman"/>
                <w:sz w:val="24"/>
                <w:szCs w:val="24"/>
                <w:lang w:val="en-GB"/>
              </w:rPr>
            </w:pPr>
            <w:r w:rsidRPr="005F6822">
              <w:rPr>
                <w:rFonts w:ascii="Calibri" w:eastAsia="Calibri" w:hAnsi="Calibri" w:cs="Times New Roman"/>
                <w:sz w:val="24"/>
                <w:szCs w:val="24"/>
                <w:lang w:val="en-GB"/>
              </w:rPr>
              <w:t>-</w:t>
            </w:r>
          </w:p>
        </w:tc>
        <w:tc>
          <w:tcPr>
            <w:tcW w:w="1918" w:type="dxa"/>
          </w:tcPr>
          <w:p w14:paraId="7B9916AA" w14:textId="4C2D0332" w:rsidR="00094FE1" w:rsidRPr="005F6822" w:rsidRDefault="00094FE1">
            <w:pPr>
              <w:spacing w:after="0" w:line="240" w:lineRule="auto"/>
              <w:jc w:val="center"/>
              <w:rPr>
                <w:rFonts w:ascii="Calibri" w:eastAsia="Calibri" w:hAnsi="Calibri" w:cs="Times New Roman"/>
                <w:lang w:val="en-GB"/>
              </w:rPr>
            </w:pPr>
            <w:r w:rsidRPr="005F6822">
              <w:rPr>
                <w:rFonts w:ascii="Calibri" w:eastAsia="Calibri" w:hAnsi="Calibri" w:cs="Times New Roman"/>
                <w:lang w:val="en-GB"/>
              </w:rPr>
              <w:t>-</w:t>
            </w:r>
          </w:p>
        </w:tc>
        <w:tc>
          <w:tcPr>
            <w:tcW w:w="2582" w:type="dxa"/>
          </w:tcPr>
          <w:p w14:paraId="3B077231" w14:textId="3D7CB1A2" w:rsidR="00094FE1" w:rsidRPr="005F6822" w:rsidRDefault="00094FE1">
            <w:pPr>
              <w:spacing w:after="0" w:line="240" w:lineRule="auto"/>
              <w:rPr>
                <w:rFonts w:ascii="Calibri" w:eastAsia="Calibri" w:hAnsi="Calibri" w:cs="Times New Roman"/>
                <w:lang w:val="en-GB"/>
              </w:rPr>
            </w:pPr>
            <w:r w:rsidRPr="005F6822">
              <w:rPr>
                <w:rFonts w:ascii="Calibri" w:eastAsia="Calibri" w:hAnsi="Calibri" w:cs="Times New Roman"/>
                <w:lang w:val="en-GB"/>
              </w:rPr>
              <w:t>-</w:t>
            </w:r>
          </w:p>
        </w:tc>
        <w:tc>
          <w:tcPr>
            <w:tcW w:w="1372" w:type="dxa"/>
          </w:tcPr>
          <w:p w14:paraId="27B49426" w14:textId="5BEA1426" w:rsidR="00094FE1" w:rsidRPr="001C3570" w:rsidRDefault="00094FE1">
            <w:pPr>
              <w:spacing w:after="0" w:line="240" w:lineRule="auto"/>
              <w:rPr>
                <w:rFonts w:eastAsia="Calibri" w:cstheme="minorHAnsi"/>
                <w:lang w:val="en-GB"/>
              </w:rPr>
            </w:pPr>
            <w:r w:rsidRPr="001C3570">
              <w:rPr>
                <w:rFonts w:eastAsia="Calibri" w:cstheme="minorHAnsi"/>
                <w:lang w:val="en-GB"/>
              </w:rPr>
              <w:t>-</w:t>
            </w:r>
          </w:p>
        </w:tc>
      </w:tr>
      <w:tr w:rsidR="00094FE1" w:rsidRPr="005F6822" w14:paraId="3DAD42C8" w14:textId="77777777" w:rsidTr="00EF573D">
        <w:tc>
          <w:tcPr>
            <w:tcW w:w="1980" w:type="dxa"/>
          </w:tcPr>
          <w:p w14:paraId="19657793" w14:textId="1A4830A6" w:rsidR="00094FE1" w:rsidRPr="005F6822" w:rsidRDefault="00094FE1" w:rsidP="00C62DFE">
            <w:pPr>
              <w:spacing w:after="0" w:line="240" w:lineRule="auto"/>
              <w:rPr>
                <w:rFonts w:ascii="Calibri" w:eastAsia="Calibri" w:hAnsi="Calibri" w:cs="Times New Roman"/>
                <w:lang w:val="en-GB"/>
              </w:rPr>
            </w:pPr>
            <w:r w:rsidRPr="005F6822">
              <w:rPr>
                <w:rFonts w:ascii="Calibri" w:eastAsia="Calibri" w:hAnsi="Calibri" w:cs="Times New Roman"/>
                <w:lang w:val="en-GB"/>
              </w:rPr>
              <w:t xml:space="preserve">PD-L1 ≥50% </w:t>
            </w:r>
          </w:p>
        </w:tc>
        <w:tc>
          <w:tcPr>
            <w:tcW w:w="1917" w:type="dxa"/>
          </w:tcPr>
          <w:p w14:paraId="64A91186" w14:textId="4BFA07B9" w:rsidR="00094FE1" w:rsidRPr="001C3570" w:rsidRDefault="00094FE1">
            <w:pPr>
              <w:spacing w:after="0" w:line="240" w:lineRule="auto"/>
              <w:rPr>
                <w:rFonts w:ascii="Calibri" w:eastAsia="Calibri" w:hAnsi="Calibri" w:cs="Times New Roman"/>
                <w:lang w:val="en-GB"/>
              </w:rPr>
            </w:pPr>
            <w:r w:rsidRPr="001C3570">
              <w:rPr>
                <w:rFonts w:ascii="Calibri" w:eastAsia="Calibri" w:hAnsi="Calibri" w:cs="Times New Roman"/>
                <w:lang w:val="en-GB"/>
              </w:rPr>
              <w:t>Pembrolizumab</w:t>
            </w:r>
          </w:p>
        </w:tc>
        <w:tc>
          <w:tcPr>
            <w:tcW w:w="1833" w:type="dxa"/>
          </w:tcPr>
          <w:p w14:paraId="45123AB0" w14:textId="747A96A7" w:rsidR="00094FE1" w:rsidRPr="005F6822" w:rsidRDefault="00094FE1">
            <w:pPr>
              <w:spacing w:after="0" w:line="240" w:lineRule="auto"/>
              <w:rPr>
                <w:rFonts w:ascii="Calibri" w:eastAsia="Calibri" w:hAnsi="Calibri" w:cs="Times New Roman"/>
                <w:sz w:val="24"/>
                <w:szCs w:val="24"/>
                <w:lang w:val="en-GB"/>
              </w:rPr>
            </w:pPr>
            <w:r w:rsidRPr="005F6822">
              <w:rPr>
                <w:rFonts w:ascii="Calibri" w:eastAsia="Calibri" w:hAnsi="Calibri" w:cs="Times New Roman"/>
                <w:sz w:val="24"/>
                <w:szCs w:val="24"/>
                <w:lang w:val="en-GB"/>
              </w:rPr>
              <w:t>Cis + Pem</w:t>
            </w:r>
          </w:p>
        </w:tc>
        <w:tc>
          <w:tcPr>
            <w:tcW w:w="1918" w:type="dxa"/>
          </w:tcPr>
          <w:p w14:paraId="67625930" w14:textId="78C114B5" w:rsidR="00094FE1" w:rsidRPr="005F6822" w:rsidRDefault="00094FE1">
            <w:pPr>
              <w:spacing w:after="0" w:line="240" w:lineRule="auto"/>
              <w:jc w:val="center"/>
              <w:rPr>
                <w:rFonts w:ascii="Calibri" w:eastAsia="Calibri" w:hAnsi="Calibri" w:cs="Times New Roman"/>
                <w:lang w:val="en-GB"/>
              </w:rPr>
            </w:pPr>
            <w:r w:rsidRPr="005F6822">
              <w:rPr>
                <w:rFonts w:ascii="Calibri" w:eastAsia="Calibri" w:hAnsi="Calibri" w:cs="Times New Roman"/>
                <w:lang w:val="en-GB"/>
              </w:rPr>
              <w:t>N/A</w:t>
            </w:r>
          </w:p>
        </w:tc>
        <w:tc>
          <w:tcPr>
            <w:tcW w:w="2582" w:type="dxa"/>
          </w:tcPr>
          <w:p w14:paraId="43046BD1" w14:textId="34EC5D7A" w:rsidR="00094FE1" w:rsidRPr="005F6822" w:rsidRDefault="00094FE1">
            <w:pPr>
              <w:spacing w:after="0" w:line="240" w:lineRule="auto"/>
              <w:rPr>
                <w:rFonts w:ascii="Calibri" w:eastAsia="Calibri" w:hAnsi="Calibri" w:cs="Times New Roman"/>
                <w:lang w:val="en-GB"/>
              </w:rPr>
            </w:pPr>
            <w:r w:rsidRPr="005F6822">
              <w:rPr>
                <w:rFonts w:ascii="Calibri" w:eastAsia="Calibri" w:hAnsi="Calibri" w:cs="Times New Roman"/>
                <w:lang w:val="en-GB"/>
              </w:rPr>
              <w:t>-</w:t>
            </w:r>
          </w:p>
        </w:tc>
        <w:tc>
          <w:tcPr>
            <w:tcW w:w="1372" w:type="dxa"/>
          </w:tcPr>
          <w:p w14:paraId="1BA9018D" w14:textId="069AEAD6" w:rsidR="00094FE1" w:rsidRPr="001C3570" w:rsidRDefault="00094FE1">
            <w:pPr>
              <w:spacing w:after="0" w:line="240" w:lineRule="auto"/>
              <w:rPr>
                <w:rFonts w:eastAsia="Calibri" w:cstheme="minorHAnsi"/>
                <w:lang w:val="en-GB"/>
              </w:rPr>
            </w:pPr>
            <w:r w:rsidRPr="001C3570">
              <w:rPr>
                <w:rFonts w:eastAsia="Calibri" w:cstheme="minorHAnsi"/>
                <w:lang w:val="en-GB"/>
              </w:rPr>
              <w:t>-</w:t>
            </w:r>
          </w:p>
        </w:tc>
      </w:tr>
      <w:tr w:rsidR="00094FE1" w:rsidRPr="005F6822" w14:paraId="39F1808F" w14:textId="77777777" w:rsidTr="00EF573D">
        <w:tc>
          <w:tcPr>
            <w:tcW w:w="1980" w:type="dxa"/>
          </w:tcPr>
          <w:p w14:paraId="3AE7D437" w14:textId="4467BC1A" w:rsidR="00094FE1" w:rsidRPr="005F6822" w:rsidRDefault="00094FE1" w:rsidP="00C62DFE">
            <w:pPr>
              <w:spacing w:after="0" w:line="240" w:lineRule="auto"/>
              <w:rPr>
                <w:rFonts w:ascii="Calibri" w:eastAsia="Calibri" w:hAnsi="Calibri" w:cs="Times New Roman"/>
                <w:lang w:val="en-GB"/>
              </w:rPr>
            </w:pPr>
            <w:r w:rsidRPr="005F6822">
              <w:rPr>
                <w:rFonts w:ascii="Calibri" w:eastAsia="Calibri" w:hAnsi="Calibri" w:cs="Times New Roman"/>
                <w:lang w:val="en-GB"/>
              </w:rPr>
              <w:t xml:space="preserve">PD-L1 ≥50% </w:t>
            </w:r>
          </w:p>
        </w:tc>
        <w:tc>
          <w:tcPr>
            <w:tcW w:w="1917" w:type="dxa"/>
          </w:tcPr>
          <w:p w14:paraId="6AC5087C" w14:textId="7B3BD5C8" w:rsidR="00094FE1" w:rsidRPr="001C3570" w:rsidRDefault="00094FE1">
            <w:pPr>
              <w:spacing w:after="0" w:line="240" w:lineRule="auto"/>
              <w:rPr>
                <w:rFonts w:ascii="Calibri" w:eastAsia="Calibri" w:hAnsi="Calibri" w:cs="Times New Roman"/>
                <w:lang w:val="en-GB"/>
              </w:rPr>
            </w:pPr>
            <w:proofErr w:type="spellStart"/>
            <w:r w:rsidRPr="001C3570">
              <w:rPr>
                <w:rFonts w:ascii="Calibri" w:eastAsia="Calibri" w:hAnsi="Calibri" w:cs="Times New Roman"/>
                <w:lang w:val="en-GB"/>
              </w:rPr>
              <w:t>Pembro</w:t>
            </w:r>
            <w:proofErr w:type="spellEnd"/>
            <w:r w:rsidRPr="001C3570">
              <w:rPr>
                <w:rFonts w:ascii="Calibri" w:eastAsia="Calibri" w:hAnsi="Calibri" w:cs="Times New Roman"/>
                <w:lang w:val="en-GB"/>
              </w:rPr>
              <w:t xml:space="preserve"> &amp; Chemo</w:t>
            </w:r>
          </w:p>
        </w:tc>
        <w:tc>
          <w:tcPr>
            <w:tcW w:w="1833" w:type="dxa"/>
          </w:tcPr>
          <w:p w14:paraId="23E37A54" w14:textId="33F1DD60" w:rsidR="00094FE1" w:rsidRPr="005F6822" w:rsidRDefault="00094FE1">
            <w:pPr>
              <w:spacing w:after="0" w:line="240" w:lineRule="auto"/>
              <w:rPr>
                <w:rFonts w:ascii="Calibri" w:eastAsia="Calibri" w:hAnsi="Calibri" w:cs="Times New Roman"/>
                <w:sz w:val="24"/>
                <w:szCs w:val="24"/>
                <w:lang w:val="en-GB"/>
              </w:rPr>
            </w:pPr>
            <w:r w:rsidRPr="005F6822">
              <w:rPr>
                <w:rFonts w:ascii="Calibri" w:eastAsia="Calibri" w:hAnsi="Calibri" w:cs="Times New Roman"/>
                <w:sz w:val="24"/>
                <w:szCs w:val="24"/>
                <w:lang w:val="en-GB"/>
              </w:rPr>
              <w:t>Docetaxel</w:t>
            </w:r>
          </w:p>
        </w:tc>
        <w:tc>
          <w:tcPr>
            <w:tcW w:w="1918" w:type="dxa"/>
          </w:tcPr>
          <w:p w14:paraId="68D8B6F7" w14:textId="3B9168D1" w:rsidR="00094FE1" w:rsidRPr="005F6822" w:rsidRDefault="00094FE1">
            <w:pPr>
              <w:spacing w:after="0" w:line="240" w:lineRule="auto"/>
              <w:jc w:val="center"/>
              <w:rPr>
                <w:rFonts w:ascii="Calibri" w:eastAsia="Calibri" w:hAnsi="Calibri" w:cs="Times New Roman"/>
                <w:lang w:val="en-GB"/>
              </w:rPr>
            </w:pPr>
            <w:r w:rsidRPr="005F6822">
              <w:rPr>
                <w:rFonts w:ascii="Calibri" w:eastAsia="Calibri" w:hAnsi="Calibri" w:cs="Times New Roman"/>
                <w:lang w:val="en-GB"/>
              </w:rPr>
              <w:t>N/A</w:t>
            </w:r>
          </w:p>
        </w:tc>
        <w:tc>
          <w:tcPr>
            <w:tcW w:w="2582" w:type="dxa"/>
          </w:tcPr>
          <w:p w14:paraId="5CF00263" w14:textId="3DF52A1C" w:rsidR="00094FE1" w:rsidRPr="005F6822" w:rsidRDefault="00094FE1">
            <w:pPr>
              <w:spacing w:after="0" w:line="240" w:lineRule="auto"/>
              <w:rPr>
                <w:rFonts w:ascii="Calibri" w:eastAsia="Calibri" w:hAnsi="Calibri" w:cs="Times New Roman"/>
                <w:lang w:val="en-GB"/>
              </w:rPr>
            </w:pPr>
            <w:r w:rsidRPr="005F6822">
              <w:rPr>
                <w:rFonts w:ascii="Calibri" w:eastAsia="Calibri" w:hAnsi="Calibri" w:cs="Times New Roman"/>
                <w:lang w:val="en-GB"/>
              </w:rPr>
              <w:t>-</w:t>
            </w:r>
          </w:p>
        </w:tc>
        <w:tc>
          <w:tcPr>
            <w:tcW w:w="1372" w:type="dxa"/>
          </w:tcPr>
          <w:p w14:paraId="7E9875F0" w14:textId="744CF1D6" w:rsidR="00094FE1" w:rsidRPr="001C3570" w:rsidRDefault="00094FE1">
            <w:pPr>
              <w:spacing w:after="0" w:line="240" w:lineRule="auto"/>
              <w:rPr>
                <w:rFonts w:eastAsia="Calibri" w:cstheme="minorHAnsi"/>
                <w:lang w:val="en-GB"/>
              </w:rPr>
            </w:pPr>
            <w:r w:rsidRPr="001C3570">
              <w:rPr>
                <w:rFonts w:eastAsia="Calibri" w:cstheme="minorHAnsi"/>
                <w:lang w:val="en-GB"/>
              </w:rPr>
              <w:t>-</w:t>
            </w:r>
          </w:p>
        </w:tc>
      </w:tr>
      <w:tr w:rsidR="00094FE1" w:rsidRPr="005F6822" w14:paraId="3174E324" w14:textId="77777777" w:rsidTr="00EF573D">
        <w:tc>
          <w:tcPr>
            <w:tcW w:w="1980" w:type="dxa"/>
          </w:tcPr>
          <w:p w14:paraId="00DDB7E8" w14:textId="4803BECD" w:rsidR="00094FE1" w:rsidRPr="005F6822" w:rsidRDefault="00094FE1" w:rsidP="00C62DFE">
            <w:pPr>
              <w:spacing w:after="0" w:line="240" w:lineRule="auto"/>
              <w:rPr>
                <w:rFonts w:ascii="Calibri" w:eastAsia="Calibri" w:hAnsi="Calibri" w:cs="Times New Roman"/>
                <w:lang w:val="en-GB"/>
              </w:rPr>
            </w:pPr>
            <w:r w:rsidRPr="005F6822">
              <w:rPr>
                <w:rFonts w:ascii="Calibri" w:eastAsia="Calibri" w:hAnsi="Calibri" w:cs="Times New Roman"/>
                <w:lang w:val="en-GB"/>
              </w:rPr>
              <w:t xml:space="preserve">PD-L1 </w:t>
            </w:r>
            <w:r w:rsidR="0035728B">
              <w:rPr>
                <w:rFonts w:ascii="Calibri" w:eastAsia="Calibri" w:hAnsi="Calibri" w:cs="Times New Roman"/>
                <w:lang w:val="en-GB"/>
              </w:rPr>
              <w:t>1</w:t>
            </w:r>
            <w:r w:rsidR="005E573B">
              <w:rPr>
                <w:rFonts w:ascii="Calibri" w:eastAsia="Calibri" w:hAnsi="Calibri" w:cs="Times New Roman"/>
                <w:lang w:val="en-GB"/>
              </w:rPr>
              <w:t>-49</w:t>
            </w:r>
            <w:r w:rsidRPr="005F6822">
              <w:rPr>
                <w:rFonts w:ascii="Calibri" w:eastAsia="Calibri" w:hAnsi="Calibri" w:cs="Times New Roman"/>
                <w:lang w:val="en-GB"/>
              </w:rPr>
              <w:t xml:space="preserve">% </w:t>
            </w:r>
          </w:p>
        </w:tc>
        <w:tc>
          <w:tcPr>
            <w:tcW w:w="1917" w:type="dxa"/>
          </w:tcPr>
          <w:p w14:paraId="54E4FD79" w14:textId="48FD1D7D" w:rsidR="00094FE1" w:rsidRPr="001C3570" w:rsidRDefault="00094FE1">
            <w:pPr>
              <w:spacing w:after="0" w:line="240" w:lineRule="auto"/>
              <w:rPr>
                <w:rFonts w:ascii="Calibri" w:eastAsia="Calibri" w:hAnsi="Calibri" w:cs="Times New Roman"/>
                <w:lang w:val="en-GB"/>
              </w:rPr>
            </w:pPr>
            <w:proofErr w:type="spellStart"/>
            <w:r w:rsidRPr="001C3570">
              <w:rPr>
                <w:rFonts w:ascii="Calibri" w:eastAsia="Calibri" w:hAnsi="Calibri" w:cs="Times New Roman"/>
                <w:lang w:val="en-GB"/>
              </w:rPr>
              <w:t>Pembro</w:t>
            </w:r>
            <w:proofErr w:type="spellEnd"/>
            <w:r w:rsidRPr="001C3570">
              <w:rPr>
                <w:rFonts w:ascii="Calibri" w:eastAsia="Calibri" w:hAnsi="Calibri" w:cs="Times New Roman"/>
                <w:lang w:val="en-GB"/>
              </w:rPr>
              <w:t xml:space="preserve"> &amp; Chemo</w:t>
            </w:r>
          </w:p>
        </w:tc>
        <w:tc>
          <w:tcPr>
            <w:tcW w:w="1833" w:type="dxa"/>
          </w:tcPr>
          <w:p w14:paraId="6FDCDBA7" w14:textId="7625AB2B" w:rsidR="00094FE1" w:rsidRPr="005F6822" w:rsidRDefault="00094FE1">
            <w:pPr>
              <w:spacing w:after="0" w:line="240" w:lineRule="auto"/>
              <w:rPr>
                <w:rFonts w:ascii="Calibri" w:eastAsia="Calibri" w:hAnsi="Calibri" w:cs="Times New Roman"/>
                <w:sz w:val="24"/>
                <w:szCs w:val="24"/>
                <w:lang w:val="en-GB"/>
              </w:rPr>
            </w:pPr>
            <w:r w:rsidRPr="005F6822">
              <w:rPr>
                <w:rFonts w:ascii="Calibri" w:eastAsia="Calibri" w:hAnsi="Calibri" w:cs="Times New Roman"/>
                <w:sz w:val="24"/>
                <w:szCs w:val="24"/>
                <w:lang w:val="en-GB"/>
              </w:rPr>
              <w:t>Docetaxel</w:t>
            </w:r>
          </w:p>
        </w:tc>
        <w:tc>
          <w:tcPr>
            <w:tcW w:w="1918" w:type="dxa"/>
          </w:tcPr>
          <w:p w14:paraId="06E39307" w14:textId="7B19E8E0" w:rsidR="00094FE1" w:rsidRPr="005F6822" w:rsidRDefault="00094FE1">
            <w:pPr>
              <w:spacing w:after="0" w:line="240" w:lineRule="auto"/>
              <w:jc w:val="center"/>
              <w:rPr>
                <w:rFonts w:ascii="Calibri" w:eastAsia="Calibri" w:hAnsi="Calibri" w:cs="Times New Roman"/>
                <w:lang w:val="en-GB"/>
              </w:rPr>
            </w:pPr>
            <w:r w:rsidRPr="005F6822">
              <w:rPr>
                <w:rFonts w:ascii="Calibri" w:eastAsia="Calibri" w:hAnsi="Calibri" w:cs="Times New Roman"/>
                <w:lang w:val="en-GB"/>
              </w:rPr>
              <w:t>N/A</w:t>
            </w:r>
          </w:p>
        </w:tc>
        <w:tc>
          <w:tcPr>
            <w:tcW w:w="2582" w:type="dxa"/>
          </w:tcPr>
          <w:p w14:paraId="638C22AC" w14:textId="461E5E79" w:rsidR="00094FE1" w:rsidRPr="005F6822" w:rsidRDefault="00094FE1">
            <w:pPr>
              <w:spacing w:after="0" w:line="240" w:lineRule="auto"/>
              <w:rPr>
                <w:rFonts w:ascii="Calibri" w:eastAsia="Calibri" w:hAnsi="Calibri" w:cs="Times New Roman"/>
                <w:lang w:val="en-GB"/>
              </w:rPr>
            </w:pPr>
            <w:r w:rsidRPr="005F6822">
              <w:rPr>
                <w:rFonts w:ascii="Calibri" w:eastAsia="Calibri" w:hAnsi="Calibri" w:cs="Times New Roman"/>
                <w:lang w:val="en-GB"/>
              </w:rPr>
              <w:t>-</w:t>
            </w:r>
          </w:p>
        </w:tc>
        <w:tc>
          <w:tcPr>
            <w:tcW w:w="1372" w:type="dxa"/>
          </w:tcPr>
          <w:p w14:paraId="121B03FE" w14:textId="29D281F2" w:rsidR="00094FE1" w:rsidRPr="001C3570" w:rsidRDefault="00094FE1">
            <w:pPr>
              <w:spacing w:after="0" w:line="240" w:lineRule="auto"/>
              <w:rPr>
                <w:rFonts w:eastAsia="Calibri" w:cstheme="minorHAnsi"/>
                <w:lang w:val="en-GB"/>
              </w:rPr>
            </w:pPr>
            <w:r w:rsidRPr="001C3570">
              <w:rPr>
                <w:rFonts w:eastAsia="Calibri" w:cstheme="minorHAnsi"/>
                <w:lang w:val="en-GB"/>
              </w:rPr>
              <w:t>-</w:t>
            </w:r>
          </w:p>
        </w:tc>
      </w:tr>
      <w:tr w:rsidR="00094FE1" w:rsidRPr="005F6822" w14:paraId="0948A189" w14:textId="77777777" w:rsidTr="00EF573D">
        <w:tc>
          <w:tcPr>
            <w:tcW w:w="1980" w:type="dxa"/>
          </w:tcPr>
          <w:p w14:paraId="5EE52F0D" w14:textId="697A94A4" w:rsidR="00094FE1" w:rsidRPr="005F6822" w:rsidRDefault="00094FE1" w:rsidP="00C62DFE">
            <w:pPr>
              <w:spacing w:after="0" w:line="240" w:lineRule="auto"/>
              <w:rPr>
                <w:rFonts w:ascii="Calibri" w:eastAsia="Calibri" w:hAnsi="Calibri" w:cs="Times New Roman"/>
                <w:lang w:val="en-GB"/>
              </w:rPr>
            </w:pPr>
          </w:p>
        </w:tc>
        <w:tc>
          <w:tcPr>
            <w:tcW w:w="1917" w:type="dxa"/>
          </w:tcPr>
          <w:p w14:paraId="194AE5DC" w14:textId="6DFEF7F0" w:rsidR="00094FE1" w:rsidRPr="001C3570" w:rsidRDefault="00094FE1">
            <w:pPr>
              <w:spacing w:after="0" w:line="240" w:lineRule="auto"/>
              <w:rPr>
                <w:rFonts w:ascii="Calibri" w:eastAsia="Calibri" w:hAnsi="Calibri" w:cs="Times New Roman"/>
                <w:lang w:val="en-GB"/>
              </w:rPr>
            </w:pPr>
          </w:p>
        </w:tc>
        <w:tc>
          <w:tcPr>
            <w:tcW w:w="1833" w:type="dxa"/>
          </w:tcPr>
          <w:p w14:paraId="6960DE1E" w14:textId="395E3408" w:rsidR="00094FE1" w:rsidRPr="005F6822" w:rsidRDefault="00094FE1">
            <w:pPr>
              <w:spacing w:after="0" w:line="240" w:lineRule="auto"/>
              <w:rPr>
                <w:rFonts w:ascii="Calibri" w:eastAsia="Calibri" w:hAnsi="Calibri" w:cs="Times New Roman"/>
                <w:sz w:val="24"/>
                <w:szCs w:val="24"/>
                <w:lang w:val="en-GB"/>
              </w:rPr>
            </w:pPr>
          </w:p>
        </w:tc>
        <w:tc>
          <w:tcPr>
            <w:tcW w:w="1918" w:type="dxa"/>
          </w:tcPr>
          <w:p w14:paraId="443623C1" w14:textId="6C349C54" w:rsidR="00094FE1" w:rsidRPr="005F6822" w:rsidRDefault="00094FE1">
            <w:pPr>
              <w:spacing w:after="0" w:line="240" w:lineRule="auto"/>
              <w:jc w:val="center"/>
              <w:rPr>
                <w:rFonts w:ascii="Calibri" w:eastAsia="Calibri" w:hAnsi="Calibri" w:cs="Times New Roman"/>
                <w:lang w:val="en-GB"/>
              </w:rPr>
            </w:pPr>
          </w:p>
        </w:tc>
        <w:tc>
          <w:tcPr>
            <w:tcW w:w="2582" w:type="dxa"/>
          </w:tcPr>
          <w:p w14:paraId="6C066A71" w14:textId="5571075F" w:rsidR="00094FE1" w:rsidRPr="005F6822" w:rsidRDefault="00094FE1">
            <w:pPr>
              <w:spacing w:after="0" w:line="240" w:lineRule="auto"/>
              <w:rPr>
                <w:rFonts w:ascii="Calibri" w:eastAsia="Calibri" w:hAnsi="Calibri" w:cs="Times New Roman"/>
                <w:lang w:val="en-GB"/>
              </w:rPr>
            </w:pPr>
          </w:p>
        </w:tc>
        <w:tc>
          <w:tcPr>
            <w:tcW w:w="1372" w:type="dxa"/>
          </w:tcPr>
          <w:p w14:paraId="4D2E6E41" w14:textId="3E97825D" w:rsidR="00094FE1" w:rsidRPr="001C3570" w:rsidRDefault="00094FE1">
            <w:pPr>
              <w:spacing w:after="0" w:line="240" w:lineRule="auto"/>
              <w:rPr>
                <w:rFonts w:eastAsia="Calibri" w:cstheme="minorHAnsi"/>
                <w:lang w:val="en-GB"/>
              </w:rPr>
            </w:pPr>
          </w:p>
        </w:tc>
      </w:tr>
    </w:tbl>
    <w:p w14:paraId="4269CA27" w14:textId="40CCA0FE" w:rsidR="002E11C0" w:rsidRPr="00E70A58" w:rsidRDefault="00407577" w:rsidP="00EF573D">
      <w:pPr>
        <w:spacing w:after="0" w:line="480" w:lineRule="auto"/>
        <w:ind w:right="2334"/>
        <w:jc w:val="both"/>
        <w:rPr>
          <w:sz w:val="18"/>
          <w:szCs w:val="18"/>
        </w:rPr>
      </w:pPr>
      <w:r>
        <w:rPr>
          <w:rFonts w:ascii="Calibri" w:eastAsia="Calibri" w:hAnsi="Calibri" w:cs="Times New Roman"/>
          <w:sz w:val="18"/>
          <w:szCs w:val="18"/>
          <w:lang w:val="en-GB"/>
        </w:rPr>
        <w:t xml:space="preserve">1L Treat, first-line treatment; 2L Treat, second-line treatment; </w:t>
      </w:r>
      <w:r w:rsidR="002E11C0" w:rsidRPr="00E70A58">
        <w:rPr>
          <w:rFonts w:ascii="Calibri" w:eastAsia="Calibri" w:hAnsi="Calibri" w:cs="Times New Roman"/>
          <w:sz w:val="18"/>
          <w:szCs w:val="18"/>
          <w:lang w:val="en-GB"/>
        </w:rPr>
        <w:t>PPFS HR, post-progression free survival Hazard rate</w:t>
      </w:r>
      <w:r w:rsidR="001C3570">
        <w:rPr>
          <w:rFonts w:ascii="Calibri" w:eastAsia="Calibri" w:hAnsi="Calibri" w:cs="Times New Roman"/>
          <w:sz w:val="18"/>
          <w:szCs w:val="18"/>
          <w:lang w:val="en-GB"/>
        </w:rPr>
        <w:t xml:space="preserve"> (i.e., Hazard rate on 2L Treat)</w:t>
      </w:r>
      <w:r w:rsidR="002E11C0" w:rsidRPr="00E70A58">
        <w:rPr>
          <w:rFonts w:ascii="Calibri" w:eastAsia="Calibri" w:hAnsi="Calibri" w:cs="Times New Roman"/>
          <w:sz w:val="18"/>
          <w:szCs w:val="18"/>
          <w:lang w:val="en-GB"/>
        </w:rPr>
        <w:t xml:space="preserve">; CT, single dose chemotherapy (pemetrexed or docetaxel); Cis, Cisplatin, </w:t>
      </w:r>
      <w:proofErr w:type="spellStart"/>
      <w:r w:rsidR="002E11C0" w:rsidRPr="00E70A58">
        <w:rPr>
          <w:rFonts w:ascii="Calibri" w:eastAsia="Calibri" w:hAnsi="Calibri" w:cs="Times New Roman"/>
          <w:sz w:val="18"/>
          <w:szCs w:val="18"/>
          <w:lang w:val="en-GB"/>
        </w:rPr>
        <w:t>Pem</w:t>
      </w:r>
      <w:proofErr w:type="spellEnd"/>
      <w:r w:rsidR="002E11C0" w:rsidRPr="00E70A58">
        <w:rPr>
          <w:rFonts w:ascii="Calibri" w:eastAsia="Calibri" w:hAnsi="Calibri" w:cs="Times New Roman"/>
          <w:sz w:val="18"/>
          <w:szCs w:val="18"/>
          <w:lang w:val="en-GB"/>
        </w:rPr>
        <w:t xml:space="preserve">, </w:t>
      </w:r>
      <w:proofErr w:type="spellStart"/>
      <w:r w:rsidR="002E11C0" w:rsidRPr="00E70A58">
        <w:rPr>
          <w:rFonts w:ascii="Calibri" w:eastAsia="Calibri" w:hAnsi="Calibri" w:cs="Times New Roman"/>
          <w:sz w:val="18"/>
          <w:szCs w:val="18"/>
          <w:lang w:val="en-GB"/>
        </w:rPr>
        <w:t>pemetrexed</w:t>
      </w:r>
      <w:proofErr w:type="spellEnd"/>
      <w:r w:rsidR="002E11C0" w:rsidRPr="00E70A58">
        <w:rPr>
          <w:rFonts w:ascii="Calibri" w:eastAsia="Calibri" w:hAnsi="Calibri" w:cs="Times New Roman"/>
          <w:sz w:val="18"/>
          <w:szCs w:val="18"/>
          <w:lang w:val="en-GB"/>
        </w:rPr>
        <w:t xml:space="preserve">; </w:t>
      </w:r>
      <w:proofErr w:type="spellStart"/>
      <w:r w:rsidR="002E11C0" w:rsidRPr="00E70A58">
        <w:rPr>
          <w:rFonts w:ascii="Calibri" w:eastAsia="Calibri" w:hAnsi="Calibri" w:cs="Times New Roman"/>
          <w:sz w:val="18"/>
          <w:szCs w:val="18"/>
          <w:lang w:val="en-GB"/>
        </w:rPr>
        <w:t>Pembro</w:t>
      </w:r>
      <w:proofErr w:type="spellEnd"/>
      <w:r w:rsidR="002E11C0" w:rsidRPr="00E70A58">
        <w:rPr>
          <w:rFonts w:ascii="Calibri" w:eastAsia="Calibri" w:hAnsi="Calibri" w:cs="Times New Roman"/>
          <w:sz w:val="18"/>
          <w:szCs w:val="18"/>
          <w:lang w:val="en-GB"/>
        </w:rPr>
        <w:t xml:space="preserve">, </w:t>
      </w:r>
      <w:proofErr w:type="spellStart"/>
      <w:r w:rsidR="002E11C0" w:rsidRPr="00E70A58">
        <w:rPr>
          <w:rFonts w:ascii="Calibri" w:eastAsia="Calibri" w:hAnsi="Calibri" w:cs="Times New Roman"/>
          <w:sz w:val="18"/>
          <w:szCs w:val="18"/>
          <w:lang w:val="en-GB"/>
        </w:rPr>
        <w:t>pembrolizumab</w:t>
      </w:r>
      <w:proofErr w:type="spellEnd"/>
      <w:r w:rsidR="002E11C0" w:rsidRPr="00E70A58">
        <w:rPr>
          <w:rFonts w:ascii="Calibri" w:eastAsia="Calibri" w:hAnsi="Calibri" w:cs="Times New Roman"/>
          <w:sz w:val="18"/>
          <w:szCs w:val="18"/>
          <w:lang w:val="en-GB"/>
        </w:rPr>
        <w:t xml:space="preserve">; Chemo, chemotherapy (doublets); PDCT, platinum-based doublets; N/A, No adjustment on hazard rate, we assumed that the treatment effect in second line is independent of first line treatment i.e., patients who received chemotherapy after Immunotherapy / targeted therapy, they will have similar response as those received chemotherapy in first line and chemotherapy </w:t>
      </w:r>
      <w:r w:rsidR="002E11C0" w:rsidRPr="00E70A58">
        <w:rPr>
          <w:rFonts w:ascii="Calibri" w:eastAsia="Calibri" w:hAnsi="Calibri" w:cs="Times New Roman"/>
          <w:sz w:val="18"/>
          <w:szCs w:val="18"/>
          <w:lang w:val="en-GB"/>
        </w:rPr>
        <w:lastRenderedPageBreak/>
        <w:t xml:space="preserve">in second line. </w:t>
      </w:r>
      <w:r w:rsidR="002E11C0" w:rsidRPr="00E70A58">
        <w:rPr>
          <w:rFonts w:cstheme="minorHAnsi"/>
          <w:sz w:val="18"/>
          <w:szCs w:val="18"/>
          <w:vertAlign w:val="superscript"/>
        </w:rPr>
        <w:t xml:space="preserve">¥ </w:t>
      </w:r>
      <w:r w:rsidR="002E11C0" w:rsidRPr="00E70A58">
        <w:rPr>
          <w:sz w:val="18"/>
          <w:szCs w:val="18"/>
        </w:rPr>
        <w:t>Trial investigated impact of Osimertinib compared to docetaxel-bevacizumab as third-line treatment for patients previous treated with first-line tyrosine kinase inhibitor (TKI) and second-line chemotherapy or first-line chemotherapy and second-line TKI</w:t>
      </w:r>
      <w:r w:rsidR="004B6241">
        <w:rPr>
          <w:sz w:val="18"/>
          <w:szCs w:val="18"/>
        </w:rPr>
        <w:t>.</w:t>
      </w:r>
    </w:p>
    <w:p w14:paraId="6F7D1BA6" w14:textId="3683FEF8" w:rsidR="002E11C0" w:rsidRPr="00E70A58" w:rsidRDefault="000E2B31" w:rsidP="00CD4B0D">
      <w:pPr>
        <w:spacing w:after="0" w:line="480" w:lineRule="auto"/>
        <w:ind w:right="1625"/>
        <w:jc w:val="both"/>
        <w:rPr>
          <w:sz w:val="18"/>
          <w:szCs w:val="18"/>
        </w:rPr>
      </w:pPr>
      <w:r>
        <w:rPr>
          <w:sz w:val="18"/>
          <w:szCs w:val="18"/>
          <w:vertAlign w:val="superscript"/>
        </w:rPr>
        <w:t>a</w:t>
      </w:r>
      <w:r w:rsidR="004B6241">
        <w:rPr>
          <w:sz w:val="18"/>
          <w:szCs w:val="18"/>
        </w:rPr>
        <w:t xml:space="preserve"> </w:t>
      </w:r>
      <w:proofErr w:type="spellStart"/>
      <w:r w:rsidR="002E11C0" w:rsidRPr="00E70A58">
        <w:rPr>
          <w:sz w:val="18"/>
          <w:szCs w:val="18"/>
        </w:rPr>
        <w:t>Lorlatinib</w:t>
      </w:r>
      <w:proofErr w:type="spellEnd"/>
      <w:r w:rsidR="002E11C0" w:rsidRPr="00E70A58">
        <w:rPr>
          <w:sz w:val="18"/>
          <w:szCs w:val="18"/>
        </w:rPr>
        <w:t xml:space="preserve"> assumed to have similar effectiveness as second line </w:t>
      </w:r>
      <w:proofErr w:type="spellStart"/>
      <w:r w:rsidR="002E11C0" w:rsidRPr="00E70A58">
        <w:rPr>
          <w:sz w:val="18"/>
          <w:szCs w:val="18"/>
        </w:rPr>
        <w:t>crizotinib</w:t>
      </w:r>
      <w:proofErr w:type="spellEnd"/>
      <w:r w:rsidR="002E11C0" w:rsidRPr="00E70A58">
        <w:rPr>
          <w:sz w:val="18"/>
          <w:szCs w:val="18"/>
        </w:rPr>
        <w:t xml:space="preserve"> in ALK mutated patients.</w:t>
      </w:r>
    </w:p>
    <w:p w14:paraId="2D9A9535" w14:textId="65771F90" w:rsidR="002E11C0" w:rsidRPr="00E70A58" w:rsidRDefault="000E2B31" w:rsidP="00AB7D4E">
      <w:pPr>
        <w:spacing w:after="0" w:line="480" w:lineRule="auto"/>
        <w:ind w:right="1625"/>
        <w:jc w:val="both"/>
        <w:rPr>
          <w:sz w:val="18"/>
          <w:szCs w:val="18"/>
        </w:rPr>
      </w:pPr>
      <w:r>
        <w:rPr>
          <w:sz w:val="18"/>
          <w:szCs w:val="18"/>
          <w:vertAlign w:val="superscript"/>
        </w:rPr>
        <w:t>b</w:t>
      </w:r>
      <w:r w:rsidR="002E11C0" w:rsidRPr="00E70A58">
        <w:rPr>
          <w:sz w:val="18"/>
          <w:szCs w:val="18"/>
        </w:rPr>
        <w:t xml:space="preserve"> Assumed the effect of second line pembrolizumab monotherapy.</w:t>
      </w:r>
    </w:p>
    <w:p w14:paraId="7F007B00" w14:textId="7200F51E" w:rsidR="00FF7EB3" w:rsidRPr="007542F4" w:rsidRDefault="00FF7EB3" w:rsidP="007542F4">
      <w:pPr>
        <w:spacing w:after="200" w:line="480" w:lineRule="auto"/>
        <w:jc w:val="both"/>
        <w:rPr>
          <w:rFonts w:ascii="Calibri" w:eastAsia="Calibri" w:hAnsi="Calibri" w:cs="Times New Roman"/>
          <w:sz w:val="18"/>
          <w:szCs w:val="18"/>
          <w:lang w:val="en-GB"/>
        </w:rPr>
      </w:pPr>
      <w:r>
        <w:rPr>
          <w:rFonts w:ascii="Calibri" w:eastAsia="Calibri" w:hAnsi="Calibri" w:cs="Calibri"/>
          <w:sz w:val="18"/>
          <w:szCs w:val="18"/>
        </w:rPr>
        <w:br w:type="page"/>
      </w:r>
    </w:p>
    <w:p w14:paraId="7D91B1BE" w14:textId="77777777" w:rsidR="00FF7EB3" w:rsidRDefault="00FF7EB3">
      <w:pPr>
        <w:spacing w:line="480" w:lineRule="auto"/>
        <w:jc w:val="both"/>
        <w:rPr>
          <w:b/>
        </w:rPr>
        <w:sectPr w:rsidR="00FF7EB3" w:rsidSect="007542F4">
          <w:pgSz w:w="16838" w:h="11906" w:orient="landscape"/>
          <w:pgMar w:top="1440" w:right="1440" w:bottom="1440" w:left="1440" w:header="708" w:footer="708" w:gutter="0"/>
          <w:lnNumType w:countBy="1" w:restart="continuous"/>
          <w:cols w:space="708"/>
          <w:docGrid w:linePitch="360"/>
        </w:sectPr>
      </w:pPr>
    </w:p>
    <w:p w14:paraId="4EE9D5D7" w14:textId="6A3B1705" w:rsidR="002E11C0" w:rsidRPr="00B27C7B" w:rsidRDefault="002E11C0" w:rsidP="007542F4">
      <w:pPr>
        <w:spacing w:line="480" w:lineRule="auto"/>
        <w:ind w:right="521"/>
        <w:jc w:val="both"/>
        <w:rPr>
          <w:rFonts w:ascii="Calibri" w:eastAsia="Calibri" w:hAnsi="Calibri" w:cs="Times New Roman"/>
          <w:bCs/>
        </w:rPr>
      </w:pPr>
      <w:r>
        <w:rPr>
          <w:rFonts w:ascii="Calibri" w:eastAsia="Calibri" w:hAnsi="Calibri" w:cs="Times New Roman"/>
          <w:bCs/>
        </w:rPr>
        <w:lastRenderedPageBreak/>
        <w:t>Table A6</w:t>
      </w:r>
      <w:r w:rsidRPr="00B27C7B">
        <w:rPr>
          <w:rFonts w:ascii="Calibri" w:eastAsia="Calibri" w:hAnsi="Calibri" w:cs="Times New Roman"/>
          <w:bCs/>
        </w:rPr>
        <w:t>. Regression model describing association between baseline characteristics and first-line treatment for patients with advance (inoperable) non-squamous NSCLC diagnosed between 2008 – 2014</w:t>
      </w:r>
    </w:p>
    <w:tbl>
      <w:tblPr>
        <w:tblStyle w:val="TableGrid3"/>
        <w:tblW w:w="8500" w:type="dxa"/>
        <w:tblLook w:val="04A0" w:firstRow="1" w:lastRow="0" w:firstColumn="1" w:lastColumn="0" w:noHBand="0" w:noVBand="1"/>
      </w:tblPr>
      <w:tblGrid>
        <w:gridCol w:w="1294"/>
        <w:gridCol w:w="1294"/>
        <w:gridCol w:w="1294"/>
        <w:gridCol w:w="791"/>
        <w:gridCol w:w="1134"/>
        <w:gridCol w:w="1186"/>
        <w:gridCol w:w="1507"/>
      </w:tblGrid>
      <w:tr w:rsidR="002E11C0" w:rsidRPr="00E033DA" w14:paraId="2FA63DD9" w14:textId="77777777" w:rsidTr="00370359">
        <w:tc>
          <w:tcPr>
            <w:tcW w:w="1294" w:type="dxa"/>
          </w:tcPr>
          <w:p w14:paraId="7BBD879F" w14:textId="77777777" w:rsidR="002E11C0" w:rsidRPr="00E033DA" w:rsidRDefault="002E11C0" w:rsidP="00C62DFE">
            <w:pPr>
              <w:rPr>
                <w:rFonts w:ascii="Calibri" w:eastAsia="Calibri" w:hAnsi="Calibri" w:cs="Times New Roman"/>
                <w:bCs/>
              </w:rPr>
            </w:pPr>
            <w:r w:rsidRPr="00E033DA">
              <w:rPr>
                <w:rFonts w:ascii="Calibri" w:eastAsia="Calibri" w:hAnsi="Calibri" w:cs="Times New Roman"/>
                <w:bCs/>
              </w:rPr>
              <w:t>Res. Var</w:t>
            </w:r>
          </w:p>
        </w:tc>
        <w:tc>
          <w:tcPr>
            <w:tcW w:w="1294" w:type="dxa"/>
          </w:tcPr>
          <w:p w14:paraId="3108DBE5" w14:textId="77777777" w:rsidR="002E11C0" w:rsidRPr="00E033DA" w:rsidRDefault="002E11C0">
            <w:pPr>
              <w:rPr>
                <w:rFonts w:ascii="Calibri" w:eastAsia="Calibri" w:hAnsi="Calibri" w:cs="Times New Roman"/>
                <w:bCs/>
              </w:rPr>
            </w:pPr>
            <w:r w:rsidRPr="00E033DA">
              <w:rPr>
                <w:rFonts w:ascii="Calibri" w:eastAsia="Calibri" w:hAnsi="Calibri" w:cs="Times New Roman"/>
                <w:bCs/>
              </w:rPr>
              <w:t xml:space="preserve">Model type </w:t>
            </w:r>
          </w:p>
        </w:tc>
        <w:tc>
          <w:tcPr>
            <w:tcW w:w="1294" w:type="dxa"/>
          </w:tcPr>
          <w:p w14:paraId="3BE8A0DB" w14:textId="77777777" w:rsidR="002E11C0" w:rsidRPr="00E033DA" w:rsidRDefault="002E11C0">
            <w:pPr>
              <w:rPr>
                <w:rFonts w:ascii="Calibri" w:eastAsia="Calibri" w:hAnsi="Calibri" w:cs="Times New Roman"/>
                <w:bCs/>
              </w:rPr>
            </w:pPr>
            <w:r w:rsidRPr="00E033DA">
              <w:rPr>
                <w:rFonts w:ascii="Calibri" w:eastAsia="Calibri" w:hAnsi="Calibri" w:cs="Times New Roman"/>
                <w:bCs/>
              </w:rPr>
              <w:t>Distribution</w:t>
            </w:r>
          </w:p>
        </w:tc>
        <w:tc>
          <w:tcPr>
            <w:tcW w:w="791" w:type="dxa"/>
          </w:tcPr>
          <w:p w14:paraId="666FC208" w14:textId="77777777" w:rsidR="002E11C0" w:rsidRPr="00E033DA" w:rsidRDefault="002E11C0">
            <w:pPr>
              <w:rPr>
                <w:rFonts w:ascii="Calibri" w:eastAsia="Calibri" w:hAnsi="Calibri" w:cs="Times New Roman"/>
                <w:bCs/>
              </w:rPr>
            </w:pPr>
            <w:r w:rsidRPr="00E033DA">
              <w:rPr>
                <w:rFonts w:ascii="Calibri" w:eastAsia="Calibri" w:hAnsi="Calibri" w:cs="Times New Roman"/>
                <w:bCs/>
              </w:rPr>
              <w:t>Scale</w:t>
            </w:r>
          </w:p>
        </w:tc>
        <w:tc>
          <w:tcPr>
            <w:tcW w:w="1134" w:type="dxa"/>
          </w:tcPr>
          <w:p w14:paraId="687389E4" w14:textId="77777777" w:rsidR="002E11C0" w:rsidRPr="00E033DA" w:rsidRDefault="002E11C0">
            <w:pPr>
              <w:rPr>
                <w:rFonts w:ascii="Calibri" w:eastAsia="Calibri" w:hAnsi="Calibri" w:cs="Times New Roman"/>
                <w:bCs/>
              </w:rPr>
            </w:pPr>
            <w:r w:rsidRPr="00E033DA">
              <w:rPr>
                <w:rFonts w:ascii="Calibri" w:eastAsia="Calibri" w:hAnsi="Calibri" w:cs="Times New Roman"/>
                <w:bCs/>
              </w:rPr>
              <w:t>Covariate</w:t>
            </w:r>
          </w:p>
        </w:tc>
        <w:tc>
          <w:tcPr>
            <w:tcW w:w="1186" w:type="dxa"/>
          </w:tcPr>
          <w:p w14:paraId="337DD9A1" w14:textId="77777777" w:rsidR="002E11C0" w:rsidRPr="00E033DA" w:rsidRDefault="002E11C0">
            <w:pPr>
              <w:rPr>
                <w:rFonts w:ascii="Calibri" w:eastAsia="Calibri" w:hAnsi="Calibri" w:cs="Times New Roman"/>
                <w:bCs/>
              </w:rPr>
            </w:pPr>
            <w:r w:rsidRPr="00E033DA">
              <w:rPr>
                <w:rFonts w:ascii="Calibri" w:eastAsia="Calibri" w:hAnsi="Calibri" w:cs="Times New Roman"/>
                <w:bCs/>
              </w:rPr>
              <w:t>Coefficient</w:t>
            </w:r>
          </w:p>
        </w:tc>
        <w:tc>
          <w:tcPr>
            <w:tcW w:w="1507" w:type="dxa"/>
          </w:tcPr>
          <w:p w14:paraId="7E12BB3E" w14:textId="4CE5B6A2" w:rsidR="002E11C0" w:rsidRPr="00E033DA" w:rsidRDefault="002E11C0">
            <w:pPr>
              <w:rPr>
                <w:rFonts w:ascii="Calibri" w:eastAsia="Calibri" w:hAnsi="Calibri" w:cs="Times New Roman"/>
                <w:bCs/>
              </w:rPr>
            </w:pPr>
            <w:r w:rsidRPr="00E033DA">
              <w:rPr>
                <w:rFonts w:ascii="Calibri" w:eastAsia="Calibri" w:hAnsi="Calibri" w:cs="Times New Roman"/>
                <w:bCs/>
              </w:rPr>
              <w:t>95% CI</w:t>
            </w:r>
          </w:p>
        </w:tc>
      </w:tr>
      <w:tr w:rsidR="002E11C0" w:rsidRPr="00E033DA" w14:paraId="1008BB22" w14:textId="77777777" w:rsidTr="00370359">
        <w:tc>
          <w:tcPr>
            <w:tcW w:w="1294" w:type="dxa"/>
          </w:tcPr>
          <w:p w14:paraId="179F7F48" w14:textId="77777777" w:rsidR="002E11C0" w:rsidRPr="00E033DA" w:rsidRDefault="002E11C0" w:rsidP="00C62DFE">
            <w:pPr>
              <w:rPr>
                <w:rFonts w:ascii="Calibri" w:eastAsia="Calibri" w:hAnsi="Calibri" w:cs="Times New Roman"/>
                <w:bCs/>
              </w:rPr>
            </w:pPr>
            <w:r w:rsidRPr="00E033DA">
              <w:rPr>
                <w:rFonts w:ascii="Calibri" w:eastAsia="Calibri" w:hAnsi="Calibri" w:cs="Times New Roman"/>
                <w:bCs/>
              </w:rPr>
              <w:t>Age</w:t>
            </w:r>
          </w:p>
        </w:tc>
        <w:tc>
          <w:tcPr>
            <w:tcW w:w="1294" w:type="dxa"/>
          </w:tcPr>
          <w:p w14:paraId="5CE2B1A4" w14:textId="77777777" w:rsidR="002E11C0" w:rsidRPr="00E033DA" w:rsidRDefault="002E11C0">
            <w:pPr>
              <w:rPr>
                <w:rFonts w:ascii="Calibri" w:eastAsia="Calibri" w:hAnsi="Calibri" w:cs="Times New Roman"/>
                <w:bCs/>
              </w:rPr>
            </w:pPr>
            <w:r w:rsidRPr="00E033DA">
              <w:rPr>
                <w:rFonts w:ascii="Calibri" w:eastAsia="Calibri" w:hAnsi="Calibri" w:cs="Times New Roman"/>
                <w:bCs/>
              </w:rPr>
              <w:t xml:space="preserve">Linear </w:t>
            </w:r>
          </w:p>
        </w:tc>
        <w:tc>
          <w:tcPr>
            <w:tcW w:w="1294" w:type="dxa"/>
          </w:tcPr>
          <w:p w14:paraId="7FC5BB2A" w14:textId="77777777" w:rsidR="002E11C0" w:rsidRPr="00E033DA" w:rsidRDefault="002E11C0">
            <w:pPr>
              <w:rPr>
                <w:rFonts w:ascii="Calibri" w:eastAsia="Calibri" w:hAnsi="Calibri" w:cs="Times New Roman"/>
                <w:bCs/>
              </w:rPr>
            </w:pPr>
            <w:r w:rsidRPr="00E033DA">
              <w:rPr>
                <w:rFonts w:ascii="Calibri" w:eastAsia="Calibri" w:hAnsi="Calibri" w:cs="Times New Roman"/>
                <w:bCs/>
              </w:rPr>
              <w:t xml:space="preserve">normal </w:t>
            </w:r>
          </w:p>
        </w:tc>
        <w:tc>
          <w:tcPr>
            <w:tcW w:w="791" w:type="dxa"/>
          </w:tcPr>
          <w:p w14:paraId="5FAA2B40" w14:textId="77777777" w:rsidR="002E11C0" w:rsidRPr="00E033DA" w:rsidRDefault="002E11C0">
            <w:pPr>
              <w:rPr>
                <w:rFonts w:ascii="Calibri" w:eastAsia="Calibri" w:hAnsi="Calibri" w:cs="Times New Roman"/>
                <w:bCs/>
              </w:rPr>
            </w:pPr>
            <w:r w:rsidRPr="00E033DA">
              <w:rPr>
                <w:rFonts w:ascii="Calibri" w:eastAsia="Calibri" w:hAnsi="Calibri" w:cs="Times New Roman"/>
                <w:bCs/>
              </w:rPr>
              <w:t>Linear</w:t>
            </w:r>
          </w:p>
        </w:tc>
        <w:tc>
          <w:tcPr>
            <w:tcW w:w="1134" w:type="dxa"/>
          </w:tcPr>
          <w:p w14:paraId="1E4A0CCB" w14:textId="77777777" w:rsidR="002E11C0" w:rsidRPr="00E033DA" w:rsidRDefault="002E11C0">
            <w:pPr>
              <w:rPr>
                <w:rFonts w:ascii="Calibri" w:eastAsia="Calibri" w:hAnsi="Calibri" w:cs="Times New Roman"/>
                <w:bCs/>
              </w:rPr>
            </w:pPr>
            <w:r w:rsidRPr="00E033DA">
              <w:rPr>
                <w:rFonts w:ascii="Calibri" w:eastAsia="Calibri" w:hAnsi="Calibri" w:cs="Times New Roman"/>
                <w:bCs/>
              </w:rPr>
              <w:t>Intercept</w:t>
            </w:r>
          </w:p>
        </w:tc>
        <w:tc>
          <w:tcPr>
            <w:tcW w:w="1186" w:type="dxa"/>
          </w:tcPr>
          <w:p w14:paraId="19D999B8"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67.88</w:t>
            </w:r>
          </w:p>
        </w:tc>
        <w:tc>
          <w:tcPr>
            <w:tcW w:w="1507" w:type="dxa"/>
          </w:tcPr>
          <w:p w14:paraId="4BEAF6BE"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67.28; 68.47</w:t>
            </w:r>
          </w:p>
        </w:tc>
      </w:tr>
      <w:tr w:rsidR="002E11C0" w:rsidRPr="00E033DA" w14:paraId="224871B8" w14:textId="77777777" w:rsidTr="00370359">
        <w:tc>
          <w:tcPr>
            <w:tcW w:w="1294" w:type="dxa"/>
          </w:tcPr>
          <w:p w14:paraId="39FFAE3D" w14:textId="77777777" w:rsidR="002E11C0" w:rsidRPr="00E033DA" w:rsidRDefault="002E11C0" w:rsidP="00C62DFE">
            <w:pPr>
              <w:rPr>
                <w:rFonts w:ascii="Calibri" w:eastAsia="Calibri" w:hAnsi="Calibri" w:cs="Times New Roman"/>
                <w:bCs/>
              </w:rPr>
            </w:pPr>
          </w:p>
        </w:tc>
        <w:tc>
          <w:tcPr>
            <w:tcW w:w="1294" w:type="dxa"/>
          </w:tcPr>
          <w:p w14:paraId="20CC3E6B" w14:textId="77777777" w:rsidR="002E11C0" w:rsidRPr="00E033DA" w:rsidRDefault="002E11C0">
            <w:pPr>
              <w:rPr>
                <w:rFonts w:ascii="Calibri" w:eastAsia="Calibri" w:hAnsi="Calibri" w:cs="Times New Roman"/>
                <w:bCs/>
              </w:rPr>
            </w:pPr>
          </w:p>
        </w:tc>
        <w:tc>
          <w:tcPr>
            <w:tcW w:w="1294" w:type="dxa"/>
          </w:tcPr>
          <w:p w14:paraId="568343B2" w14:textId="77777777" w:rsidR="002E11C0" w:rsidRPr="00E033DA" w:rsidRDefault="002E11C0">
            <w:pPr>
              <w:rPr>
                <w:rFonts w:ascii="Calibri" w:eastAsia="Calibri" w:hAnsi="Calibri" w:cs="Times New Roman"/>
                <w:bCs/>
              </w:rPr>
            </w:pPr>
          </w:p>
        </w:tc>
        <w:tc>
          <w:tcPr>
            <w:tcW w:w="791" w:type="dxa"/>
          </w:tcPr>
          <w:p w14:paraId="04C8DFAE" w14:textId="77777777" w:rsidR="002E11C0" w:rsidRPr="00E033DA" w:rsidRDefault="002E11C0">
            <w:pPr>
              <w:rPr>
                <w:rFonts w:ascii="Calibri" w:eastAsia="Calibri" w:hAnsi="Calibri" w:cs="Times New Roman"/>
                <w:bCs/>
              </w:rPr>
            </w:pPr>
          </w:p>
        </w:tc>
        <w:tc>
          <w:tcPr>
            <w:tcW w:w="1134" w:type="dxa"/>
          </w:tcPr>
          <w:p w14:paraId="2939CBC9" w14:textId="77777777" w:rsidR="002E11C0" w:rsidRPr="00E033DA" w:rsidRDefault="002E11C0">
            <w:pPr>
              <w:rPr>
                <w:rFonts w:ascii="Calibri" w:eastAsia="Calibri" w:hAnsi="Calibri" w:cs="Times New Roman"/>
                <w:bCs/>
              </w:rPr>
            </w:pPr>
            <w:r w:rsidRPr="00E033DA">
              <w:rPr>
                <w:rFonts w:ascii="Calibri" w:eastAsia="Calibri" w:hAnsi="Calibri" w:cs="Times New Roman"/>
                <w:bCs/>
              </w:rPr>
              <w:t>Gender: F</w:t>
            </w:r>
          </w:p>
        </w:tc>
        <w:tc>
          <w:tcPr>
            <w:tcW w:w="1186" w:type="dxa"/>
          </w:tcPr>
          <w:p w14:paraId="294BB2FD"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-2.90</w:t>
            </w:r>
          </w:p>
        </w:tc>
        <w:tc>
          <w:tcPr>
            <w:tcW w:w="1507" w:type="dxa"/>
          </w:tcPr>
          <w:p w14:paraId="581E6D00"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-3.83; -1.98</w:t>
            </w:r>
          </w:p>
        </w:tc>
      </w:tr>
      <w:tr w:rsidR="002E11C0" w:rsidRPr="00E033DA" w14:paraId="26CDEEAC" w14:textId="77777777" w:rsidTr="00370359">
        <w:tc>
          <w:tcPr>
            <w:tcW w:w="1294" w:type="dxa"/>
          </w:tcPr>
          <w:p w14:paraId="503F55B7" w14:textId="77777777" w:rsidR="002E11C0" w:rsidRPr="00E033DA" w:rsidRDefault="002E11C0" w:rsidP="00C62DFE">
            <w:pPr>
              <w:rPr>
                <w:rFonts w:ascii="Calibri" w:eastAsia="Calibri" w:hAnsi="Calibri" w:cs="Times New Roman"/>
                <w:bCs/>
              </w:rPr>
            </w:pPr>
          </w:p>
        </w:tc>
        <w:tc>
          <w:tcPr>
            <w:tcW w:w="1294" w:type="dxa"/>
          </w:tcPr>
          <w:p w14:paraId="28C83E53" w14:textId="77777777" w:rsidR="002E11C0" w:rsidRPr="00E033DA" w:rsidRDefault="002E11C0">
            <w:pPr>
              <w:rPr>
                <w:rFonts w:ascii="Calibri" w:eastAsia="Calibri" w:hAnsi="Calibri" w:cs="Times New Roman"/>
                <w:bCs/>
              </w:rPr>
            </w:pPr>
          </w:p>
        </w:tc>
        <w:tc>
          <w:tcPr>
            <w:tcW w:w="1294" w:type="dxa"/>
          </w:tcPr>
          <w:p w14:paraId="250BBEC3" w14:textId="77777777" w:rsidR="002E11C0" w:rsidRPr="00E033DA" w:rsidRDefault="002E11C0">
            <w:pPr>
              <w:rPr>
                <w:rFonts w:ascii="Calibri" w:eastAsia="Calibri" w:hAnsi="Calibri" w:cs="Times New Roman"/>
                <w:bCs/>
              </w:rPr>
            </w:pPr>
          </w:p>
        </w:tc>
        <w:tc>
          <w:tcPr>
            <w:tcW w:w="791" w:type="dxa"/>
          </w:tcPr>
          <w:p w14:paraId="4EA1F2B1" w14:textId="77777777" w:rsidR="002E11C0" w:rsidRPr="00E033DA" w:rsidRDefault="002E11C0">
            <w:pPr>
              <w:rPr>
                <w:rFonts w:ascii="Calibri" w:eastAsia="Calibri" w:hAnsi="Calibri" w:cs="Times New Roman"/>
                <w:bCs/>
              </w:rPr>
            </w:pPr>
          </w:p>
        </w:tc>
        <w:tc>
          <w:tcPr>
            <w:tcW w:w="1134" w:type="dxa"/>
          </w:tcPr>
          <w:p w14:paraId="35E83E74" w14:textId="77777777" w:rsidR="002E11C0" w:rsidRPr="00E033DA" w:rsidRDefault="002E11C0">
            <w:pPr>
              <w:rPr>
                <w:rFonts w:ascii="Calibri" w:eastAsia="Calibri" w:hAnsi="Calibri" w:cs="Times New Roman"/>
                <w:bCs/>
              </w:rPr>
            </w:pPr>
            <w:r w:rsidRPr="00E033DA">
              <w:rPr>
                <w:rFonts w:ascii="Calibri" w:eastAsia="Calibri" w:hAnsi="Calibri" w:cs="Times New Roman"/>
                <w:bCs/>
              </w:rPr>
              <w:t>Sigma</w:t>
            </w:r>
          </w:p>
        </w:tc>
        <w:tc>
          <w:tcPr>
            <w:tcW w:w="1186" w:type="dxa"/>
          </w:tcPr>
          <w:p w14:paraId="29B0ACED"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10.85</w:t>
            </w:r>
          </w:p>
        </w:tc>
        <w:tc>
          <w:tcPr>
            <w:tcW w:w="1507" w:type="dxa"/>
          </w:tcPr>
          <w:p w14:paraId="79E6D031" w14:textId="77777777" w:rsidR="002E11C0" w:rsidRPr="00E033DA" w:rsidRDefault="002E11C0">
            <w:pPr>
              <w:jc w:val="center"/>
              <w:rPr>
                <w:rFonts w:ascii="Calibri" w:eastAsia="Calibri" w:hAnsi="Calibri" w:cs="Times New Roman"/>
                <w:bCs/>
              </w:rPr>
            </w:pPr>
          </w:p>
        </w:tc>
      </w:tr>
      <w:tr w:rsidR="002E11C0" w:rsidRPr="00E033DA" w14:paraId="50EF690F" w14:textId="77777777" w:rsidTr="00370359">
        <w:tc>
          <w:tcPr>
            <w:tcW w:w="1294" w:type="dxa"/>
          </w:tcPr>
          <w:p w14:paraId="454A1486" w14:textId="77777777" w:rsidR="002E11C0" w:rsidRPr="00E033DA" w:rsidRDefault="002E11C0" w:rsidP="00C62DFE">
            <w:pPr>
              <w:rPr>
                <w:rFonts w:ascii="Calibri" w:eastAsia="Calibri" w:hAnsi="Calibri" w:cs="Times New Roman"/>
                <w:bCs/>
              </w:rPr>
            </w:pPr>
            <w:r w:rsidRPr="00E033DA">
              <w:rPr>
                <w:rFonts w:ascii="Calibri" w:eastAsia="Calibri" w:hAnsi="Calibri" w:cs="Times New Roman"/>
                <w:bCs/>
              </w:rPr>
              <w:t>CCI</w:t>
            </w:r>
          </w:p>
        </w:tc>
        <w:tc>
          <w:tcPr>
            <w:tcW w:w="1294" w:type="dxa"/>
          </w:tcPr>
          <w:p w14:paraId="460242EE" w14:textId="77777777" w:rsidR="002E11C0" w:rsidRPr="00E033DA" w:rsidRDefault="002E11C0">
            <w:pPr>
              <w:rPr>
                <w:rFonts w:ascii="Calibri" w:eastAsia="Calibri" w:hAnsi="Calibri" w:cs="Times New Roman"/>
                <w:bCs/>
              </w:rPr>
            </w:pPr>
          </w:p>
        </w:tc>
        <w:tc>
          <w:tcPr>
            <w:tcW w:w="1294" w:type="dxa"/>
          </w:tcPr>
          <w:p w14:paraId="5FCE6DAA" w14:textId="77777777" w:rsidR="002E11C0" w:rsidRPr="00E033DA" w:rsidRDefault="002E11C0">
            <w:pPr>
              <w:rPr>
                <w:rFonts w:ascii="Calibri" w:eastAsia="Calibri" w:hAnsi="Calibri" w:cs="Times New Roman"/>
                <w:bCs/>
              </w:rPr>
            </w:pPr>
          </w:p>
        </w:tc>
        <w:tc>
          <w:tcPr>
            <w:tcW w:w="791" w:type="dxa"/>
          </w:tcPr>
          <w:p w14:paraId="0D51FE5C" w14:textId="77777777" w:rsidR="002E11C0" w:rsidRPr="00E033DA" w:rsidRDefault="002E11C0">
            <w:pPr>
              <w:rPr>
                <w:rFonts w:ascii="Calibri" w:eastAsia="Calibri" w:hAnsi="Calibri" w:cs="Times New Roman"/>
                <w:bCs/>
              </w:rPr>
            </w:pPr>
          </w:p>
        </w:tc>
        <w:tc>
          <w:tcPr>
            <w:tcW w:w="1134" w:type="dxa"/>
          </w:tcPr>
          <w:p w14:paraId="1D97BC9B" w14:textId="77777777" w:rsidR="002E11C0" w:rsidRPr="00E033DA" w:rsidRDefault="002E11C0">
            <w:pPr>
              <w:rPr>
                <w:rFonts w:ascii="Calibri" w:eastAsia="Calibri" w:hAnsi="Calibri" w:cs="Times New Roman"/>
                <w:bCs/>
              </w:rPr>
            </w:pPr>
          </w:p>
        </w:tc>
        <w:tc>
          <w:tcPr>
            <w:tcW w:w="1186" w:type="dxa"/>
          </w:tcPr>
          <w:p w14:paraId="612B4E17" w14:textId="77777777" w:rsidR="002E11C0" w:rsidRPr="00E033DA" w:rsidRDefault="002E11C0">
            <w:pPr>
              <w:jc w:val="center"/>
              <w:rPr>
                <w:rFonts w:ascii="Calibri" w:eastAsia="Calibri" w:hAnsi="Calibri" w:cs="Times New Roman"/>
                <w:bCs/>
              </w:rPr>
            </w:pPr>
          </w:p>
        </w:tc>
        <w:tc>
          <w:tcPr>
            <w:tcW w:w="1507" w:type="dxa"/>
          </w:tcPr>
          <w:p w14:paraId="555FA2A5" w14:textId="77777777" w:rsidR="002E11C0" w:rsidRPr="00E033DA" w:rsidRDefault="002E11C0">
            <w:pPr>
              <w:jc w:val="center"/>
              <w:rPr>
                <w:rFonts w:ascii="Calibri" w:eastAsia="Calibri" w:hAnsi="Calibri" w:cs="Times New Roman"/>
                <w:bCs/>
              </w:rPr>
            </w:pPr>
          </w:p>
        </w:tc>
      </w:tr>
      <w:tr w:rsidR="002E11C0" w:rsidRPr="00E033DA" w14:paraId="3CEB01F1" w14:textId="77777777" w:rsidTr="00370359">
        <w:tc>
          <w:tcPr>
            <w:tcW w:w="1294" w:type="dxa"/>
          </w:tcPr>
          <w:p w14:paraId="0B9E4B7B" w14:textId="77777777" w:rsidR="002E11C0" w:rsidRPr="00E033DA" w:rsidRDefault="002E11C0" w:rsidP="00C62DFE">
            <w:pPr>
              <w:rPr>
                <w:rFonts w:ascii="Calibri" w:eastAsia="Calibri" w:hAnsi="Calibri" w:cs="Times New Roman"/>
                <w:bCs/>
              </w:rPr>
            </w:pPr>
            <w:r w:rsidRPr="00E033DA">
              <w:rPr>
                <w:rFonts w:ascii="Calibri" w:eastAsia="Calibri" w:hAnsi="Calibri" w:cs="Times New Roman"/>
                <w:bCs/>
              </w:rPr>
              <w:t>CCI (bad)</w:t>
            </w:r>
          </w:p>
        </w:tc>
        <w:tc>
          <w:tcPr>
            <w:tcW w:w="1294" w:type="dxa"/>
          </w:tcPr>
          <w:p w14:paraId="52C257CB" w14:textId="77777777" w:rsidR="002E11C0" w:rsidRPr="00E033DA" w:rsidRDefault="002E11C0">
            <w:pPr>
              <w:rPr>
                <w:rFonts w:ascii="Calibri" w:eastAsia="Calibri" w:hAnsi="Calibri" w:cs="Times New Roman"/>
                <w:bCs/>
              </w:rPr>
            </w:pPr>
            <w:r w:rsidRPr="00E033DA">
              <w:rPr>
                <w:rFonts w:ascii="Calibri" w:eastAsia="Calibri" w:hAnsi="Calibri" w:cs="Times New Roman"/>
                <w:bCs/>
              </w:rPr>
              <w:t xml:space="preserve">Logistic </w:t>
            </w:r>
          </w:p>
        </w:tc>
        <w:tc>
          <w:tcPr>
            <w:tcW w:w="1294" w:type="dxa"/>
          </w:tcPr>
          <w:p w14:paraId="04AEE3BC" w14:textId="77777777" w:rsidR="002E11C0" w:rsidRPr="00E033DA" w:rsidRDefault="002E11C0">
            <w:pPr>
              <w:rPr>
                <w:rFonts w:ascii="Calibri" w:eastAsia="Calibri" w:hAnsi="Calibri" w:cs="Times New Roman"/>
                <w:bCs/>
              </w:rPr>
            </w:pPr>
            <w:r w:rsidRPr="00E033DA">
              <w:rPr>
                <w:rFonts w:ascii="Calibri" w:eastAsia="Calibri" w:hAnsi="Calibri" w:cs="Times New Roman"/>
                <w:bCs/>
              </w:rPr>
              <w:t xml:space="preserve">Binomial </w:t>
            </w:r>
          </w:p>
        </w:tc>
        <w:tc>
          <w:tcPr>
            <w:tcW w:w="791" w:type="dxa"/>
          </w:tcPr>
          <w:p w14:paraId="446366BB" w14:textId="77777777" w:rsidR="002E11C0" w:rsidRPr="00E033DA" w:rsidRDefault="002E11C0">
            <w:pPr>
              <w:rPr>
                <w:rFonts w:ascii="Calibri" w:eastAsia="Calibri" w:hAnsi="Calibri" w:cs="Times New Roman"/>
                <w:bCs/>
              </w:rPr>
            </w:pPr>
            <w:r w:rsidRPr="00E033DA">
              <w:rPr>
                <w:rFonts w:ascii="Calibri" w:eastAsia="Calibri" w:hAnsi="Calibri" w:cs="Times New Roman"/>
                <w:bCs/>
              </w:rPr>
              <w:t>Logit</w:t>
            </w:r>
          </w:p>
        </w:tc>
        <w:tc>
          <w:tcPr>
            <w:tcW w:w="1134" w:type="dxa"/>
          </w:tcPr>
          <w:p w14:paraId="3469000E" w14:textId="77777777" w:rsidR="002E11C0" w:rsidRPr="00E033DA" w:rsidRDefault="002E11C0">
            <w:pPr>
              <w:rPr>
                <w:rFonts w:ascii="Calibri" w:eastAsia="Calibri" w:hAnsi="Calibri" w:cs="Times New Roman"/>
                <w:bCs/>
              </w:rPr>
            </w:pPr>
            <w:r w:rsidRPr="00E033DA">
              <w:rPr>
                <w:rFonts w:ascii="Calibri" w:eastAsia="Calibri" w:hAnsi="Calibri" w:cs="Times New Roman"/>
                <w:bCs/>
              </w:rPr>
              <w:t>Intercept</w:t>
            </w:r>
          </w:p>
        </w:tc>
        <w:tc>
          <w:tcPr>
            <w:tcW w:w="1186" w:type="dxa"/>
          </w:tcPr>
          <w:p w14:paraId="3B33F70C"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-5.88</w:t>
            </w:r>
          </w:p>
        </w:tc>
        <w:tc>
          <w:tcPr>
            <w:tcW w:w="1507" w:type="dxa"/>
          </w:tcPr>
          <w:p w14:paraId="539958A8"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-6.98; -4.83</w:t>
            </w:r>
          </w:p>
        </w:tc>
      </w:tr>
      <w:tr w:rsidR="002E11C0" w:rsidRPr="00E033DA" w14:paraId="08490463" w14:textId="77777777" w:rsidTr="00370359">
        <w:tc>
          <w:tcPr>
            <w:tcW w:w="1294" w:type="dxa"/>
          </w:tcPr>
          <w:p w14:paraId="1EB65D62" w14:textId="77777777" w:rsidR="002E11C0" w:rsidRPr="00E033DA" w:rsidRDefault="002E11C0" w:rsidP="00C62DFE">
            <w:pPr>
              <w:rPr>
                <w:rFonts w:ascii="Calibri" w:eastAsia="Calibri" w:hAnsi="Calibri" w:cs="Times New Roman"/>
                <w:bCs/>
              </w:rPr>
            </w:pPr>
          </w:p>
        </w:tc>
        <w:tc>
          <w:tcPr>
            <w:tcW w:w="1294" w:type="dxa"/>
          </w:tcPr>
          <w:p w14:paraId="5529427B" w14:textId="77777777" w:rsidR="002E11C0" w:rsidRPr="00E033DA" w:rsidRDefault="002E11C0">
            <w:pPr>
              <w:rPr>
                <w:rFonts w:ascii="Calibri" w:eastAsia="Calibri" w:hAnsi="Calibri" w:cs="Times New Roman"/>
                <w:bCs/>
              </w:rPr>
            </w:pPr>
          </w:p>
        </w:tc>
        <w:tc>
          <w:tcPr>
            <w:tcW w:w="1294" w:type="dxa"/>
          </w:tcPr>
          <w:p w14:paraId="2AE84645" w14:textId="77777777" w:rsidR="002E11C0" w:rsidRPr="00E033DA" w:rsidRDefault="002E11C0">
            <w:pPr>
              <w:rPr>
                <w:rFonts w:ascii="Calibri" w:eastAsia="Calibri" w:hAnsi="Calibri" w:cs="Times New Roman"/>
                <w:bCs/>
              </w:rPr>
            </w:pPr>
          </w:p>
        </w:tc>
        <w:tc>
          <w:tcPr>
            <w:tcW w:w="791" w:type="dxa"/>
          </w:tcPr>
          <w:p w14:paraId="2BDC99E3" w14:textId="77777777" w:rsidR="002E11C0" w:rsidRPr="00E033DA" w:rsidRDefault="002E11C0">
            <w:pPr>
              <w:rPr>
                <w:rFonts w:ascii="Calibri" w:eastAsia="Calibri" w:hAnsi="Calibri" w:cs="Times New Roman"/>
                <w:bCs/>
              </w:rPr>
            </w:pPr>
          </w:p>
        </w:tc>
        <w:tc>
          <w:tcPr>
            <w:tcW w:w="1134" w:type="dxa"/>
          </w:tcPr>
          <w:p w14:paraId="4908649E" w14:textId="77777777" w:rsidR="002E11C0" w:rsidRPr="00E033DA" w:rsidRDefault="002E11C0">
            <w:pPr>
              <w:rPr>
                <w:rFonts w:ascii="Calibri" w:eastAsia="Calibri" w:hAnsi="Calibri" w:cs="Times New Roman"/>
                <w:bCs/>
              </w:rPr>
            </w:pPr>
            <w:r w:rsidRPr="00E033DA">
              <w:rPr>
                <w:rFonts w:ascii="Calibri" w:eastAsia="Calibri" w:hAnsi="Calibri" w:cs="Times New Roman"/>
                <w:bCs/>
              </w:rPr>
              <w:t>Age</w:t>
            </w:r>
          </w:p>
        </w:tc>
        <w:tc>
          <w:tcPr>
            <w:tcW w:w="1186" w:type="dxa"/>
          </w:tcPr>
          <w:p w14:paraId="6208E25B"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0.06</w:t>
            </w:r>
          </w:p>
        </w:tc>
        <w:tc>
          <w:tcPr>
            <w:tcW w:w="1507" w:type="dxa"/>
          </w:tcPr>
          <w:p w14:paraId="09E0988D"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0.04; 0.07</w:t>
            </w:r>
          </w:p>
        </w:tc>
      </w:tr>
      <w:tr w:rsidR="002E11C0" w:rsidRPr="00E033DA" w14:paraId="685FD2D2" w14:textId="77777777" w:rsidTr="00370359">
        <w:tc>
          <w:tcPr>
            <w:tcW w:w="1294" w:type="dxa"/>
          </w:tcPr>
          <w:p w14:paraId="7439EF0D" w14:textId="77777777" w:rsidR="002E11C0" w:rsidRPr="00E033DA" w:rsidRDefault="002E11C0" w:rsidP="00C62DFE">
            <w:pPr>
              <w:rPr>
                <w:rFonts w:ascii="Calibri" w:eastAsia="Calibri" w:hAnsi="Calibri" w:cs="Times New Roman"/>
                <w:bCs/>
              </w:rPr>
            </w:pPr>
          </w:p>
        </w:tc>
        <w:tc>
          <w:tcPr>
            <w:tcW w:w="1294" w:type="dxa"/>
          </w:tcPr>
          <w:p w14:paraId="6D94C28D" w14:textId="77777777" w:rsidR="002E11C0" w:rsidRPr="00E033DA" w:rsidRDefault="002E11C0">
            <w:pPr>
              <w:rPr>
                <w:rFonts w:ascii="Calibri" w:eastAsia="Calibri" w:hAnsi="Calibri" w:cs="Times New Roman"/>
                <w:bCs/>
              </w:rPr>
            </w:pPr>
          </w:p>
        </w:tc>
        <w:tc>
          <w:tcPr>
            <w:tcW w:w="1294" w:type="dxa"/>
          </w:tcPr>
          <w:p w14:paraId="7EF88CBC" w14:textId="77777777" w:rsidR="002E11C0" w:rsidRPr="00E033DA" w:rsidRDefault="002E11C0">
            <w:pPr>
              <w:rPr>
                <w:rFonts w:ascii="Calibri" w:eastAsia="Calibri" w:hAnsi="Calibri" w:cs="Times New Roman"/>
                <w:bCs/>
              </w:rPr>
            </w:pPr>
          </w:p>
        </w:tc>
        <w:tc>
          <w:tcPr>
            <w:tcW w:w="791" w:type="dxa"/>
          </w:tcPr>
          <w:p w14:paraId="203C0FB2" w14:textId="77777777" w:rsidR="002E11C0" w:rsidRPr="00E033DA" w:rsidRDefault="002E11C0">
            <w:pPr>
              <w:rPr>
                <w:rFonts w:ascii="Calibri" w:eastAsia="Calibri" w:hAnsi="Calibri" w:cs="Times New Roman"/>
                <w:bCs/>
              </w:rPr>
            </w:pPr>
          </w:p>
        </w:tc>
        <w:tc>
          <w:tcPr>
            <w:tcW w:w="1134" w:type="dxa"/>
          </w:tcPr>
          <w:p w14:paraId="3B32DBD5" w14:textId="77777777" w:rsidR="002E11C0" w:rsidRPr="00E033DA" w:rsidRDefault="002E11C0">
            <w:pPr>
              <w:rPr>
                <w:rFonts w:ascii="Calibri" w:eastAsia="Calibri" w:hAnsi="Calibri" w:cs="Times New Roman"/>
                <w:bCs/>
              </w:rPr>
            </w:pPr>
            <w:r w:rsidRPr="00E033DA">
              <w:rPr>
                <w:rFonts w:ascii="Calibri" w:eastAsia="Calibri" w:hAnsi="Calibri" w:cs="Times New Roman"/>
                <w:bCs/>
              </w:rPr>
              <w:t>Gender: F</w:t>
            </w:r>
          </w:p>
        </w:tc>
        <w:tc>
          <w:tcPr>
            <w:tcW w:w="1186" w:type="dxa"/>
          </w:tcPr>
          <w:p w14:paraId="29284EC0"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-0.49</w:t>
            </w:r>
          </w:p>
        </w:tc>
        <w:tc>
          <w:tcPr>
            <w:tcW w:w="1507" w:type="dxa"/>
          </w:tcPr>
          <w:p w14:paraId="0A61E376"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-0.81; -0.18</w:t>
            </w:r>
          </w:p>
        </w:tc>
      </w:tr>
      <w:tr w:rsidR="002E11C0" w:rsidRPr="00E033DA" w14:paraId="685B73B9" w14:textId="77777777" w:rsidTr="00370359">
        <w:tc>
          <w:tcPr>
            <w:tcW w:w="1294" w:type="dxa"/>
          </w:tcPr>
          <w:p w14:paraId="3F27C1E4" w14:textId="77777777" w:rsidR="002E11C0" w:rsidRPr="00E033DA" w:rsidRDefault="002E11C0" w:rsidP="00C62DFE">
            <w:pPr>
              <w:rPr>
                <w:rFonts w:ascii="Calibri" w:eastAsia="Calibri" w:hAnsi="Calibri" w:cs="Times New Roman"/>
                <w:bCs/>
              </w:rPr>
            </w:pPr>
            <w:r w:rsidRPr="00E033DA">
              <w:rPr>
                <w:rFonts w:ascii="Calibri" w:eastAsia="Calibri" w:hAnsi="Calibri" w:cs="Times New Roman"/>
                <w:bCs/>
              </w:rPr>
              <w:t>PS</w:t>
            </w:r>
          </w:p>
        </w:tc>
        <w:tc>
          <w:tcPr>
            <w:tcW w:w="1294" w:type="dxa"/>
          </w:tcPr>
          <w:p w14:paraId="73462E7A" w14:textId="77777777" w:rsidR="002E11C0" w:rsidRPr="00E033DA" w:rsidRDefault="002E11C0">
            <w:pPr>
              <w:rPr>
                <w:rFonts w:ascii="Calibri" w:eastAsia="Calibri" w:hAnsi="Calibri" w:cs="Times New Roman"/>
                <w:bCs/>
              </w:rPr>
            </w:pPr>
          </w:p>
        </w:tc>
        <w:tc>
          <w:tcPr>
            <w:tcW w:w="1294" w:type="dxa"/>
          </w:tcPr>
          <w:p w14:paraId="6671F8AD" w14:textId="77777777" w:rsidR="002E11C0" w:rsidRPr="00E033DA" w:rsidRDefault="002E11C0">
            <w:pPr>
              <w:rPr>
                <w:rFonts w:ascii="Calibri" w:eastAsia="Calibri" w:hAnsi="Calibri" w:cs="Times New Roman"/>
                <w:bCs/>
              </w:rPr>
            </w:pPr>
          </w:p>
        </w:tc>
        <w:tc>
          <w:tcPr>
            <w:tcW w:w="791" w:type="dxa"/>
          </w:tcPr>
          <w:p w14:paraId="3D5DF684" w14:textId="77777777" w:rsidR="002E11C0" w:rsidRPr="00E033DA" w:rsidRDefault="002E11C0">
            <w:pPr>
              <w:rPr>
                <w:rFonts w:ascii="Calibri" w:eastAsia="Calibri" w:hAnsi="Calibri" w:cs="Times New Roman"/>
                <w:bCs/>
              </w:rPr>
            </w:pPr>
          </w:p>
        </w:tc>
        <w:tc>
          <w:tcPr>
            <w:tcW w:w="1134" w:type="dxa"/>
          </w:tcPr>
          <w:p w14:paraId="58C6EE7C" w14:textId="77777777" w:rsidR="002E11C0" w:rsidRPr="00E033DA" w:rsidRDefault="002E11C0">
            <w:pPr>
              <w:rPr>
                <w:rFonts w:ascii="Calibri" w:eastAsia="Calibri" w:hAnsi="Calibri" w:cs="Times New Roman"/>
                <w:bCs/>
              </w:rPr>
            </w:pPr>
          </w:p>
        </w:tc>
        <w:tc>
          <w:tcPr>
            <w:tcW w:w="1186" w:type="dxa"/>
          </w:tcPr>
          <w:p w14:paraId="62B7DE4A" w14:textId="77777777" w:rsidR="002E11C0" w:rsidRPr="00E033DA" w:rsidRDefault="002E11C0">
            <w:pPr>
              <w:jc w:val="center"/>
              <w:rPr>
                <w:rFonts w:ascii="Calibri" w:eastAsia="Calibri" w:hAnsi="Calibri" w:cs="Times New Roman"/>
                <w:bCs/>
              </w:rPr>
            </w:pPr>
          </w:p>
        </w:tc>
        <w:tc>
          <w:tcPr>
            <w:tcW w:w="1507" w:type="dxa"/>
          </w:tcPr>
          <w:p w14:paraId="42D7B584" w14:textId="77777777" w:rsidR="002E11C0" w:rsidRPr="00E033DA" w:rsidRDefault="002E11C0">
            <w:pPr>
              <w:jc w:val="center"/>
              <w:rPr>
                <w:rFonts w:ascii="Calibri" w:eastAsia="Calibri" w:hAnsi="Calibri" w:cs="Times New Roman"/>
                <w:bCs/>
              </w:rPr>
            </w:pPr>
          </w:p>
        </w:tc>
      </w:tr>
      <w:tr w:rsidR="002E11C0" w:rsidRPr="00E033DA" w14:paraId="1A750C67" w14:textId="77777777" w:rsidTr="00370359">
        <w:tc>
          <w:tcPr>
            <w:tcW w:w="1294" w:type="dxa"/>
          </w:tcPr>
          <w:p w14:paraId="17737A31" w14:textId="77777777" w:rsidR="002E11C0" w:rsidRPr="00E033DA" w:rsidRDefault="002E11C0" w:rsidP="00C62DFE">
            <w:pPr>
              <w:rPr>
                <w:rFonts w:ascii="Calibri" w:eastAsia="Calibri" w:hAnsi="Calibri" w:cs="Times New Roman"/>
                <w:bCs/>
              </w:rPr>
            </w:pPr>
            <w:r w:rsidRPr="00E033DA">
              <w:rPr>
                <w:rFonts w:ascii="Calibri" w:eastAsia="Calibri" w:hAnsi="Calibri" w:cs="Times New Roman"/>
                <w:bCs/>
              </w:rPr>
              <w:t>PS (</w:t>
            </w:r>
            <w:proofErr w:type="spellStart"/>
            <w:r w:rsidRPr="00E033DA">
              <w:rPr>
                <w:rFonts w:ascii="Calibri" w:eastAsia="Calibri" w:hAnsi="Calibri" w:cs="Times New Roman"/>
                <w:bCs/>
              </w:rPr>
              <w:t>obs</w:t>
            </w:r>
            <w:proofErr w:type="spellEnd"/>
            <w:r w:rsidRPr="00E033DA">
              <w:rPr>
                <w:rFonts w:ascii="Calibri" w:eastAsia="Calibri" w:hAnsi="Calibri" w:cs="Times New Roman"/>
                <w:bCs/>
              </w:rPr>
              <w:t>)</w:t>
            </w:r>
          </w:p>
        </w:tc>
        <w:tc>
          <w:tcPr>
            <w:tcW w:w="1294" w:type="dxa"/>
          </w:tcPr>
          <w:p w14:paraId="4423788D" w14:textId="77777777" w:rsidR="002E11C0" w:rsidRPr="00E033DA" w:rsidRDefault="002E11C0">
            <w:pPr>
              <w:rPr>
                <w:rFonts w:ascii="Calibri" w:eastAsia="Calibri" w:hAnsi="Calibri" w:cs="Times New Roman"/>
                <w:bCs/>
              </w:rPr>
            </w:pPr>
            <w:r w:rsidRPr="00E033DA">
              <w:rPr>
                <w:rFonts w:ascii="Calibri" w:eastAsia="Calibri" w:hAnsi="Calibri" w:cs="Times New Roman"/>
                <w:bCs/>
              </w:rPr>
              <w:t xml:space="preserve">Logistic </w:t>
            </w:r>
          </w:p>
        </w:tc>
        <w:tc>
          <w:tcPr>
            <w:tcW w:w="1294" w:type="dxa"/>
          </w:tcPr>
          <w:p w14:paraId="1FD48F64" w14:textId="77777777" w:rsidR="002E11C0" w:rsidRPr="00E033DA" w:rsidRDefault="002E11C0">
            <w:pPr>
              <w:rPr>
                <w:rFonts w:ascii="Calibri" w:eastAsia="Calibri" w:hAnsi="Calibri" w:cs="Times New Roman"/>
                <w:bCs/>
              </w:rPr>
            </w:pPr>
            <w:r w:rsidRPr="00E033DA">
              <w:rPr>
                <w:rFonts w:ascii="Calibri" w:eastAsia="Calibri" w:hAnsi="Calibri" w:cs="Times New Roman"/>
                <w:bCs/>
              </w:rPr>
              <w:t>Binomial</w:t>
            </w:r>
          </w:p>
        </w:tc>
        <w:tc>
          <w:tcPr>
            <w:tcW w:w="791" w:type="dxa"/>
          </w:tcPr>
          <w:p w14:paraId="388DC4D2" w14:textId="77777777" w:rsidR="002E11C0" w:rsidRPr="00E033DA" w:rsidRDefault="002E11C0">
            <w:pPr>
              <w:rPr>
                <w:rFonts w:ascii="Calibri" w:eastAsia="Calibri" w:hAnsi="Calibri" w:cs="Times New Roman"/>
                <w:bCs/>
              </w:rPr>
            </w:pPr>
            <w:r w:rsidRPr="00E033DA">
              <w:rPr>
                <w:rFonts w:ascii="Calibri" w:eastAsia="Calibri" w:hAnsi="Calibri" w:cs="Times New Roman"/>
                <w:bCs/>
              </w:rPr>
              <w:t>Logit</w:t>
            </w:r>
          </w:p>
        </w:tc>
        <w:tc>
          <w:tcPr>
            <w:tcW w:w="1134" w:type="dxa"/>
          </w:tcPr>
          <w:p w14:paraId="31C48FCC" w14:textId="77777777" w:rsidR="002E11C0" w:rsidRPr="00E033DA" w:rsidRDefault="002E11C0">
            <w:pPr>
              <w:rPr>
                <w:rFonts w:ascii="Calibri" w:eastAsia="Calibri" w:hAnsi="Calibri" w:cs="Times New Roman"/>
                <w:bCs/>
              </w:rPr>
            </w:pPr>
            <w:r w:rsidRPr="00E033DA">
              <w:rPr>
                <w:rFonts w:ascii="Calibri" w:eastAsia="Calibri" w:hAnsi="Calibri" w:cs="Times New Roman"/>
                <w:bCs/>
              </w:rPr>
              <w:t xml:space="preserve">Intercept </w:t>
            </w:r>
          </w:p>
        </w:tc>
        <w:tc>
          <w:tcPr>
            <w:tcW w:w="1186" w:type="dxa"/>
          </w:tcPr>
          <w:p w14:paraId="5CCD40FA"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1.84</w:t>
            </w:r>
          </w:p>
        </w:tc>
        <w:tc>
          <w:tcPr>
            <w:tcW w:w="1507" w:type="dxa"/>
          </w:tcPr>
          <w:p w14:paraId="494295AE"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1.52; 2.19</w:t>
            </w:r>
          </w:p>
        </w:tc>
      </w:tr>
      <w:tr w:rsidR="002E11C0" w:rsidRPr="00E033DA" w14:paraId="330FB2FF" w14:textId="77777777" w:rsidTr="00370359">
        <w:tc>
          <w:tcPr>
            <w:tcW w:w="1294" w:type="dxa"/>
          </w:tcPr>
          <w:p w14:paraId="17699D3E" w14:textId="77777777" w:rsidR="002E11C0" w:rsidRPr="00E033DA" w:rsidRDefault="002E11C0" w:rsidP="00C62DFE">
            <w:pPr>
              <w:rPr>
                <w:rFonts w:ascii="Calibri" w:eastAsia="Calibri" w:hAnsi="Calibri" w:cs="Times New Roman"/>
                <w:bCs/>
              </w:rPr>
            </w:pPr>
          </w:p>
        </w:tc>
        <w:tc>
          <w:tcPr>
            <w:tcW w:w="1294" w:type="dxa"/>
          </w:tcPr>
          <w:p w14:paraId="49C2147C" w14:textId="77777777" w:rsidR="002E11C0" w:rsidRPr="00E033DA" w:rsidRDefault="002E11C0">
            <w:pPr>
              <w:rPr>
                <w:rFonts w:ascii="Calibri" w:eastAsia="Calibri" w:hAnsi="Calibri" w:cs="Times New Roman"/>
                <w:bCs/>
              </w:rPr>
            </w:pPr>
          </w:p>
        </w:tc>
        <w:tc>
          <w:tcPr>
            <w:tcW w:w="1294" w:type="dxa"/>
          </w:tcPr>
          <w:p w14:paraId="3598C565" w14:textId="77777777" w:rsidR="002E11C0" w:rsidRPr="00E033DA" w:rsidRDefault="002E11C0">
            <w:pPr>
              <w:rPr>
                <w:rFonts w:ascii="Calibri" w:eastAsia="Calibri" w:hAnsi="Calibri" w:cs="Times New Roman"/>
                <w:bCs/>
              </w:rPr>
            </w:pPr>
          </w:p>
        </w:tc>
        <w:tc>
          <w:tcPr>
            <w:tcW w:w="791" w:type="dxa"/>
          </w:tcPr>
          <w:p w14:paraId="40D98032" w14:textId="77777777" w:rsidR="002E11C0" w:rsidRPr="00E033DA" w:rsidRDefault="002E11C0">
            <w:pPr>
              <w:rPr>
                <w:rFonts w:ascii="Calibri" w:eastAsia="Calibri" w:hAnsi="Calibri" w:cs="Times New Roman"/>
                <w:bCs/>
              </w:rPr>
            </w:pPr>
          </w:p>
        </w:tc>
        <w:tc>
          <w:tcPr>
            <w:tcW w:w="1134" w:type="dxa"/>
          </w:tcPr>
          <w:p w14:paraId="7317C318" w14:textId="77777777" w:rsidR="002E11C0" w:rsidRPr="00E033DA" w:rsidRDefault="002E11C0">
            <w:pPr>
              <w:rPr>
                <w:rFonts w:ascii="Calibri" w:eastAsia="Calibri" w:hAnsi="Calibri" w:cs="Times New Roman"/>
                <w:bCs/>
              </w:rPr>
            </w:pPr>
            <w:r w:rsidRPr="00E033DA">
              <w:rPr>
                <w:rFonts w:ascii="Calibri" w:eastAsia="Calibri" w:hAnsi="Calibri" w:cs="Times New Roman"/>
                <w:bCs/>
              </w:rPr>
              <w:t>Yr2009</w:t>
            </w:r>
          </w:p>
        </w:tc>
        <w:tc>
          <w:tcPr>
            <w:tcW w:w="1186" w:type="dxa"/>
          </w:tcPr>
          <w:p w14:paraId="71A4741D"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1.16</w:t>
            </w:r>
          </w:p>
        </w:tc>
        <w:tc>
          <w:tcPr>
            <w:tcW w:w="1507" w:type="dxa"/>
          </w:tcPr>
          <w:p w14:paraId="4D077B3D"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0.55; 1.82</w:t>
            </w:r>
          </w:p>
        </w:tc>
      </w:tr>
      <w:tr w:rsidR="002E11C0" w:rsidRPr="00E033DA" w14:paraId="4F4CA428" w14:textId="77777777" w:rsidTr="00370359">
        <w:tc>
          <w:tcPr>
            <w:tcW w:w="1294" w:type="dxa"/>
          </w:tcPr>
          <w:p w14:paraId="7C52A053" w14:textId="77777777" w:rsidR="002E11C0" w:rsidRPr="00E033DA" w:rsidRDefault="002E11C0" w:rsidP="00C62DFE">
            <w:pPr>
              <w:rPr>
                <w:rFonts w:ascii="Calibri" w:eastAsia="Calibri" w:hAnsi="Calibri" w:cs="Times New Roman"/>
                <w:bCs/>
              </w:rPr>
            </w:pPr>
          </w:p>
        </w:tc>
        <w:tc>
          <w:tcPr>
            <w:tcW w:w="1294" w:type="dxa"/>
          </w:tcPr>
          <w:p w14:paraId="08DD7921" w14:textId="77777777" w:rsidR="002E11C0" w:rsidRPr="00E033DA" w:rsidRDefault="002E11C0">
            <w:pPr>
              <w:rPr>
                <w:rFonts w:ascii="Calibri" w:eastAsia="Calibri" w:hAnsi="Calibri" w:cs="Times New Roman"/>
                <w:bCs/>
              </w:rPr>
            </w:pPr>
          </w:p>
        </w:tc>
        <w:tc>
          <w:tcPr>
            <w:tcW w:w="1294" w:type="dxa"/>
          </w:tcPr>
          <w:p w14:paraId="337CACE6" w14:textId="77777777" w:rsidR="002E11C0" w:rsidRPr="00E033DA" w:rsidRDefault="002E11C0">
            <w:pPr>
              <w:rPr>
                <w:rFonts w:ascii="Calibri" w:eastAsia="Calibri" w:hAnsi="Calibri" w:cs="Times New Roman"/>
                <w:bCs/>
              </w:rPr>
            </w:pPr>
          </w:p>
        </w:tc>
        <w:tc>
          <w:tcPr>
            <w:tcW w:w="791" w:type="dxa"/>
          </w:tcPr>
          <w:p w14:paraId="5101B916" w14:textId="77777777" w:rsidR="002E11C0" w:rsidRPr="00E033DA" w:rsidRDefault="002E11C0">
            <w:pPr>
              <w:rPr>
                <w:rFonts w:ascii="Calibri" w:eastAsia="Calibri" w:hAnsi="Calibri" w:cs="Times New Roman"/>
                <w:bCs/>
              </w:rPr>
            </w:pPr>
          </w:p>
        </w:tc>
        <w:tc>
          <w:tcPr>
            <w:tcW w:w="1134" w:type="dxa"/>
          </w:tcPr>
          <w:p w14:paraId="4A267069" w14:textId="77777777" w:rsidR="002E11C0" w:rsidRPr="00E033DA" w:rsidRDefault="002E11C0">
            <w:pPr>
              <w:rPr>
                <w:rFonts w:ascii="Calibri" w:eastAsia="Calibri" w:hAnsi="Calibri" w:cs="Times New Roman"/>
                <w:bCs/>
              </w:rPr>
            </w:pPr>
            <w:r w:rsidRPr="00E033DA">
              <w:rPr>
                <w:rFonts w:ascii="Calibri" w:eastAsia="Calibri" w:hAnsi="Calibri" w:cs="Times New Roman"/>
                <w:bCs/>
              </w:rPr>
              <w:t>Yr2010</w:t>
            </w:r>
          </w:p>
        </w:tc>
        <w:tc>
          <w:tcPr>
            <w:tcW w:w="1186" w:type="dxa"/>
          </w:tcPr>
          <w:p w14:paraId="3FB349CE"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0.19</w:t>
            </w:r>
          </w:p>
        </w:tc>
        <w:tc>
          <w:tcPr>
            <w:tcW w:w="1507" w:type="dxa"/>
          </w:tcPr>
          <w:p w14:paraId="5C233F9F"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-0.29; 0.68</w:t>
            </w:r>
          </w:p>
        </w:tc>
      </w:tr>
      <w:tr w:rsidR="002E11C0" w:rsidRPr="00E033DA" w14:paraId="33611615" w14:textId="77777777" w:rsidTr="00370359">
        <w:tc>
          <w:tcPr>
            <w:tcW w:w="1294" w:type="dxa"/>
          </w:tcPr>
          <w:p w14:paraId="4A4273DD" w14:textId="77777777" w:rsidR="002E11C0" w:rsidRPr="00E033DA" w:rsidRDefault="002E11C0" w:rsidP="00C62DFE">
            <w:pPr>
              <w:rPr>
                <w:rFonts w:ascii="Calibri" w:eastAsia="Calibri" w:hAnsi="Calibri" w:cs="Times New Roman"/>
                <w:bCs/>
              </w:rPr>
            </w:pPr>
          </w:p>
        </w:tc>
        <w:tc>
          <w:tcPr>
            <w:tcW w:w="1294" w:type="dxa"/>
          </w:tcPr>
          <w:p w14:paraId="7263BD40" w14:textId="77777777" w:rsidR="002E11C0" w:rsidRPr="00E033DA" w:rsidRDefault="002E11C0">
            <w:pPr>
              <w:rPr>
                <w:rFonts w:ascii="Calibri" w:eastAsia="Calibri" w:hAnsi="Calibri" w:cs="Times New Roman"/>
                <w:bCs/>
              </w:rPr>
            </w:pPr>
          </w:p>
        </w:tc>
        <w:tc>
          <w:tcPr>
            <w:tcW w:w="1294" w:type="dxa"/>
          </w:tcPr>
          <w:p w14:paraId="77602387" w14:textId="77777777" w:rsidR="002E11C0" w:rsidRPr="00E033DA" w:rsidRDefault="002E11C0">
            <w:pPr>
              <w:rPr>
                <w:rFonts w:ascii="Calibri" w:eastAsia="Calibri" w:hAnsi="Calibri" w:cs="Times New Roman"/>
                <w:bCs/>
              </w:rPr>
            </w:pPr>
          </w:p>
        </w:tc>
        <w:tc>
          <w:tcPr>
            <w:tcW w:w="791" w:type="dxa"/>
          </w:tcPr>
          <w:p w14:paraId="3E3FE5CF" w14:textId="77777777" w:rsidR="002E11C0" w:rsidRPr="00E033DA" w:rsidRDefault="002E11C0">
            <w:pPr>
              <w:rPr>
                <w:rFonts w:ascii="Calibri" w:eastAsia="Calibri" w:hAnsi="Calibri" w:cs="Times New Roman"/>
                <w:bCs/>
              </w:rPr>
            </w:pPr>
          </w:p>
        </w:tc>
        <w:tc>
          <w:tcPr>
            <w:tcW w:w="1134" w:type="dxa"/>
          </w:tcPr>
          <w:p w14:paraId="3460021A" w14:textId="77777777" w:rsidR="002E11C0" w:rsidRPr="00E033DA" w:rsidRDefault="002E11C0">
            <w:pPr>
              <w:rPr>
                <w:rFonts w:ascii="Calibri" w:eastAsia="Calibri" w:hAnsi="Calibri" w:cs="Times New Roman"/>
                <w:bCs/>
              </w:rPr>
            </w:pPr>
            <w:r w:rsidRPr="00E033DA">
              <w:rPr>
                <w:rFonts w:ascii="Calibri" w:eastAsia="Calibri" w:hAnsi="Calibri" w:cs="Times New Roman"/>
                <w:bCs/>
              </w:rPr>
              <w:t>Yr2011</w:t>
            </w:r>
          </w:p>
        </w:tc>
        <w:tc>
          <w:tcPr>
            <w:tcW w:w="1186" w:type="dxa"/>
          </w:tcPr>
          <w:p w14:paraId="623D795C"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1.11</w:t>
            </w:r>
          </w:p>
        </w:tc>
        <w:tc>
          <w:tcPr>
            <w:tcW w:w="1507" w:type="dxa"/>
          </w:tcPr>
          <w:p w14:paraId="6B65970F"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0.53; 1.74</w:t>
            </w:r>
          </w:p>
        </w:tc>
      </w:tr>
      <w:tr w:rsidR="002E11C0" w:rsidRPr="00E033DA" w14:paraId="71A507A1" w14:textId="77777777" w:rsidTr="00370359">
        <w:tc>
          <w:tcPr>
            <w:tcW w:w="1294" w:type="dxa"/>
          </w:tcPr>
          <w:p w14:paraId="2E98F261" w14:textId="77777777" w:rsidR="002E11C0" w:rsidRPr="00E033DA" w:rsidRDefault="002E11C0" w:rsidP="00C62DFE">
            <w:pPr>
              <w:rPr>
                <w:rFonts w:ascii="Calibri" w:eastAsia="Calibri" w:hAnsi="Calibri" w:cs="Times New Roman"/>
                <w:bCs/>
              </w:rPr>
            </w:pPr>
          </w:p>
        </w:tc>
        <w:tc>
          <w:tcPr>
            <w:tcW w:w="1294" w:type="dxa"/>
          </w:tcPr>
          <w:p w14:paraId="3C974968" w14:textId="77777777" w:rsidR="002E11C0" w:rsidRPr="00E033DA" w:rsidRDefault="002E11C0">
            <w:pPr>
              <w:rPr>
                <w:rFonts w:ascii="Calibri" w:eastAsia="Calibri" w:hAnsi="Calibri" w:cs="Times New Roman"/>
                <w:bCs/>
              </w:rPr>
            </w:pPr>
          </w:p>
        </w:tc>
        <w:tc>
          <w:tcPr>
            <w:tcW w:w="1294" w:type="dxa"/>
          </w:tcPr>
          <w:p w14:paraId="12E7F047" w14:textId="77777777" w:rsidR="002E11C0" w:rsidRPr="00E033DA" w:rsidRDefault="002E11C0">
            <w:pPr>
              <w:rPr>
                <w:rFonts w:ascii="Calibri" w:eastAsia="Calibri" w:hAnsi="Calibri" w:cs="Times New Roman"/>
                <w:bCs/>
              </w:rPr>
            </w:pPr>
          </w:p>
        </w:tc>
        <w:tc>
          <w:tcPr>
            <w:tcW w:w="791" w:type="dxa"/>
          </w:tcPr>
          <w:p w14:paraId="66F990EF" w14:textId="77777777" w:rsidR="002E11C0" w:rsidRPr="00E033DA" w:rsidRDefault="002E11C0">
            <w:pPr>
              <w:rPr>
                <w:rFonts w:ascii="Calibri" w:eastAsia="Calibri" w:hAnsi="Calibri" w:cs="Times New Roman"/>
                <w:bCs/>
              </w:rPr>
            </w:pPr>
          </w:p>
        </w:tc>
        <w:tc>
          <w:tcPr>
            <w:tcW w:w="1134" w:type="dxa"/>
          </w:tcPr>
          <w:p w14:paraId="0F3A030F" w14:textId="77777777" w:rsidR="002E11C0" w:rsidRPr="00E033DA" w:rsidRDefault="002E11C0">
            <w:pPr>
              <w:rPr>
                <w:rFonts w:ascii="Calibri" w:eastAsia="Calibri" w:hAnsi="Calibri" w:cs="Times New Roman"/>
                <w:bCs/>
              </w:rPr>
            </w:pPr>
            <w:r w:rsidRPr="00E033DA">
              <w:rPr>
                <w:rFonts w:ascii="Calibri" w:eastAsia="Calibri" w:hAnsi="Calibri" w:cs="Times New Roman"/>
                <w:bCs/>
              </w:rPr>
              <w:t>Yr2012</w:t>
            </w:r>
          </w:p>
        </w:tc>
        <w:tc>
          <w:tcPr>
            <w:tcW w:w="1186" w:type="dxa"/>
          </w:tcPr>
          <w:p w14:paraId="3F940EF2"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0.46</w:t>
            </w:r>
          </w:p>
        </w:tc>
        <w:tc>
          <w:tcPr>
            <w:tcW w:w="1507" w:type="dxa"/>
          </w:tcPr>
          <w:p w14:paraId="2E0E321B"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-0.03; 0.97</w:t>
            </w:r>
          </w:p>
        </w:tc>
      </w:tr>
      <w:tr w:rsidR="002E11C0" w:rsidRPr="00E033DA" w14:paraId="03045F9D" w14:textId="77777777" w:rsidTr="00370359">
        <w:tc>
          <w:tcPr>
            <w:tcW w:w="1294" w:type="dxa"/>
          </w:tcPr>
          <w:p w14:paraId="632292D0" w14:textId="77777777" w:rsidR="002E11C0" w:rsidRPr="00E033DA" w:rsidRDefault="002E11C0" w:rsidP="00C62DFE">
            <w:pPr>
              <w:rPr>
                <w:rFonts w:ascii="Calibri" w:eastAsia="Calibri" w:hAnsi="Calibri" w:cs="Times New Roman"/>
                <w:bCs/>
              </w:rPr>
            </w:pPr>
          </w:p>
        </w:tc>
        <w:tc>
          <w:tcPr>
            <w:tcW w:w="1294" w:type="dxa"/>
          </w:tcPr>
          <w:p w14:paraId="406721FC" w14:textId="77777777" w:rsidR="002E11C0" w:rsidRPr="00E033DA" w:rsidRDefault="002E11C0">
            <w:pPr>
              <w:rPr>
                <w:rFonts w:ascii="Calibri" w:eastAsia="Calibri" w:hAnsi="Calibri" w:cs="Times New Roman"/>
                <w:bCs/>
              </w:rPr>
            </w:pPr>
          </w:p>
        </w:tc>
        <w:tc>
          <w:tcPr>
            <w:tcW w:w="1294" w:type="dxa"/>
          </w:tcPr>
          <w:p w14:paraId="4F8F9404" w14:textId="77777777" w:rsidR="002E11C0" w:rsidRPr="00E033DA" w:rsidRDefault="002E11C0">
            <w:pPr>
              <w:rPr>
                <w:rFonts w:ascii="Calibri" w:eastAsia="Calibri" w:hAnsi="Calibri" w:cs="Times New Roman"/>
                <w:bCs/>
              </w:rPr>
            </w:pPr>
          </w:p>
        </w:tc>
        <w:tc>
          <w:tcPr>
            <w:tcW w:w="791" w:type="dxa"/>
          </w:tcPr>
          <w:p w14:paraId="522E44A1" w14:textId="77777777" w:rsidR="002E11C0" w:rsidRPr="00E033DA" w:rsidRDefault="002E11C0">
            <w:pPr>
              <w:rPr>
                <w:rFonts w:ascii="Calibri" w:eastAsia="Calibri" w:hAnsi="Calibri" w:cs="Times New Roman"/>
                <w:bCs/>
              </w:rPr>
            </w:pPr>
          </w:p>
        </w:tc>
        <w:tc>
          <w:tcPr>
            <w:tcW w:w="1134" w:type="dxa"/>
          </w:tcPr>
          <w:p w14:paraId="540BB2E6" w14:textId="77777777" w:rsidR="002E11C0" w:rsidRPr="00E033DA" w:rsidRDefault="002E11C0">
            <w:pPr>
              <w:rPr>
                <w:rFonts w:ascii="Calibri" w:eastAsia="Calibri" w:hAnsi="Calibri" w:cs="Times New Roman"/>
                <w:bCs/>
              </w:rPr>
            </w:pPr>
            <w:r w:rsidRPr="00E033DA">
              <w:rPr>
                <w:rFonts w:ascii="Calibri" w:eastAsia="Calibri" w:hAnsi="Calibri" w:cs="Times New Roman"/>
                <w:bCs/>
              </w:rPr>
              <w:t>Yr2013</w:t>
            </w:r>
          </w:p>
        </w:tc>
        <w:tc>
          <w:tcPr>
            <w:tcW w:w="1186" w:type="dxa"/>
          </w:tcPr>
          <w:p w14:paraId="5FDAF64C"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2.52</w:t>
            </w:r>
          </w:p>
        </w:tc>
        <w:tc>
          <w:tcPr>
            <w:tcW w:w="1507" w:type="dxa"/>
          </w:tcPr>
          <w:p w14:paraId="6E27AC28"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1.59; 3.73</w:t>
            </w:r>
          </w:p>
        </w:tc>
      </w:tr>
      <w:tr w:rsidR="002E11C0" w:rsidRPr="00E033DA" w14:paraId="351E6AEB" w14:textId="77777777" w:rsidTr="00370359">
        <w:tc>
          <w:tcPr>
            <w:tcW w:w="1294" w:type="dxa"/>
          </w:tcPr>
          <w:p w14:paraId="59D4BEDC" w14:textId="77777777" w:rsidR="002E11C0" w:rsidRPr="00E033DA" w:rsidRDefault="002E11C0" w:rsidP="00C62DFE">
            <w:pPr>
              <w:rPr>
                <w:rFonts w:ascii="Calibri" w:eastAsia="Calibri" w:hAnsi="Calibri" w:cs="Times New Roman"/>
                <w:bCs/>
              </w:rPr>
            </w:pPr>
          </w:p>
        </w:tc>
        <w:tc>
          <w:tcPr>
            <w:tcW w:w="1294" w:type="dxa"/>
          </w:tcPr>
          <w:p w14:paraId="51AAD9EF" w14:textId="77777777" w:rsidR="002E11C0" w:rsidRPr="00E033DA" w:rsidRDefault="002E11C0">
            <w:pPr>
              <w:rPr>
                <w:rFonts w:ascii="Calibri" w:eastAsia="Calibri" w:hAnsi="Calibri" w:cs="Times New Roman"/>
                <w:bCs/>
              </w:rPr>
            </w:pPr>
          </w:p>
        </w:tc>
        <w:tc>
          <w:tcPr>
            <w:tcW w:w="1294" w:type="dxa"/>
          </w:tcPr>
          <w:p w14:paraId="227798C4" w14:textId="77777777" w:rsidR="002E11C0" w:rsidRPr="00E033DA" w:rsidRDefault="002E11C0">
            <w:pPr>
              <w:rPr>
                <w:rFonts w:ascii="Calibri" w:eastAsia="Calibri" w:hAnsi="Calibri" w:cs="Times New Roman"/>
                <w:bCs/>
              </w:rPr>
            </w:pPr>
          </w:p>
        </w:tc>
        <w:tc>
          <w:tcPr>
            <w:tcW w:w="791" w:type="dxa"/>
          </w:tcPr>
          <w:p w14:paraId="612C631B" w14:textId="77777777" w:rsidR="002E11C0" w:rsidRPr="00E033DA" w:rsidRDefault="002E11C0">
            <w:pPr>
              <w:rPr>
                <w:rFonts w:ascii="Calibri" w:eastAsia="Calibri" w:hAnsi="Calibri" w:cs="Times New Roman"/>
                <w:bCs/>
              </w:rPr>
            </w:pPr>
          </w:p>
        </w:tc>
        <w:tc>
          <w:tcPr>
            <w:tcW w:w="1134" w:type="dxa"/>
          </w:tcPr>
          <w:p w14:paraId="7EE2DCB8" w14:textId="77777777" w:rsidR="002E11C0" w:rsidRPr="00E033DA" w:rsidRDefault="002E11C0">
            <w:pPr>
              <w:rPr>
                <w:rFonts w:ascii="Calibri" w:eastAsia="Calibri" w:hAnsi="Calibri" w:cs="Times New Roman"/>
                <w:bCs/>
              </w:rPr>
            </w:pPr>
            <w:r w:rsidRPr="00E033DA">
              <w:rPr>
                <w:rFonts w:ascii="Calibri" w:eastAsia="Calibri" w:hAnsi="Calibri" w:cs="Times New Roman"/>
                <w:bCs/>
              </w:rPr>
              <w:t>Yr2014</w:t>
            </w:r>
          </w:p>
        </w:tc>
        <w:tc>
          <w:tcPr>
            <w:tcW w:w="1186" w:type="dxa"/>
          </w:tcPr>
          <w:p w14:paraId="603A7DD8"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3.26</w:t>
            </w:r>
          </w:p>
        </w:tc>
        <w:tc>
          <w:tcPr>
            <w:tcW w:w="1507" w:type="dxa"/>
          </w:tcPr>
          <w:p w14:paraId="3EFAC32D"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2.06; 5.08</w:t>
            </w:r>
          </w:p>
        </w:tc>
      </w:tr>
      <w:tr w:rsidR="002E11C0" w:rsidRPr="00E033DA" w14:paraId="0F000724" w14:textId="77777777" w:rsidTr="00370359">
        <w:tc>
          <w:tcPr>
            <w:tcW w:w="1294" w:type="dxa"/>
          </w:tcPr>
          <w:p w14:paraId="6AF87D7B" w14:textId="77777777" w:rsidR="002E11C0" w:rsidRPr="00E033DA" w:rsidRDefault="002E11C0" w:rsidP="00C62DFE">
            <w:pPr>
              <w:rPr>
                <w:rFonts w:ascii="Calibri" w:eastAsia="Calibri" w:hAnsi="Calibri" w:cs="Times New Roman"/>
                <w:bCs/>
              </w:rPr>
            </w:pPr>
          </w:p>
        </w:tc>
        <w:tc>
          <w:tcPr>
            <w:tcW w:w="1294" w:type="dxa"/>
          </w:tcPr>
          <w:p w14:paraId="59F2B5CB" w14:textId="77777777" w:rsidR="002E11C0" w:rsidRPr="00E033DA" w:rsidRDefault="002E11C0">
            <w:pPr>
              <w:rPr>
                <w:rFonts w:ascii="Calibri" w:eastAsia="Calibri" w:hAnsi="Calibri" w:cs="Times New Roman"/>
                <w:bCs/>
              </w:rPr>
            </w:pPr>
          </w:p>
        </w:tc>
        <w:tc>
          <w:tcPr>
            <w:tcW w:w="1294" w:type="dxa"/>
          </w:tcPr>
          <w:p w14:paraId="4F350BFB" w14:textId="77777777" w:rsidR="002E11C0" w:rsidRPr="00E033DA" w:rsidRDefault="002E11C0">
            <w:pPr>
              <w:rPr>
                <w:rFonts w:ascii="Calibri" w:eastAsia="Calibri" w:hAnsi="Calibri" w:cs="Times New Roman"/>
                <w:bCs/>
              </w:rPr>
            </w:pPr>
          </w:p>
        </w:tc>
        <w:tc>
          <w:tcPr>
            <w:tcW w:w="791" w:type="dxa"/>
          </w:tcPr>
          <w:p w14:paraId="411970DA" w14:textId="77777777" w:rsidR="002E11C0" w:rsidRPr="00E033DA" w:rsidRDefault="002E11C0">
            <w:pPr>
              <w:rPr>
                <w:rFonts w:ascii="Calibri" w:eastAsia="Calibri" w:hAnsi="Calibri" w:cs="Times New Roman"/>
                <w:bCs/>
              </w:rPr>
            </w:pPr>
          </w:p>
        </w:tc>
        <w:tc>
          <w:tcPr>
            <w:tcW w:w="1134" w:type="dxa"/>
          </w:tcPr>
          <w:p w14:paraId="080B3EC7" w14:textId="77777777" w:rsidR="002E11C0" w:rsidRPr="00E033DA" w:rsidRDefault="002E11C0">
            <w:pPr>
              <w:rPr>
                <w:rFonts w:ascii="Calibri" w:eastAsia="Calibri" w:hAnsi="Calibri" w:cs="Times New Roman"/>
                <w:bCs/>
              </w:rPr>
            </w:pPr>
          </w:p>
        </w:tc>
        <w:tc>
          <w:tcPr>
            <w:tcW w:w="1186" w:type="dxa"/>
          </w:tcPr>
          <w:p w14:paraId="32741B21" w14:textId="77777777" w:rsidR="002E11C0" w:rsidRPr="00E033DA" w:rsidRDefault="002E11C0">
            <w:pPr>
              <w:jc w:val="center"/>
              <w:rPr>
                <w:rFonts w:ascii="Calibri" w:eastAsia="Calibri" w:hAnsi="Calibri" w:cs="Times New Roman"/>
                <w:bCs/>
              </w:rPr>
            </w:pPr>
          </w:p>
        </w:tc>
        <w:tc>
          <w:tcPr>
            <w:tcW w:w="1507" w:type="dxa"/>
          </w:tcPr>
          <w:p w14:paraId="2B419BBA" w14:textId="77777777" w:rsidR="002E11C0" w:rsidRPr="00E033DA" w:rsidRDefault="002E11C0">
            <w:pPr>
              <w:jc w:val="center"/>
              <w:rPr>
                <w:rFonts w:ascii="Calibri" w:eastAsia="Calibri" w:hAnsi="Calibri" w:cs="Times New Roman"/>
                <w:bCs/>
              </w:rPr>
            </w:pPr>
          </w:p>
        </w:tc>
      </w:tr>
      <w:tr w:rsidR="002E11C0" w:rsidRPr="00E033DA" w14:paraId="697E63E5" w14:textId="77777777" w:rsidTr="00370359">
        <w:tc>
          <w:tcPr>
            <w:tcW w:w="1294" w:type="dxa"/>
          </w:tcPr>
          <w:p w14:paraId="0F1E9805" w14:textId="77777777" w:rsidR="002E11C0" w:rsidRPr="00E033DA" w:rsidRDefault="002E11C0" w:rsidP="00C62DFE">
            <w:pPr>
              <w:rPr>
                <w:rFonts w:ascii="Calibri" w:eastAsia="Calibri" w:hAnsi="Calibri" w:cs="Times New Roman"/>
                <w:bCs/>
                <w:vertAlign w:val="superscript"/>
              </w:rPr>
            </w:pPr>
            <w:r w:rsidRPr="00E033DA">
              <w:rPr>
                <w:rFonts w:ascii="Calibri" w:eastAsia="Calibri" w:hAnsi="Calibri" w:cs="Times New Roman"/>
                <w:bCs/>
              </w:rPr>
              <w:t>PS (bad)</w:t>
            </w:r>
            <w:r w:rsidRPr="00E033DA">
              <w:rPr>
                <w:rFonts w:ascii="Calibri" w:eastAsia="Calibri" w:hAnsi="Calibri" w:cs="Times New Roman"/>
                <w:bCs/>
                <w:vertAlign w:val="superscript"/>
              </w:rPr>
              <w:t>a</w:t>
            </w:r>
          </w:p>
        </w:tc>
        <w:tc>
          <w:tcPr>
            <w:tcW w:w="1294" w:type="dxa"/>
          </w:tcPr>
          <w:p w14:paraId="23BAA42D" w14:textId="77777777" w:rsidR="002E11C0" w:rsidRPr="00E033DA" w:rsidRDefault="002E11C0">
            <w:pPr>
              <w:rPr>
                <w:rFonts w:ascii="Calibri" w:eastAsia="Calibri" w:hAnsi="Calibri" w:cs="Times New Roman"/>
                <w:bCs/>
              </w:rPr>
            </w:pPr>
            <w:r w:rsidRPr="00E033DA">
              <w:rPr>
                <w:rFonts w:ascii="Calibri" w:eastAsia="Calibri" w:hAnsi="Calibri" w:cs="Times New Roman"/>
                <w:bCs/>
              </w:rPr>
              <w:t>Logistic</w:t>
            </w:r>
          </w:p>
        </w:tc>
        <w:tc>
          <w:tcPr>
            <w:tcW w:w="1294" w:type="dxa"/>
          </w:tcPr>
          <w:p w14:paraId="4A391A34" w14:textId="77777777" w:rsidR="002E11C0" w:rsidRPr="00E033DA" w:rsidRDefault="002E11C0">
            <w:pPr>
              <w:rPr>
                <w:rFonts w:ascii="Calibri" w:eastAsia="Calibri" w:hAnsi="Calibri" w:cs="Times New Roman"/>
                <w:bCs/>
              </w:rPr>
            </w:pPr>
            <w:r w:rsidRPr="00E033DA">
              <w:rPr>
                <w:rFonts w:ascii="Calibri" w:eastAsia="Calibri" w:hAnsi="Calibri" w:cs="Times New Roman"/>
                <w:bCs/>
              </w:rPr>
              <w:t>Binomial</w:t>
            </w:r>
          </w:p>
        </w:tc>
        <w:tc>
          <w:tcPr>
            <w:tcW w:w="791" w:type="dxa"/>
          </w:tcPr>
          <w:p w14:paraId="0BAF1E27" w14:textId="77777777" w:rsidR="002E11C0" w:rsidRPr="00E033DA" w:rsidRDefault="002E11C0">
            <w:pPr>
              <w:rPr>
                <w:rFonts w:ascii="Calibri" w:eastAsia="Calibri" w:hAnsi="Calibri" w:cs="Times New Roman"/>
                <w:bCs/>
              </w:rPr>
            </w:pPr>
            <w:r w:rsidRPr="00E033DA">
              <w:rPr>
                <w:rFonts w:ascii="Calibri" w:eastAsia="Calibri" w:hAnsi="Calibri" w:cs="Times New Roman"/>
                <w:bCs/>
              </w:rPr>
              <w:t>Logit</w:t>
            </w:r>
          </w:p>
        </w:tc>
        <w:tc>
          <w:tcPr>
            <w:tcW w:w="1134" w:type="dxa"/>
          </w:tcPr>
          <w:p w14:paraId="582468CD" w14:textId="77777777" w:rsidR="002E11C0" w:rsidRPr="00E033DA" w:rsidRDefault="002E11C0">
            <w:pPr>
              <w:rPr>
                <w:rFonts w:ascii="Calibri" w:eastAsia="Calibri" w:hAnsi="Calibri" w:cs="Times New Roman"/>
                <w:bCs/>
              </w:rPr>
            </w:pPr>
            <w:r w:rsidRPr="00E033DA">
              <w:rPr>
                <w:rFonts w:ascii="Calibri" w:eastAsia="Calibri" w:hAnsi="Calibri" w:cs="Times New Roman"/>
                <w:bCs/>
              </w:rPr>
              <w:t>Intercept</w:t>
            </w:r>
          </w:p>
        </w:tc>
        <w:tc>
          <w:tcPr>
            <w:tcW w:w="1186" w:type="dxa"/>
          </w:tcPr>
          <w:p w14:paraId="07D567E1"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-3.32</w:t>
            </w:r>
          </w:p>
        </w:tc>
        <w:tc>
          <w:tcPr>
            <w:tcW w:w="1507" w:type="dxa"/>
          </w:tcPr>
          <w:p w14:paraId="20FEC954"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-3.99; -2.66</w:t>
            </w:r>
          </w:p>
        </w:tc>
      </w:tr>
      <w:tr w:rsidR="002E11C0" w:rsidRPr="00E033DA" w14:paraId="01DADEEA" w14:textId="77777777" w:rsidTr="00370359">
        <w:tc>
          <w:tcPr>
            <w:tcW w:w="1294" w:type="dxa"/>
          </w:tcPr>
          <w:p w14:paraId="30CB33DD" w14:textId="77777777" w:rsidR="002E11C0" w:rsidRPr="00E033DA" w:rsidRDefault="002E11C0" w:rsidP="00C62DFE">
            <w:pPr>
              <w:rPr>
                <w:rFonts w:ascii="Calibri" w:eastAsia="Calibri" w:hAnsi="Calibri" w:cs="Times New Roman"/>
                <w:bCs/>
              </w:rPr>
            </w:pPr>
          </w:p>
        </w:tc>
        <w:tc>
          <w:tcPr>
            <w:tcW w:w="1294" w:type="dxa"/>
          </w:tcPr>
          <w:p w14:paraId="7E917FCC" w14:textId="77777777" w:rsidR="002E11C0" w:rsidRPr="00E033DA" w:rsidRDefault="002E11C0">
            <w:pPr>
              <w:rPr>
                <w:rFonts w:ascii="Calibri" w:eastAsia="Calibri" w:hAnsi="Calibri" w:cs="Times New Roman"/>
                <w:bCs/>
              </w:rPr>
            </w:pPr>
          </w:p>
        </w:tc>
        <w:tc>
          <w:tcPr>
            <w:tcW w:w="1294" w:type="dxa"/>
          </w:tcPr>
          <w:p w14:paraId="2EE09F22" w14:textId="77777777" w:rsidR="002E11C0" w:rsidRPr="00E033DA" w:rsidRDefault="002E11C0">
            <w:pPr>
              <w:rPr>
                <w:rFonts w:ascii="Calibri" w:eastAsia="Calibri" w:hAnsi="Calibri" w:cs="Times New Roman"/>
                <w:bCs/>
              </w:rPr>
            </w:pPr>
          </w:p>
        </w:tc>
        <w:tc>
          <w:tcPr>
            <w:tcW w:w="791" w:type="dxa"/>
          </w:tcPr>
          <w:p w14:paraId="7A45B616" w14:textId="77777777" w:rsidR="002E11C0" w:rsidRPr="00E033DA" w:rsidRDefault="002E11C0">
            <w:pPr>
              <w:rPr>
                <w:rFonts w:ascii="Calibri" w:eastAsia="Calibri" w:hAnsi="Calibri" w:cs="Times New Roman"/>
                <w:bCs/>
              </w:rPr>
            </w:pPr>
          </w:p>
        </w:tc>
        <w:tc>
          <w:tcPr>
            <w:tcW w:w="1134" w:type="dxa"/>
          </w:tcPr>
          <w:p w14:paraId="5F6768EB" w14:textId="77777777" w:rsidR="002E11C0" w:rsidRPr="00E033DA" w:rsidRDefault="002E11C0">
            <w:pPr>
              <w:rPr>
                <w:rFonts w:ascii="Calibri" w:eastAsia="Calibri" w:hAnsi="Calibri" w:cs="Times New Roman"/>
                <w:bCs/>
              </w:rPr>
            </w:pPr>
            <w:r w:rsidRPr="00E033DA">
              <w:rPr>
                <w:rFonts w:ascii="Calibri" w:eastAsia="Calibri" w:hAnsi="Calibri" w:cs="Times New Roman"/>
                <w:bCs/>
              </w:rPr>
              <w:t>Yr2009</w:t>
            </w:r>
          </w:p>
        </w:tc>
        <w:tc>
          <w:tcPr>
            <w:tcW w:w="1186" w:type="dxa"/>
          </w:tcPr>
          <w:p w14:paraId="1D30F430"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-0.01</w:t>
            </w:r>
          </w:p>
        </w:tc>
        <w:tc>
          <w:tcPr>
            <w:tcW w:w="1507" w:type="dxa"/>
          </w:tcPr>
          <w:p w14:paraId="7A148FBA"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-0.37; 0.36</w:t>
            </w:r>
          </w:p>
        </w:tc>
      </w:tr>
      <w:tr w:rsidR="002E11C0" w:rsidRPr="00E033DA" w14:paraId="03D1B766" w14:textId="77777777" w:rsidTr="00370359">
        <w:tc>
          <w:tcPr>
            <w:tcW w:w="1294" w:type="dxa"/>
          </w:tcPr>
          <w:p w14:paraId="44A672BA" w14:textId="77777777" w:rsidR="002E11C0" w:rsidRPr="00E033DA" w:rsidRDefault="002E11C0" w:rsidP="00C62DFE">
            <w:pPr>
              <w:rPr>
                <w:rFonts w:ascii="Calibri" w:eastAsia="Calibri" w:hAnsi="Calibri" w:cs="Times New Roman"/>
                <w:bCs/>
              </w:rPr>
            </w:pPr>
          </w:p>
        </w:tc>
        <w:tc>
          <w:tcPr>
            <w:tcW w:w="1294" w:type="dxa"/>
          </w:tcPr>
          <w:p w14:paraId="408C1A7F" w14:textId="77777777" w:rsidR="002E11C0" w:rsidRPr="00E033DA" w:rsidRDefault="002E11C0">
            <w:pPr>
              <w:rPr>
                <w:rFonts w:ascii="Calibri" w:eastAsia="Calibri" w:hAnsi="Calibri" w:cs="Times New Roman"/>
                <w:bCs/>
              </w:rPr>
            </w:pPr>
          </w:p>
        </w:tc>
        <w:tc>
          <w:tcPr>
            <w:tcW w:w="1294" w:type="dxa"/>
          </w:tcPr>
          <w:p w14:paraId="59E14B35" w14:textId="77777777" w:rsidR="002E11C0" w:rsidRPr="00E033DA" w:rsidRDefault="002E11C0">
            <w:pPr>
              <w:rPr>
                <w:rFonts w:ascii="Calibri" w:eastAsia="Calibri" w:hAnsi="Calibri" w:cs="Times New Roman"/>
                <w:bCs/>
              </w:rPr>
            </w:pPr>
          </w:p>
        </w:tc>
        <w:tc>
          <w:tcPr>
            <w:tcW w:w="791" w:type="dxa"/>
          </w:tcPr>
          <w:p w14:paraId="330F1EA0" w14:textId="77777777" w:rsidR="002E11C0" w:rsidRPr="00E033DA" w:rsidRDefault="002E11C0">
            <w:pPr>
              <w:rPr>
                <w:rFonts w:ascii="Calibri" w:eastAsia="Calibri" w:hAnsi="Calibri" w:cs="Times New Roman"/>
                <w:bCs/>
              </w:rPr>
            </w:pPr>
          </w:p>
        </w:tc>
        <w:tc>
          <w:tcPr>
            <w:tcW w:w="1134" w:type="dxa"/>
          </w:tcPr>
          <w:p w14:paraId="6616A8F4" w14:textId="77777777" w:rsidR="002E11C0" w:rsidRPr="00E033DA" w:rsidRDefault="002E11C0">
            <w:pPr>
              <w:rPr>
                <w:rFonts w:ascii="Calibri" w:eastAsia="Calibri" w:hAnsi="Calibri" w:cs="Times New Roman"/>
                <w:bCs/>
              </w:rPr>
            </w:pPr>
            <w:r w:rsidRPr="00E033DA">
              <w:rPr>
                <w:rFonts w:ascii="Calibri" w:eastAsia="Calibri" w:hAnsi="Calibri" w:cs="Times New Roman"/>
                <w:bCs/>
              </w:rPr>
              <w:t>Yr2010</w:t>
            </w:r>
          </w:p>
        </w:tc>
        <w:tc>
          <w:tcPr>
            <w:tcW w:w="1186" w:type="dxa"/>
          </w:tcPr>
          <w:p w14:paraId="0E5C87C3"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0.16</w:t>
            </w:r>
          </w:p>
        </w:tc>
        <w:tc>
          <w:tcPr>
            <w:tcW w:w="1507" w:type="dxa"/>
          </w:tcPr>
          <w:p w14:paraId="0ED105A1"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-0.21; 0.52</w:t>
            </w:r>
          </w:p>
        </w:tc>
      </w:tr>
      <w:tr w:rsidR="002E11C0" w:rsidRPr="00E033DA" w14:paraId="71796CC4" w14:textId="77777777" w:rsidTr="00370359">
        <w:tc>
          <w:tcPr>
            <w:tcW w:w="1294" w:type="dxa"/>
          </w:tcPr>
          <w:p w14:paraId="1F758997" w14:textId="77777777" w:rsidR="002E11C0" w:rsidRPr="00E033DA" w:rsidRDefault="002E11C0" w:rsidP="00C62DFE">
            <w:pPr>
              <w:rPr>
                <w:rFonts w:ascii="Calibri" w:eastAsia="Calibri" w:hAnsi="Calibri" w:cs="Times New Roman"/>
                <w:bCs/>
              </w:rPr>
            </w:pPr>
          </w:p>
        </w:tc>
        <w:tc>
          <w:tcPr>
            <w:tcW w:w="1294" w:type="dxa"/>
          </w:tcPr>
          <w:p w14:paraId="7B2C2EE8" w14:textId="77777777" w:rsidR="002E11C0" w:rsidRPr="00E033DA" w:rsidRDefault="002E11C0">
            <w:pPr>
              <w:rPr>
                <w:rFonts w:ascii="Calibri" w:eastAsia="Calibri" w:hAnsi="Calibri" w:cs="Times New Roman"/>
                <w:bCs/>
              </w:rPr>
            </w:pPr>
          </w:p>
        </w:tc>
        <w:tc>
          <w:tcPr>
            <w:tcW w:w="1294" w:type="dxa"/>
          </w:tcPr>
          <w:p w14:paraId="69107E4D" w14:textId="77777777" w:rsidR="002E11C0" w:rsidRPr="00E033DA" w:rsidRDefault="002E11C0">
            <w:pPr>
              <w:rPr>
                <w:rFonts w:ascii="Calibri" w:eastAsia="Calibri" w:hAnsi="Calibri" w:cs="Times New Roman"/>
                <w:bCs/>
              </w:rPr>
            </w:pPr>
          </w:p>
        </w:tc>
        <w:tc>
          <w:tcPr>
            <w:tcW w:w="791" w:type="dxa"/>
          </w:tcPr>
          <w:p w14:paraId="38CA5246" w14:textId="77777777" w:rsidR="002E11C0" w:rsidRPr="00E033DA" w:rsidRDefault="002E11C0">
            <w:pPr>
              <w:rPr>
                <w:rFonts w:ascii="Calibri" w:eastAsia="Calibri" w:hAnsi="Calibri" w:cs="Times New Roman"/>
                <w:bCs/>
              </w:rPr>
            </w:pPr>
          </w:p>
        </w:tc>
        <w:tc>
          <w:tcPr>
            <w:tcW w:w="1134" w:type="dxa"/>
          </w:tcPr>
          <w:p w14:paraId="44C31C66" w14:textId="77777777" w:rsidR="002E11C0" w:rsidRPr="00E033DA" w:rsidRDefault="002E11C0">
            <w:pPr>
              <w:rPr>
                <w:rFonts w:ascii="Calibri" w:eastAsia="Calibri" w:hAnsi="Calibri" w:cs="Times New Roman"/>
                <w:bCs/>
              </w:rPr>
            </w:pPr>
            <w:r w:rsidRPr="00E033DA">
              <w:rPr>
                <w:rFonts w:ascii="Calibri" w:eastAsia="Calibri" w:hAnsi="Calibri" w:cs="Times New Roman"/>
                <w:bCs/>
              </w:rPr>
              <w:t>Yr2011</w:t>
            </w:r>
          </w:p>
        </w:tc>
        <w:tc>
          <w:tcPr>
            <w:tcW w:w="1186" w:type="dxa"/>
          </w:tcPr>
          <w:p w14:paraId="0C254E26"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-0.04</w:t>
            </w:r>
          </w:p>
        </w:tc>
        <w:tc>
          <w:tcPr>
            <w:tcW w:w="1507" w:type="dxa"/>
          </w:tcPr>
          <w:p w14:paraId="0E33BA29"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-0.39; 0.32</w:t>
            </w:r>
          </w:p>
        </w:tc>
      </w:tr>
      <w:tr w:rsidR="002E11C0" w:rsidRPr="00E033DA" w14:paraId="3E405C37" w14:textId="77777777" w:rsidTr="00370359">
        <w:tc>
          <w:tcPr>
            <w:tcW w:w="1294" w:type="dxa"/>
          </w:tcPr>
          <w:p w14:paraId="5A4E8C0B" w14:textId="77777777" w:rsidR="002E11C0" w:rsidRPr="00E033DA" w:rsidRDefault="002E11C0" w:rsidP="00C62DFE">
            <w:pPr>
              <w:rPr>
                <w:rFonts w:ascii="Calibri" w:eastAsia="Calibri" w:hAnsi="Calibri" w:cs="Times New Roman"/>
                <w:bCs/>
              </w:rPr>
            </w:pPr>
          </w:p>
        </w:tc>
        <w:tc>
          <w:tcPr>
            <w:tcW w:w="1294" w:type="dxa"/>
          </w:tcPr>
          <w:p w14:paraId="125F711E" w14:textId="77777777" w:rsidR="002E11C0" w:rsidRPr="00E033DA" w:rsidRDefault="002E11C0">
            <w:pPr>
              <w:rPr>
                <w:rFonts w:ascii="Calibri" w:eastAsia="Calibri" w:hAnsi="Calibri" w:cs="Times New Roman"/>
                <w:bCs/>
              </w:rPr>
            </w:pPr>
          </w:p>
        </w:tc>
        <w:tc>
          <w:tcPr>
            <w:tcW w:w="1294" w:type="dxa"/>
          </w:tcPr>
          <w:p w14:paraId="72834DAF" w14:textId="77777777" w:rsidR="002E11C0" w:rsidRPr="00E033DA" w:rsidRDefault="002E11C0">
            <w:pPr>
              <w:rPr>
                <w:rFonts w:ascii="Calibri" w:eastAsia="Calibri" w:hAnsi="Calibri" w:cs="Times New Roman"/>
                <w:bCs/>
              </w:rPr>
            </w:pPr>
          </w:p>
        </w:tc>
        <w:tc>
          <w:tcPr>
            <w:tcW w:w="791" w:type="dxa"/>
          </w:tcPr>
          <w:p w14:paraId="32481ED9" w14:textId="77777777" w:rsidR="002E11C0" w:rsidRPr="00E033DA" w:rsidRDefault="002E11C0">
            <w:pPr>
              <w:rPr>
                <w:rFonts w:ascii="Calibri" w:eastAsia="Calibri" w:hAnsi="Calibri" w:cs="Times New Roman"/>
                <w:bCs/>
              </w:rPr>
            </w:pPr>
          </w:p>
        </w:tc>
        <w:tc>
          <w:tcPr>
            <w:tcW w:w="1134" w:type="dxa"/>
          </w:tcPr>
          <w:p w14:paraId="13D43072" w14:textId="77777777" w:rsidR="002E11C0" w:rsidRPr="00E033DA" w:rsidRDefault="002E11C0">
            <w:pPr>
              <w:rPr>
                <w:rFonts w:ascii="Calibri" w:eastAsia="Calibri" w:hAnsi="Calibri" w:cs="Times New Roman"/>
                <w:bCs/>
              </w:rPr>
            </w:pPr>
            <w:r w:rsidRPr="00E033DA">
              <w:rPr>
                <w:rFonts w:ascii="Calibri" w:eastAsia="Calibri" w:hAnsi="Calibri" w:cs="Times New Roman"/>
                <w:bCs/>
              </w:rPr>
              <w:t>Yr2012</w:t>
            </w:r>
          </w:p>
        </w:tc>
        <w:tc>
          <w:tcPr>
            <w:tcW w:w="1186" w:type="dxa"/>
          </w:tcPr>
          <w:p w14:paraId="4E532F13"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-0.49</w:t>
            </w:r>
          </w:p>
        </w:tc>
        <w:tc>
          <w:tcPr>
            <w:tcW w:w="1507" w:type="dxa"/>
          </w:tcPr>
          <w:p w14:paraId="6841C571"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-0.86; -0.12</w:t>
            </w:r>
          </w:p>
        </w:tc>
      </w:tr>
      <w:tr w:rsidR="002E11C0" w:rsidRPr="00E033DA" w14:paraId="4F1815BB" w14:textId="77777777" w:rsidTr="00370359">
        <w:tc>
          <w:tcPr>
            <w:tcW w:w="1294" w:type="dxa"/>
          </w:tcPr>
          <w:p w14:paraId="461E6D7E" w14:textId="77777777" w:rsidR="002E11C0" w:rsidRPr="00E033DA" w:rsidRDefault="002E11C0" w:rsidP="00C62DFE">
            <w:pPr>
              <w:rPr>
                <w:rFonts w:ascii="Calibri" w:eastAsia="Calibri" w:hAnsi="Calibri" w:cs="Times New Roman"/>
                <w:bCs/>
              </w:rPr>
            </w:pPr>
          </w:p>
        </w:tc>
        <w:tc>
          <w:tcPr>
            <w:tcW w:w="1294" w:type="dxa"/>
          </w:tcPr>
          <w:p w14:paraId="185B4781" w14:textId="77777777" w:rsidR="002E11C0" w:rsidRPr="00E033DA" w:rsidRDefault="002E11C0">
            <w:pPr>
              <w:rPr>
                <w:rFonts w:ascii="Calibri" w:eastAsia="Calibri" w:hAnsi="Calibri" w:cs="Times New Roman"/>
                <w:bCs/>
              </w:rPr>
            </w:pPr>
          </w:p>
        </w:tc>
        <w:tc>
          <w:tcPr>
            <w:tcW w:w="1294" w:type="dxa"/>
          </w:tcPr>
          <w:p w14:paraId="00D2D358" w14:textId="77777777" w:rsidR="002E11C0" w:rsidRPr="00E033DA" w:rsidRDefault="002E11C0">
            <w:pPr>
              <w:rPr>
                <w:rFonts w:ascii="Calibri" w:eastAsia="Calibri" w:hAnsi="Calibri" w:cs="Times New Roman"/>
                <w:bCs/>
              </w:rPr>
            </w:pPr>
          </w:p>
        </w:tc>
        <w:tc>
          <w:tcPr>
            <w:tcW w:w="791" w:type="dxa"/>
          </w:tcPr>
          <w:p w14:paraId="33028247" w14:textId="77777777" w:rsidR="002E11C0" w:rsidRPr="00E033DA" w:rsidRDefault="002E11C0">
            <w:pPr>
              <w:rPr>
                <w:rFonts w:ascii="Calibri" w:eastAsia="Calibri" w:hAnsi="Calibri" w:cs="Times New Roman"/>
                <w:bCs/>
              </w:rPr>
            </w:pPr>
          </w:p>
        </w:tc>
        <w:tc>
          <w:tcPr>
            <w:tcW w:w="1134" w:type="dxa"/>
          </w:tcPr>
          <w:p w14:paraId="024CB730" w14:textId="77777777" w:rsidR="002E11C0" w:rsidRPr="00E033DA" w:rsidRDefault="002E11C0">
            <w:pPr>
              <w:rPr>
                <w:rFonts w:ascii="Calibri" w:eastAsia="Calibri" w:hAnsi="Calibri" w:cs="Times New Roman"/>
                <w:bCs/>
              </w:rPr>
            </w:pPr>
            <w:r w:rsidRPr="00E033DA">
              <w:rPr>
                <w:rFonts w:ascii="Calibri" w:eastAsia="Calibri" w:hAnsi="Calibri" w:cs="Times New Roman"/>
                <w:bCs/>
              </w:rPr>
              <w:t>Yr2013</w:t>
            </w:r>
          </w:p>
        </w:tc>
        <w:tc>
          <w:tcPr>
            <w:tcW w:w="1186" w:type="dxa"/>
          </w:tcPr>
          <w:p w14:paraId="541C5FCD"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-0.21</w:t>
            </w:r>
          </w:p>
        </w:tc>
        <w:tc>
          <w:tcPr>
            <w:tcW w:w="1507" w:type="dxa"/>
          </w:tcPr>
          <w:p w14:paraId="5F9415E0"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-0.57; 0.15</w:t>
            </w:r>
          </w:p>
        </w:tc>
      </w:tr>
      <w:tr w:rsidR="002E11C0" w:rsidRPr="00E033DA" w14:paraId="698FC581" w14:textId="77777777" w:rsidTr="00370359">
        <w:tc>
          <w:tcPr>
            <w:tcW w:w="1294" w:type="dxa"/>
          </w:tcPr>
          <w:p w14:paraId="6A067B3A" w14:textId="77777777" w:rsidR="002E11C0" w:rsidRPr="00E033DA" w:rsidRDefault="002E11C0" w:rsidP="00C62DFE">
            <w:pPr>
              <w:rPr>
                <w:rFonts w:ascii="Calibri" w:eastAsia="Calibri" w:hAnsi="Calibri" w:cs="Times New Roman"/>
                <w:bCs/>
              </w:rPr>
            </w:pPr>
          </w:p>
        </w:tc>
        <w:tc>
          <w:tcPr>
            <w:tcW w:w="1294" w:type="dxa"/>
          </w:tcPr>
          <w:p w14:paraId="15B2472D" w14:textId="77777777" w:rsidR="002E11C0" w:rsidRPr="00E033DA" w:rsidRDefault="002E11C0">
            <w:pPr>
              <w:rPr>
                <w:rFonts w:ascii="Calibri" w:eastAsia="Calibri" w:hAnsi="Calibri" w:cs="Times New Roman"/>
                <w:bCs/>
              </w:rPr>
            </w:pPr>
          </w:p>
        </w:tc>
        <w:tc>
          <w:tcPr>
            <w:tcW w:w="1294" w:type="dxa"/>
          </w:tcPr>
          <w:p w14:paraId="73613A6C" w14:textId="77777777" w:rsidR="002E11C0" w:rsidRPr="00E033DA" w:rsidRDefault="002E11C0">
            <w:pPr>
              <w:rPr>
                <w:rFonts w:ascii="Calibri" w:eastAsia="Calibri" w:hAnsi="Calibri" w:cs="Times New Roman"/>
                <w:bCs/>
              </w:rPr>
            </w:pPr>
          </w:p>
        </w:tc>
        <w:tc>
          <w:tcPr>
            <w:tcW w:w="791" w:type="dxa"/>
          </w:tcPr>
          <w:p w14:paraId="740B4076" w14:textId="77777777" w:rsidR="002E11C0" w:rsidRPr="00E033DA" w:rsidRDefault="002E11C0">
            <w:pPr>
              <w:rPr>
                <w:rFonts w:ascii="Calibri" w:eastAsia="Calibri" w:hAnsi="Calibri" w:cs="Times New Roman"/>
                <w:bCs/>
              </w:rPr>
            </w:pPr>
          </w:p>
        </w:tc>
        <w:tc>
          <w:tcPr>
            <w:tcW w:w="1134" w:type="dxa"/>
          </w:tcPr>
          <w:p w14:paraId="6EB4D930" w14:textId="77777777" w:rsidR="002E11C0" w:rsidRPr="00E033DA" w:rsidRDefault="002E11C0">
            <w:pPr>
              <w:rPr>
                <w:rFonts w:ascii="Calibri" w:eastAsia="Calibri" w:hAnsi="Calibri" w:cs="Times New Roman"/>
                <w:bCs/>
              </w:rPr>
            </w:pPr>
            <w:r w:rsidRPr="00E033DA">
              <w:rPr>
                <w:rFonts w:ascii="Calibri" w:eastAsia="Calibri" w:hAnsi="Calibri" w:cs="Times New Roman"/>
                <w:bCs/>
              </w:rPr>
              <w:t>Yr2014</w:t>
            </w:r>
          </w:p>
        </w:tc>
        <w:tc>
          <w:tcPr>
            <w:tcW w:w="1186" w:type="dxa"/>
          </w:tcPr>
          <w:p w14:paraId="2AFCFD0D"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-0.27</w:t>
            </w:r>
          </w:p>
        </w:tc>
        <w:tc>
          <w:tcPr>
            <w:tcW w:w="1507" w:type="dxa"/>
          </w:tcPr>
          <w:p w14:paraId="4684A3E1"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-0.63; 0.08</w:t>
            </w:r>
          </w:p>
        </w:tc>
      </w:tr>
      <w:tr w:rsidR="002E11C0" w:rsidRPr="00E033DA" w14:paraId="69E65BF0" w14:textId="77777777" w:rsidTr="00370359">
        <w:tc>
          <w:tcPr>
            <w:tcW w:w="1294" w:type="dxa"/>
          </w:tcPr>
          <w:p w14:paraId="4B98CCBD" w14:textId="77777777" w:rsidR="002E11C0" w:rsidRPr="00E033DA" w:rsidRDefault="002E11C0" w:rsidP="00C62DFE">
            <w:pPr>
              <w:rPr>
                <w:rFonts w:ascii="Calibri" w:eastAsia="Calibri" w:hAnsi="Calibri" w:cs="Times New Roman"/>
                <w:bCs/>
              </w:rPr>
            </w:pPr>
          </w:p>
        </w:tc>
        <w:tc>
          <w:tcPr>
            <w:tcW w:w="1294" w:type="dxa"/>
          </w:tcPr>
          <w:p w14:paraId="3FF3578F" w14:textId="77777777" w:rsidR="002E11C0" w:rsidRPr="00E033DA" w:rsidRDefault="002E11C0">
            <w:pPr>
              <w:rPr>
                <w:rFonts w:ascii="Calibri" w:eastAsia="Calibri" w:hAnsi="Calibri" w:cs="Times New Roman"/>
                <w:bCs/>
              </w:rPr>
            </w:pPr>
          </w:p>
        </w:tc>
        <w:tc>
          <w:tcPr>
            <w:tcW w:w="1294" w:type="dxa"/>
          </w:tcPr>
          <w:p w14:paraId="7572EE2D" w14:textId="77777777" w:rsidR="002E11C0" w:rsidRPr="00E033DA" w:rsidRDefault="002E11C0">
            <w:pPr>
              <w:rPr>
                <w:rFonts w:ascii="Calibri" w:eastAsia="Calibri" w:hAnsi="Calibri" w:cs="Times New Roman"/>
                <w:bCs/>
              </w:rPr>
            </w:pPr>
          </w:p>
        </w:tc>
        <w:tc>
          <w:tcPr>
            <w:tcW w:w="791" w:type="dxa"/>
          </w:tcPr>
          <w:p w14:paraId="55281D65" w14:textId="77777777" w:rsidR="002E11C0" w:rsidRPr="00E033DA" w:rsidRDefault="002E11C0">
            <w:pPr>
              <w:rPr>
                <w:rFonts w:ascii="Calibri" w:eastAsia="Calibri" w:hAnsi="Calibri" w:cs="Times New Roman"/>
                <w:bCs/>
              </w:rPr>
            </w:pPr>
          </w:p>
        </w:tc>
        <w:tc>
          <w:tcPr>
            <w:tcW w:w="1134" w:type="dxa"/>
          </w:tcPr>
          <w:p w14:paraId="7EFC9F01" w14:textId="77777777" w:rsidR="002E11C0" w:rsidRPr="00E033DA" w:rsidRDefault="002E11C0">
            <w:pPr>
              <w:rPr>
                <w:rFonts w:ascii="Calibri" w:eastAsia="Calibri" w:hAnsi="Calibri" w:cs="Times New Roman"/>
                <w:bCs/>
              </w:rPr>
            </w:pPr>
            <w:r w:rsidRPr="00E033DA">
              <w:rPr>
                <w:rFonts w:ascii="Calibri" w:eastAsia="Calibri" w:hAnsi="Calibri" w:cs="Times New Roman"/>
                <w:bCs/>
              </w:rPr>
              <w:t>Age</w:t>
            </w:r>
          </w:p>
        </w:tc>
        <w:tc>
          <w:tcPr>
            <w:tcW w:w="1186" w:type="dxa"/>
          </w:tcPr>
          <w:p w14:paraId="3C6CD81C"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0.04</w:t>
            </w:r>
          </w:p>
        </w:tc>
        <w:tc>
          <w:tcPr>
            <w:tcW w:w="1507" w:type="dxa"/>
          </w:tcPr>
          <w:p w14:paraId="36AB6FA2"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0.03; 0.05</w:t>
            </w:r>
          </w:p>
        </w:tc>
      </w:tr>
      <w:tr w:rsidR="002E11C0" w:rsidRPr="00E033DA" w14:paraId="645DBAB8" w14:textId="77777777" w:rsidTr="00370359">
        <w:tc>
          <w:tcPr>
            <w:tcW w:w="1294" w:type="dxa"/>
          </w:tcPr>
          <w:p w14:paraId="4561E7F8" w14:textId="77777777" w:rsidR="002E11C0" w:rsidRPr="00E033DA" w:rsidRDefault="002E11C0" w:rsidP="00C62DFE">
            <w:pPr>
              <w:rPr>
                <w:rFonts w:ascii="Calibri" w:eastAsia="Calibri" w:hAnsi="Calibri" w:cs="Times New Roman"/>
                <w:bCs/>
              </w:rPr>
            </w:pPr>
          </w:p>
        </w:tc>
        <w:tc>
          <w:tcPr>
            <w:tcW w:w="1294" w:type="dxa"/>
          </w:tcPr>
          <w:p w14:paraId="580CF081" w14:textId="77777777" w:rsidR="002E11C0" w:rsidRPr="00E033DA" w:rsidRDefault="002E11C0">
            <w:pPr>
              <w:rPr>
                <w:rFonts w:ascii="Calibri" w:eastAsia="Calibri" w:hAnsi="Calibri" w:cs="Times New Roman"/>
                <w:bCs/>
              </w:rPr>
            </w:pPr>
          </w:p>
        </w:tc>
        <w:tc>
          <w:tcPr>
            <w:tcW w:w="1294" w:type="dxa"/>
          </w:tcPr>
          <w:p w14:paraId="037375C9" w14:textId="77777777" w:rsidR="002E11C0" w:rsidRPr="00E033DA" w:rsidRDefault="002E11C0">
            <w:pPr>
              <w:rPr>
                <w:rFonts w:ascii="Calibri" w:eastAsia="Calibri" w:hAnsi="Calibri" w:cs="Times New Roman"/>
                <w:bCs/>
              </w:rPr>
            </w:pPr>
          </w:p>
        </w:tc>
        <w:tc>
          <w:tcPr>
            <w:tcW w:w="791" w:type="dxa"/>
          </w:tcPr>
          <w:p w14:paraId="7F7A493A" w14:textId="77777777" w:rsidR="002E11C0" w:rsidRPr="00E033DA" w:rsidRDefault="002E11C0">
            <w:pPr>
              <w:rPr>
                <w:rFonts w:ascii="Calibri" w:eastAsia="Calibri" w:hAnsi="Calibri" w:cs="Times New Roman"/>
                <w:bCs/>
              </w:rPr>
            </w:pPr>
          </w:p>
        </w:tc>
        <w:tc>
          <w:tcPr>
            <w:tcW w:w="1134" w:type="dxa"/>
          </w:tcPr>
          <w:p w14:paraId="11583288" w14:textId="77777777" w:rsidR="002E11C0" w:rsidRPr="00E033DA" w:rsidRDefault="002E11C0">
            <w:pPr>
              <w:rPr>
                <w:rFonts w:ascii="Calibri" w:eastAsia="Calibri" w:hAnsi="Calibri" w:cs="Times New Roman"/>
                <w:bCs/>
              </w:rPr>
            </w:pPr>
            <w:r w:rsidRPr="00E033DA">
              <w:rPr>
                <w:rFonts w:ascii="Calibri" w:eastAsia="Calibri" w:hAnsi="Calibri" w:cs="Times New Roman"/>
                <w:bCs/>
              </w:rPr>
              <w:t>CCI: bad</w:t>
            </w:r>
          </w:p>
        </w:tc>
        <w:tc>
          <w:tcPr>
            <w:tcW w:w="1186" w:type="dxa"/>
          </w:tcPr>
          <w:p w14:paraId="7F9733A4"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0.52</w:t>
            </w:r>
          </w:p>
        </w:tc>
        <w:tc>
          <w:tcPr>
            <w:tcW w:w="1507" w:type="dxa"/>
          </w:tcPr>
          <w:p w14:paraId="66A5092C"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0.22; 0.83</w:t>
            </w:r>
          </w:p>
        </w:tc>
      </w:tr>
      <w:tr w:rsidR="002E11C0" w:rsidRPr="00E033DA" w14:paraId="76DCB784" w14:textId="77777777" w:rsidTr="00370359">
        <w:tc>
          <w:tcPr>
            <w:tcW w:w="1294" w:type="dxa"/>
          </w:tcPr>
          <w:p w14:paraId="7AD10799" w14:textId="77777777" w:rsidR="002E11C0" w:rsidRPr="00E033DA" w:rsidRDefault="002E11C0" w:rsidP="00C62DFE">
            <w:pPr>
              <w:rPr>
                <w:rFonts w:ascii="Calibri" w:eastAsia="Calibri" w:hAnsi="Calibri" w:cs="Times New Roman"/>
                <w:bCs/>
              </w:rPr>
            </w:pPr>
            <w:r w:rsidRPr="00E033DA">
              <w:rPr>
                <w:rFonts w:ascii="Calibri" w:eastAsia="Calibri" w:hAnsi="Calibri" w:cs="Times New Roman"/>
                <w:bCs/>
              </w:rPr>
              <w:t>Treat</w:t>
            </w:r>
          </w:p>
        </w:tc>
        <w:tc>
          <w:tcPr>
            <w:tcW w:w="1294" w:type="dxa"/>
          </w:tcPr>
          <w:p w14:paraId="401D61DB" w14:textId="77777777" w:rsidR="002E11C0" w:rsidRPr="00E033DA" w:rsidRDefault="002E11C0">
            <w:pPr>
              <w:rPr>
                <w:rFonts w:ascii="Calibri" w:eastAsia="Calibri" w:hAnsi="Calibri" w:cs="Times New Roman"/>
                <w:bCs/>
              </w:rPr>
            </w:pPr>
          </w:p>
        </w:tc>
        <w:tc>
          <w:tcPr>
            <w:tcW w:w="1294" w:type="dxa"/>
          </w:tcPr>
          <w:p w14:paraId="423FF057" w14:textId="77777777" w:rsidR="002E11C0" w:rsidRPr="00E033DA" w:rsidRDefault="002E11C0">
            <w:pPr>
              <w:rPr>
                <w:rFonts w:ascii="Calibri" w:eastAsia="Calibri" w:hAnsi="Calibri" w:cs="Times New Roman"/>
                <w:bCs/>
              </w:rPr>
            </w:pPr>
          </w:p>
        </w:tc>
        <w:tc>
          <w:tcPr>
            <w:tcW w:w="791" w:type="dxa"/>
          </w:tcPr>
          <w:p w14:paraId="29F41505" w14:textId="77777777" w:rsidR="002E11C0" w:rsidRPr="00E033DA" w:rsidRDefault="002E11C0">
            <w:pPr>
              <w:rPr>
                <w:rFonts w:ascii="Calibri" w:eastAsia="Calibri" w:hAnsi="Calibri" w:cs="Times New Roman"/>
                <w:bCs/>
              </w:rPr>
            </w:pPr>
          </w:p>
        </w:tc>
        <w:tc>
          <w:tcPr>
            <w:tcW w:w="1134" w:type="dxa"/>
          </w:tcPr>
          <w:p w14:paraId="13D72B60" w14:textId="77777777" w:rsidR="002E11C0" w:rsidRPr="00E033DA" w:rsidRDefault="002E11C0">
            <w:pPr>
              <w:rPr>
                <w:rFonts w:ascii="Calibri" w:eastAsia="Calibri" w:hAnsi="Calibri" w:cs="Times New Roman"/>
                <w:bCs/>
              </w:rPr>
            </w:pPr>
          </w:p>
        </w:tc>
        <w:tc>
          <w:tcPr>
            <w:tcW w:w="1186" w:type="dxa"/>
          </w:tcPr>
          <w:p w14:paraId="40A7AB16" w14:textId="77777777" w:rsidR="002E11C0" w:rsidRPr="00E033DA" w:rsidRDefault="002E11C0">
            <w:pPr>
              <w:jc w:val="center"/>
              <w:rPr>
                <w:rFonts w:ascii="Calibri" w:eastAsia="Calibri" w:hAnsi="Calibri" w:cs="Times New Roman"/>
                <w:bCs/>
              </w:rPr>
            </w:pPr>
          </w:p>
        </w:tc>
        <w:tc>
          <w:tcPr>
            <w:tcW w:w="1507" w:type="dxa"/>
          </w:tcPr>
          <w:p w14:paraId="7B5B4115" w14:textId="77777777" w:rsidR="002E11C0" w:rsidRPr="00E033DA" w:rsidRDefault="002E11C0">
            <w:pPr>
              <w:jc w:val="center"/>
              <w:rPr>
                <w:rFonts w:ascii="Calibri" w:eastAsia="Calibri" w:hAnsi="Calibri" w:cs="Times New Roman"/>
                <w:bCs/>
              </w:rPr>
            </w:pPr>
          </w:p>
        </w:tc>
      </w:tr>
      <w:tr w:rsidR="002E11C0" w:rsidRPr="00E033DA" w14:paraId="169B3911" w14:textId="77777777" w:rsidTr="00370359">
        <w:tc>
          <w:tcPr>
            <w:tcW w:w="1294" w:type="dxa"/>
          </w:tcPr>
          <w:p w14:paraId="0C792A95" w14:textId="77777777" w:rsidR="002E11C0" w:rsidRPr="00E033DA" w:rsidRDefault="002E11C0" w:rsidP="00C62DFE">
            <w:pPr>
              <w:rPr>
                <w:rFonts w:ascii="Calibri" w:eastAsia="Calibri" w:hAnsi="Calibri" w:cs="Times New Roman"/>
                <w:bCs/>
              </w:rPr>
            </w:pPr>
            <w:r w:rsidRPr="00E033DA">
              <w:rPr>
                <w:rFonts w:ascii="Calibri" w:eastAsia="Calibri" w:hAnsi="Calibri" w:cs="Times New Roman"/>
                <w:bCs/>
              </w:rPr>
              <w:t>Treat (sys)</w:t>
            </w:r>
          </w:p>
        </w:tc>
        <w:tc>
          <w:tcPr>
            <w:tcW w:w="1294" w:type="dxa"/>
          </w:tcPr>
          <w:p w14:paraId="1F6351B3" w14:textId="77777777" w:rsidR="002E11C0" w:rsidRPr="00E033DA" w:rsidRDefault="002E11C0">
            <w:pPr>
              <w:rPr>
                <w:rFonts w:ascii="Calibri" w:eastAsia="Calibri" w:hAnsi="Calibri" w:cs="Times New Roman"/>
                <w:bCs/>
              </w:rPr>
            </w:pPr>
            <w:r w:rsidRPr="00E033DA">
              <w:rPr>
                <w:rFonts w:ascii="Calibri" w:eastAsia="Calibri" w:hAnsi="Calibri" w:cs="Times New Roman"/>
                <w:bCs/>
              </w:rPr>
              <w:t>Logistic</w:t>
            </w:r>
          </w:p>
        </w:tc>
        <w:tc>
          <w:tcPr>
            <w:tcW w:w="1294" w:type="dxa"/>
          </w:tcPr>
          <w:p w14:paraId="40420303" w14:textId="77777777" w:rsidR="002E11C0" w:rsidRPr="00E033DA" w:rsidRDefault="002E11C0">
            <w:pPr>
              <w:rPr>
                <w:rFonts w:ascii="Calibri" w:eastAsia="Calibri" w:hAnsi="Calibri" w:cs="Times New Roman"/>
                <w:bCs/>
              </w:rPr>
            </w:pPr>
            <w:r w:rsidRPr="00E033DA">
              <w:rPr>
                <w:rFonts w:ascii="Calibri" w:eastAsia="Calibri" w:hAnsi="Calibri" w:cs="Times New Roman"/>
                <w:bCs/>
              </w:rPr>
              <w:t xml:space="preserve">Binomial </w:t>
            </w:r>
          </w:p>
        </w:tc>
        <w:tc>
          <w:tcPr>
            <w:tcW w:w="791" w:type="dxa"/>
          </w:tcPr>
          <w:p w14:paraId="3F7A72C4" w14:textId="77777777" w:rsidR="002E11C0" w:rsidRPr="00E033DA" w:rsidRDefault="002E11C0">
            <w:pPr>
              <w:rPr>
                <w:rFonts w:ascii="Calibri" w:eastAsia="Calibri" w:hAnsi="Calibri" w:cs="Times New Roman"/>
                <w:bCs/>
              </w:rPr>
            </w:pPr>
            <w:r w:rsidRPr="00E033DA">
              <w:rPr>
                <w:rFonts w:ascii="Calibri" w:eastAsia="Calibri" w:hAnsi="Calibri" w:cs="Times New Roman"/>
                <w:bCs/>
              </w:rPr>
              <w:t>Logit</w:t>
            </w:r>
          </w:p>
        </w:tc>
        <w:tc>
          <w:tcPr>
            <w:tcW w:w="1134" w:type="dxa"/>
          </w:tcPr>
          <w:p w14:paraId="57919986" w14:textId="77777777" w:rsidR="002E11C0" w:rsidRPr="00E033DA" w:rsidRDefault="002E11C0">
            <w:pPr>
              <w:rPr>
                <w:rFonts w:ascii="Calibri" w:eastAsia="Calibri" w:hAnsi="Calibri" w:cs="Times New Roman"/>
                <w:bCs/>
              </w:rPr>
            </w:pPr>
            <w:r w:rsidRPr="00E033DA">
              <w:rPr>
                <w:rFonts w:ascii="Calibri" w:eastAsia="Calibri" w:hAnsi="Calibri" w:cs="Times New Roman"/>
                <w:bCs/>
              </w:rPr>
              <w:t xml:space="preserve">Intercept </w:t>
            </w:r>
          </w:p>
        </w:tc>
        <w:tc>
          <w:tcPr>
            <w:tcW w:w="1186" w:type="dxa"/>
          </w:tcPr>
          <w:p w14:paraId="07BB9F19"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2.78</w:t>
            </w:r>
          </w:p>
        </w:tc>
        <w:tc>
          <w:tcPr>
            <w:tcW w:w="1507" w:type="dxa"/>
          </w:tcPr>
          <w:p w14:paraId="43D32765"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2.12; 3.44</w:t>
            </w:r>
          </w:p>
        </w:tc>
      </w:tr>
      <w:tr w:rsidR="002E11C0" w:rsidRPr="00E033DA" w14:paraId="0D77BDDB" w14:textId="77777777" w:rsidTr="00370359">
        <w:tc>
          <w:tcPr>
            <w:tcW w:w="1294" w:type="dxa"/>
          </w:tcPr>
          <w:p w14:paraId="5BE8FFD1" w14:textId="77777777" w:rsidR="002E11C0" w:rsidRPr="00E033DA" w:rsidRDefault="002E11C0" w:rsidP="00C62DFE">
            <w:pPr>
              <w:rPr>
                <w:rFonts w:ascii="Calibri" w:eastAsia="Calibri" w:hAnsi="Calibri" w:cs="Times New Roman"/>
                <w:bCs/>
              </w:rPr>
            </w:pPr>
          </w:p>
        </w:tc>
        <w:tc>
          <w:tcPr>
            <w:tcW w:w="1294" w:type="dxa"/>
          </w:tcPr>
          <w:p w14:paraId="14AAC913" w14:textId="77777777" w:rsidR="002E11C0" w:rsidRPr="00E033DA" w:rsidRDefault="002E11C0">
            <w:pPr>
              <w:rPr>
                <w:rFonts w:ascii="Calibri" w:eastAsia="Calibri" w:hAnsi="Calibri" w:cs="Times New Roman"/>
                <w:bCs/>
              </w:rPr>
            </w:pPr>
          </w:p>
        </w:tc>
        <w:tc>
          <w:tcPr>
            <w:tcW w:w="1294" w:type="dxa"/>
          </w:tcPr>
          <w:p w14:paraId="76F090B3" w14:textId="77777777" w:rsidR="002E11C0" w:rsidRPr="00E033DA" w:rsidRDefault="002E11C0">
            <w:pPr>
              <w:rPr>
                <w:rFonts w:ascii="Calibri" w:eastAsia="Calibri" w:hAnsi="Calibri" w:cs="Times New Roman"/>
                <w:bCs/>
              </w:rPr>
            </w:pPr>
          </w:p>
        </w:tc>
        <w:tc>
          <w:tcPr>
            <w:tcW w:w="791" w:type="dxa"/>
          </w:tcPr>
          <w:p w14:paraId="05EC2914" w14:textId="77777777" w:rsidR="002E11C0" w:rsidRPr="00E033DA" w:rsidRDefault="002E11C0">
            <w:pPr>
              <w:rPr>
                <w:rFonts w:ascii="Calibri" w:eastAsia="Calibri" w:hAnsi="Calibri" w:cs="Times New Roman"/>
                <w:bCs/>
              </w:rPr>
            </w:pPr>
          </w:p>
        </w:tc>
        <w:tc>
          <w:tcPr>
            <w:tcW w:w="1134" w:type="dxa"/>
          </w:tcPr>
          <w:p w14:paraId="4FF09618" w14:textId="77777777" w:rsidR="002E11C0" w:rsidRPr="00E033DA" w:rsidRDefault="002E11C0">
            <w:pPr>
              <w:rPr>
                <w:rFonts w:ascii="Calibri" w:eastAsia="Calibri" w:hAnsi="Calibri" w:cs="Times New Roman"/>
                <w:bCs/>
              </w:rPr>
            </w:pPr>
            <w:r w:rsidRPr="00E033DA">
              <w:rPr>
                <w:rFonts w:ascii="Calibri" w:eastAsia="Calibri" w:hAnsi="Calibri" w:cs="Times New Roman"/>
                <w:bCs/>
              </w:rPr>
              <w:t>Yr2009</w:t>
            </w:r>
          </w:p>
        </w:tc>
        <w:tc>
          <w:tcPr>
            <w:tcW w:w="1186" w:type="dxa"/>
          </w:tcPr>
          <w:p w14:paraId="5BBAE88A"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0.03</w:t>
            </w:r>
          </w:p>
        </w:tc>
        <w:tc>
          <w:tcPr>
            <w:tcW w:w="1507" w:type="dxa"/>
          </w:tcPr>
          <w:p w14:paraId="2C77DD76"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-0.36; 0.42</w:t>
            </w:r>
          </w:p>
        </w:tc>
      </w:tr>
      <w:tr w:rsidR="002E11C0" w:rsidRPr="00E033DA" w14:paraId="1BD14B0C" w14:textId="77777777" w:rsidTr="00370359">
        <w:tc>
          <w:tcPr>
            <w:tcW w:w="1294" w:type="dxa"/>
          </w:tcPr>
          <w:p w14:paraId="45BB20B2" w14:textId="77777777" w:rsidR="002E11C0" w:rsidRPr="00E033DA" w:rsidRDefault="002E11C0" w:rsidP="00C62DFE">
            <w:pPr>
              <w:rPr>
                <w:rFonts w:ascii="Calibri" w:eastAsia="Calibri" w:hAnsi="Calibri" w:cs="Times New Roman"/>
                <w:bCs/>
              </w:rPr>
            </w:pPr>
          </w:p>
        </w:tc>
        <w:tc>
          <w:tcPr>
            <w:tcW w:w="1294" w:type="dxa"/>
          </w:tcPr>
          <w:p w14:paraId="36E237F6" w14:textId="77777777" w:rsidR="002E11C0" w:rsidRPr="00E033DA" w:rsidRDefault="002E11C0">
            <w:pPr>
              <w:rPr>
                <w:rFonts w:ascii="Calibri" w:eastAsia="Calibri" w:hAnsi="Calibri" w:cs="Times New Roman"/>
                <w:bCs/>
              </w:rPr>
            </w:pPr>
          </w:p>
        </w:tc>
        <w:tc>
          <w:tcPr>
            <w:tcW w:w="1294" w:type="dxa"/>
          </w:tcPr>
          <w:p w14:paraId="1F89B668" w14:textId="77777777" w:rsidR="002E11C0" w:rsidRPr="00E033DA" w:rsidRDefault="002E11C0">
            <w:pPr>
              <w:rPr>
                <w:rFonts w:ascii="Calibri" w:eastAsia="Calibri" w:hAnsi="Calibri" w:cs="Times New Roman"/>
                <w:bCs/>
              </w:rPr>
            </w:pPr>
          </w:p>
        </w:tc>
        <w:tc>
          <w:tcPr>
            <w:tcW w:w="791" w:type="dxa"/>
          </w:tcPr>
          <w:p w14:paraId="012765B0" w14:textId="77777777" w:rsidR="002E11C0" w:rsidRPr="00E033DA" w:rsidRDefault="002E11C0">
            <w:pPr>
              <w:rPr>
                <w:rFonts w:ascii="Calibri" w:eastAsia="Calibri" w:hAnsi="Calibri" w:cs="Times New Roman"/>
                <w:bCs/>
              </w:rPr>
            </w:pPr>
          </w:p>
        </w:tc>
        <w:tc>
          <w:tcPr>
            <w:tcW w:w="1134" w:type="dxa"/>
          </w:tcPr>
          <w:p w14:paraId="5F74C35D" w14:textId="77777777" w:rsidR="002E11C0" w:rsidRPr="00E033DA" w:rsidRDefault="002E11C0">
            <w:pPr>
              <w:rPr>
                <w:rFonts w:ascii="Calibri" w:eastAsia="Calibri" w:hAnsi="Calibri" w:cs="Times New Roman"/>
                <w:bCs/>
              </w:rPr>
            </w:pPr>
            <w:r w:rsidRPr="00E033DA">
              <w:rPr>
                <w:rFonts w:ascii="Calibri" w:eastAsia="Calibri" w:hAnsi="Calibri" w:cs="Times New Roman"/>
                <w:bCs/>
              </w:rPr>
              <w:t>Yr2010</w:t>
            </w:r>
          </w:p>
        </w:tc>
        <w:tc>
          <w:tcPr>
            <w:tcW w:w="1186" w:type="dxa"/>
          </w:tcPr>
          <w:p w14:paraId="1D77A9FE"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0.27</w:t>
            </w:r>
          </w:p>
        </w:tc>
        <w:tc>
          <w:tcPr>
            <w:tcW w:w="1507" w:type="dxa"/>
          </w:tcPr>
          <w:p w14:paraId="12C14719"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-0.12; 0.65</w:t>
            </w:r>
          </w:p>
        </w:tc>
      </w:tr>
      <w:tr w:rsidR="002E11C0" w:rsidRPr="00E033DA" w14:paraId="519BB6F7" w14:textId="77777777" w:rsidTr="00370359">
        <w:tc>
          <w:tcPr>
            <w:tcW w:w="1294" w:type="dxa"/>
          </w:tcPr>
          <w:p w14:paraId="4738D158" w14:textId="77777777" w:rsidR="002E11C0" w:rsidRPr="00E033DA" w:rsidRDefault="002E11C0" w:rsidP="00C62DFE">
            <w:pPr>
              <w:rPr>
                <w:rFonts w:ascii="Calibri" w:eastAsia="Calibri" w:hAnsi="Calibri" w:cs="Times New Roman"/>
                <w:bCs/>
              </w:rPr>
            </w:pPr>
          </w:p>
        </w:tc>
        <w:tc>
          <w:tcPr>
            <w:tcW w:w="1294" w:type="dxa"/>
          </w:tcPr>
          <w:p w14:paraId="69C3E978" w14:textId="77777777" w:rsidR="002E11C0" w:rsidRPr="00E033DA" w:rsidRDefault="002E11C0">
            <w:pPr>
              <w:rPr>
                <w:rFonts w:ascii="Calibri" w:eastAsia="Calibri" w:hAnsi="Calibri" w:cs="Times New Roman"/>
                <w:bCs/>
              </w:rPr>
            </w:pPr>
          </w:p>
        </w:tc>
        <w:tc>
          <w:tcPr>
            <w:tcW w:w="1294" w:type="dxa"/>
          </w:tcPr>
          <w:p w14:paraId="1BE08BE5" w14:textId="77777777" w:rsidR="002E11C0" w:rsidRPr="00E033DA" w:rsidRDefault="002E11C0">
            <w:pPr>
              <w:rPr>
                <w:rFonts w:ascii="Calibri" w:eastAsia="Calibri" w:hAnsi="Calibri" w:cs="Times New Roman"/>
                <w:bCs/>
              </w:rPr>
            </w:pPr>
          </w:p>
        </w:tc>
        <w:tc>
          <w:tcPr>
            <w:tcW w:w="791" w:type="dxa"/>
          </w:tcPr>
          <w:p w14:paraId="106387DE" w14:textId="77777777" w:rsidR="002E11C0" w:rsidRPr="00E033DA" w:rsidRDefault="002E11C0">
            <w:pPr>
              <w:rPr>
                <w:rFonts w:ascii="Calibri" w:eastAsia="Calibri" w:hAnsi="Calibri" w:cs="Times New Roman"/>
                <w:bCs/>
              </w:rPr>
            </w:pPr>
          </w:p>
        </w:tc>
        <w:tc>
          <w:tcPr>
            <w:tcW w:w="1134" w:type="dxa"/>
          </w:tcPr>
          <w:p w14:paraId="5560018D" w14:textId="77777777" w:rsidR="002E11C0" w:rsidRPr="00E033DA" w:rsidRDefault="002E11C0">
            <w:pPr>
              <w:rPr>
                <w:rFonts w:ascii="Calibri" w:eastAsia="Calibri" w:hAnsi="Calibri" w:cs="Times New Roman"/>
                <w:bCs/>
              </w:rPr>
            </w:pPr>
            <w:r w:rsidRPr="00E033DA">
              <w:rPr>
                <w:rFonts w:ascii="Calibri" w:eastAsia="Calibri" w:hAnsi="Calibri" w:cs="Times New Roman"/>
                <w:bCs/>
              </w:rPr>
              <w:t>Yr2011</w:t>
            </w:r>
          </w:p>
        </w:tc>
        <w:tc>
          <w:tcPr>
            <w:tcW w:w="1186" w:type="dxa"/>
          </w:tcPr>
          <w:p w14:paraId="5F285703"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0.29</w:t>
            </w:r>
          </w:p>
        </w:tc>
        <w:tc>
          <w:tcPr>
            <w:tcW w:w="1507" w:type="dxa"/>
          </w:tcPr>
          <w:p w14:paraId="299EF14C"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-0.08; 0.67</w:t>
            </w:r>
          </w:p>
        </w:tc>
      </w:tr>
      <w:tr w:rsidR="002E11C0" w:rsidRPr="00E033DA" w14:paraId="4477BB50" w14:textId="77777777" w:rsidTr="00370359">
        <w:tc>
          <w:tcPr>
            <w:tcW w:w="1294" w:type="dxa"/>
          </w:tcPr>
          <w:p w14:paraId="5DC71113" w14:textId="77777777" w:rsidR="002E11C0" w:rsidRPr="00E033DA" w:rsidRDefault="002E11C0" w:rsidP="00C62DFE">
            <w:pPr>
              <w:rPr>
                <w:rFonts w:ascii="Calibri" w:eastAsia="Calibri" w:hAnsi="Calibri" w:cs="Times New Roman"/>
                <w:bCs/>
              </w:rPr>
            </w:pPr>
          </w:p>
        </w:tc>
        <w:tc>
          <w:tcPr>
            <w:tcW w:w="1294" w:type="dxa"/>
          </w:tcPr>
          <w:p w14:paraId="38E6DC98" w14:textId="77777777" w:rsidR="002E11C0" w:rsidRPr="00E033DA" w:rsidRDefault="002E11C0">
            <w:pPr>
              <w:rPr>
                <w:rFonts w:ascii="Calibri" w:eastAsia="Calibri" w:hAnsi="Calibri" w:cs="Times New Roman"/>
                <w:bCs/>
              </w:rPr>
            </w:pPr>
          </w:p>
        </w:tc>
        <w:tc>
          <w:tcPr>
            <w:tcW w:w="1294" w:type="dxa"/>
          </w:tcPr>
          <w:p w14:paraId="0BA99321" w14:textId="77777777" w:rsidR="002E11C0" w:rsidRPr="00E033DA" w:rsidRDefault="002E11C0">
            <w:pPr>
              <w:rPr>
                <w:rFonts w:ascii="Calibri" w:eastAsia="Calibri" w:hAnsi="Calibri" w:cs="Times New Roman"/>
                <w:bCs/>
              </w:rPr>
            </w:pPr>
          </w:p>
        </w:tc>
        <w:tc>
          <w:tcPr>
            <w:tcW w:w="791" w:type="dxa"/>
          </w:tcPr>
          <w:p w14:paraId="037E1FA6" w14:textId="77777777" w:rsidR="002E11C0" w:rsidRPr="00E033DA" w:rsidRDefault="002E11C0">
            <w:pPr>
              <w:rPr>
                <w:rFonts w:ascii="Calibri" w:eastAsia="Calibri" w:hAnsi="Calibri" w:cs="Times New Roman"/>
                <w:bCs/>
              </w:rPr>
            </w:pPr>
          </w:p>
        </w:tc>
        <w:tc>
          <w:tcPr>
            <w:tcW w:w="1134" w:type="dxa"/>
          </w:tcPr>
          <w:p w14:paraId="1890E1CC" w14:textId="77777777" w:rsidR="002E11C0" w:rsidRPr="00E033DA" w:rsidRDefault="002E11C0">
            <w:pPr>
              <w:rPr>
                <w:rFonts w:ascii="Calibri" w:eastAsia="Calibri" w:hAnsi="Calibri" w:cs="Times New Roman"/>
                <w:bCs/>
              </w:rPr>
            </w:pPr>
            <w:r w:rsidRPr="00E033DA">
              <w:rPr>
                <w:rFonts w:ascii="Calibri" w:eastAsia="Calibri" w:hAnsi="Calibri" w:cs="Times New Roman"/>
                <w:bCs/>
              </w:rPr>
              <w:t>Yr2012</w:t>
            </w:r>
          </w:p>
        </w:tc>
        <w:tc>
          <w:tcPr>
            <w:tcW w:w="1186" w:type="dxa"/>
          </w:tcPr>
          <w:p w14:paraId="09331552"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0.57</w:t>
            </w:r>
          </w:p>
        </w:tc>
        <w:tc>
          <w:tcPr>
            <w:tcW w:w="1507" w:type="dxa"/>
          </w:tcPr>
          <w:p w14:paraId="07C5A5D6"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0.21; 0.94</w:t>
            </w:r>
          </w:p>
        </w:tc>
      </w:tr>
      <w:tr w:rsidR="002E11C0" w:rsidRPr="00E033DA" w14:paraId="193B87C5" w14:textId="77777777" w:rsidTr="00370359">
        <w:tc>
          <w:tcPr>
            <w:tcW w:w="1294" w:type="dxa"/>
          </w:tcPr>
          <w:p w14:paraId="4059CB39" w14:textId="77777777" w:rsidR="002E11C0" w:rsidRPr="00E033DA" w:rsidRDefault="002E11C0" w:rsidP="00C62DFE">
            <w:pPr>
              <w:rPr>
                <w:rFonts w:ascii="Calibri" w:eastAsia="Calibri" w:hAnsi="Calibri" w:cs="Times New Roman"/>
                <w:bCs/>
              </w:rPr>
            </w:pPr>
          </w:p>
        </w:tc>
        <w:tc>
          <w:tcPr>
            <w:tcW w:w="1294" w:type="dxa"/>
          </w:tcPr>
          <w:p w14:paraId="4FD61768" w14:textId="77777777" w:rsidR="002E11C0" w:rsidRPr="00E033DA" w:rsidRDefault="002E11C0">
            <w:pPr>
              <w:rPr>
                <w:rFonts w:ascii="Calibri" w:eastAsia="Calibri" w:hAnsi="Calibri" w:cs="Times New Roman"/>
                <w:bCs/>
              </w:rPr>
            </w:pPr>
          </w:p>
        </w:tc>
        <w:tc>
          <w:tcPr>
            <w:tcW w:w="1294" w:type="dxa"/>
          </w:tcPr>
          <w:p w14:paraId="634CD87B" w14:textId="77777777" w:rsidR="002E11C0" w:rsidRPr="00E033DA" w:rsidRDefault="002E11C0">
            <w:pPr>
              <w:rPr>
                <w:rFonts w:ascii="Calibri" w:eastAsia="Calibri" w:hAnsi="Calibri" w:cs="Times New Roman"/>
                <w:bCs/>
              </w:rPr>
            </w:pPr>
          </w:p>
        </w:tc>
        <w:tc>
          <w:tcPr>
            <w:tcW w:w="791" w:type="dxa"/>
          </w:tcPr>
          <w:p w14:paraId="1619CF83" w14:textId="77777777" w:rsidR="002E11C0" w:rsidRPr="00E033DA" w:rsidRDefault="002E11C0">
            <w:pPr>
              <w:rPr>
                <w:rFonts w:ascii="Calibri" w:eastAsia="Calibri" w:hAnsi="Calibri" w:cs="Times New Roman"/>
                <w:bCs/>
              </w:rPr>
            </w:pPr>
          </w:p>
        </w:tc>
        <w:tc>
          <w:tcPr>
            <w:tcW w:w="1134" w:type="dxa"/>
          </w:tcPr>
          <w:p w14:paraId="773A8C7C" w14:textId="77777777" w:rsidR="002E11C0" w:rsidRPr="00E033DA" w:rsidRDefault="002E11C0">
            <w:pPr>
              <w:rPr>
                <w:rFonts w:ascii="Calibri" w:eastAsia="Calibri" w:hAnsi="Calibri" w:cs="Times New Roman"/>
                <w:bCs/>
              </w:rPr>
            </w:pPr>
            <w:r w:rsidRPr="00E033DA">
              <w:rPr>
                <w:rFonts w:ascii="Calibri" w:eastAsia="Calibri" w:hAnsi="Calibri" w:cs="Times New Roman"/>
                <w:bCs/>
              </w:rPr>
              <w:t>Yr2013</w:t>
            </w:r>
          </w:p>
        </w:tc>
        <w:tc>
          <w:tcPr>
            <w:tcW w:w="1186" w:type="dxa"/>
          </w:tcPr>
          <w:p w14:paraId="1C2C5E38"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0.48</w:t>
            </w:r>
          </w:p>
        </w:tc>
        <w:tc>
          <w:tcPr>
            <w:tcW w:w="1507" w:type="dxa"/>
          </w:tcPr>
          <w:p w14:paraId="6D2756D8"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0.11; 0.85</w:t>
            </w:r>
          </w:p>
        </w:tc>
      </w:tr>
      <w:tr w:rsidR="002E11C0" w:rsidRPr="00E033DA" w14:paraId="7E4C84D1" w14:textId="77777777" w:rsidTr="00370359">
        <w:tc>
          <w:tcPr>
            <w:tcW w:w="1294" w:type="dxa"/>
          </w:tcPr>
          <w:p w14:paraId="1BD4483E" w14:textId="77777777" w:rsidR="002E11C0" w:rsidRPr="00E033DA" w:rsidRDefault="002E11C0" w:rsidP="00C62DFE">
            <w:pPr>
              <w:rPr>
                <w:rFonts w:ascii="Calibri" w:eastAsia="Calibri" w:hAnsi="Calibri" w:cs="Times New Roman"/>
                <w:bCs/>
              </w:rPr>
            </w:pPr>
          </w:p>
        </w:tc>
        <w:tc>
          <w:tcPr>
            <w:tcW w:w="1294" w:type="dxa"/>
          </w:tcPr>
          <w:p w14:paraId="39E4246D" w14:textId="77777777" w:rsidR="002E11C0" w:rsidRPr="00E033DA" w:rsidRDefault="002E11C0">
            <w:pPr>
              <w:rPr>
                <w:rFonts w:ascii="Calibri" w:eastAsia="Calibri" w:hAnsi="Calibri" w:cs="Times New Roman"/>
                <w:bCs/>
              </w:rPr>
            </w:pPr>
          </w:p>
        </w:tc>
        <w:tc>
          <w:tcPr>
            <w:tcW w:w="1294" w:type="dxa"/>
          </w:tcPr>
          <w:p w14:paraId="00564264" w14:textId="77777777" w:rsidR="002E11C0" w:rsidRPr="00E033DA" w:rsidRDefault="002E11C0">
            <w:pPr>
              <w:rPr>
                <w:rFonts w:ascii="Calibri" w:eastAsia="Calibri" w:hAnsi="Calibri" w:cs="Times New Roman"/>
                <w:bCs/>
              </w:rPr>
            </w:pPr>
          </w:p>
        </w:tc>
        <w:tc>
          <w:tcPr>
            <w:tcW w:w="791" w:type="dxa"/>
          </w:tcPr>
          <w:p w14:paraId="083DB32C" w14:textId="77777777" w:rsidR="002E11C0" w:rsidRPr="00E033DA" w:rsidRDefault="002E11C0">
            <w:pPr>
              <w:rPr>
                <w:rFonts w:ascii="Calibri" w:eastAsia="Calibri" w:hAnsi="Calibri" w:cs="Times New Roman"/>
                <w:bCs/>
              </w:rPr>
            </w:pPr>
          </w:p>
        </w:tc>
        <w:tc>
          <w:tcPr>
            <w:tcW w:w="1134" w:type="dxa"/>
          </w:tcPr>
          <w:p w14:paraId="420F6558" w14:textId="77777777" w:rsidR="002E11C0" w:rsidRPr="00E033DA" w:rsidRDefault="002E11C0">
            <w:pPr>
              <w:rPr>
                <w:rFonts w:ascii="Calibri" w:eastAsia="Calibri" w:hAnsi="Calibri" w:cs="Times New Roman"/>
                <w:bCs/>
              </w:rPr>
            </w:pPr>
            <w:r w:rsidRPr="00E033DA">
              <w:rPr>
                <w:rFonts w:ascii="Calibri" w:eastAsia="Calibri" w:hAnsi="Calibri" w:cs="Times New Roman"/>
                <w:bCs/>
              </w:rPr>
              <w:t>Yr2014</w:t>
            </w:r>
          </w:p>
        </w:tc>
        <w:tc>
          <w:tcPr>
            <w:tcW w:w="1186" w:type="dxa"/>
          </w:tcPr>
          <w:p w14:paraId="63AFB853"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0.41</w:t>
            </w:r>
          </w:p>
        </w:tc>
        <w:tc>
          <w:tcPr>
            <w:tcW w:w="1507" w:type="dxa"/>
          </w:tcPr>
          <w:p w14:paraId="673F3120"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0.04; 0.78</w:t>
            </w:r>
          </w:p>
        </w:tc>
      </w:tr>
      <w:tr w:rsidR="002E11C0" w:rsidRPr="00E033DA" w14:paraId="5D0ED5E3" w14:textId="77777777" w:rsidTr="00370359">
        <w:tc>
          <w:tcPr>
            <w:tcW w:w="1294" w:type="dxa"/>
          </w:tcPr>
          <w:p w14:paraId="58905137" w14:textId="77777777" w:rsidR="002E11C0" w:rsidRPr="00E033DA" w:rsidRDefault="002E11C0" w:rsidP="00C62DFE">
            <w:pPr>
              <w:rPr>
                <w:rFonts w:ascii="Calibri" w:eastAsia="Calibri" w:hAnsi="Calibri" w:cs="Times New Roman"/>
                <w:bCs/>
              </w:rPr>
            </w:pPr>
          </w:p>
        </w:tc>
        <w:tc>
          <w:tcPr>
            <w:tcW w:w="1294" w:type="dxa"/>
          </w:tcPr>
          <w:p w14:paraId="33889E99" w14:textId="77777777" w:rsidR="002E11C0" w:rsidRPr="00E033DA" w:rsidRDefault="002E11C0">
            <w:pPr>
              <w:rPr>
                <w:rFonts w:ascii="Calibri" w:eastAsia="Calibri" w:hAnsi="Calibri" w:cs="Times New Roman"/>
                <w:bCs/>
              </w:rPr>
            </w:pPr>
          </w:p>
        </w:tc>
        <w:tc>
          <w:tcPr>
            <w:tcW w:w="1294" w:type="dxa"/>
          </w:tcPr>
          <w:p w14:paraId="1B39117A" w14:textId="77777777" w:rsidR="002E11C0" w:rsidRPr="00E033DA" w:rsidRDefault="002E11C0">
            <w:pPr>
              <w:rPr>
                <w:rFonts w:ascii="Calibri" w:eastAsia="Calibri" w:hAnsi="Calibri" w:cs="Times New Roman"/>
                <w:bCs/>
              </w:rPr>
            </w:pPr>
          </w:p>
        </w:tc>
        <w:tc>
          <w:tcPr>
            <w:tcW w:w="791" w:type="dxa"/>
          </w:tcPr>
          <w:p w14:paraId="77602A24" w14:textId="77777777" w:rsidR="002E11C0" w:rsidRPr="00E033DA" w:rsidRDefault="002E11C0">
            <w:pPr>
              <w:rPr>
                <w:rFonts w:ascii="Calibri" w:eastAsia="Calibri" w:hAnsi="Calibri" w:cs="Times New Roman"/>
                <w:bCs/>
              </w:rPr>
            </w:pPr>
          </w:p>
        </w:tc>
        <w:tc>
          <w:tcPr>
            <w:tcW w:w="1134" w:type="dxa"/>
          </w:tcPr>
          <w:p w14:paraId="3F3DA974" w14:textId="77777777" w:rsidR="002E11C0" w:rsidRPr="00E033DA" w:rsidRDefault="002E11C0">
            <w:pPr>
              <w:rPr>
                <w:rFonts w:ascii="Calibri" w:eastAsia="Calibri" w:hAnsi="Calibri" w:cs="Times New Roman"/>
                <w:bCs/>
              </w:rPr>
            </w:pPr>
            <w:r w:rsidRPr="00E033DA">
              <w:rPr>
                <w:rFonts w:ascii="Calibri" w:eastAsia="Calibri" w:hAnsi="Calibri" w:cs="Times New Roman"/>
                <w:bCs/>
              </w:rPr>
              <w:t>Age</w:t>
            </w:r>
          </w:p>
        </w:tc>
        <w:tc>
          <w:tcPr>
            <w:tcW w:w="1186" w:type="dxa"/>
          </w:tcPr>
          <w:p w14:paraId="3B9AA314"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-0.05</w:t>
            </w:r>
          </w:p>
        </w:tc>
        <w:tc>
          <w:tcPr>
            <w:tcW w:w="1507" w:type="dxa"/>
          </w:tcPr>
          <w:p w14:paraId="366F0B3C"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-0.06; -0.04</w:t>
            </w:r>
          </w:p>
        </w:tc>
      </w:tr>
      <w:tr w:rsidR="002E11C0" w:rsidRPr="00E033DA" w14:paraId="61834EF5" w14:textId="77777777" w:rsidTr="00370359">
        <w:tc>
          <w:tcPr>
            <w:tcW w:w="1294" w:type="dxa"/>
          </w:tcPr>
          <w:p w14:paraId="1D303E2F" w14:textId="77777777" w:rsidR="002E11C0" w:rsidRPr="00E033DA" w:rsidRDefault="002E11C0" w:rsidP="00C62DFE">
            <w:pPr>
              <w:rPr>
                <w:rFonts w:ascii="Calibri" w:eastAsia="Calibri" w:hAnsi="Calibri" w:cs="Times New Roman"/>
                <w:bCs/>
              </w:rPr>
            </w:pPr>
          </w:p>
        </w:tc>
        <w:tc>
          <w:tcPr>
            <w:tcW w:w="1294" w:type="dxa"/>
          </w:tcPr>
          <w:p w14:paraId="5ECE46F2" w14:textId="77777777" w:rsidR="002E11C0" w:rsidRPr="00E033DA" w:rsidRDefault="002E11C0">
            <w:pPr>
              <w:rPr>
                <w:rFonts w:ascii="Calibri" w:eastAsia="Calibri" w:hAnsi="Calibri" w:cs="Times New Roman"/>
                <w:bCs/>
              </w:rPr>
            </w:pPr>
          </w:p>
        </w:tc>
        <w:tc>
          <w:tcPr>
            <w:tcW w:w="1294" w:type="dxa"/>
          </w:tcPr>
          <w:p w14:paraId="2A84A2C2" w14:textId="77777777" w:rsidR="002E11C0" w:rsidRPr="00E033DA" w:rsidRDefault="002E11C0">
            <w:pPr>
              <w:rPr>
                <w:rFonts w:ascii="Calibri" w:eastAsia="Calibri" w:hAnsi="Calibri" w:cs="Times New Roman"/>
                <w:bCs/>
              </w:rPr>
            </w:pPr>
          </w:p>
        </w:tc>
        <w:tc>
          <w:tcPr>
            <w:tcW w:w="791" w:type="dxa"/>
          </w:tcPr>
          <w:p w14:paraId="3D64B515" w14:textId="77777777" w:rsidR="002E11C0" w:rsidRPr="00E033DA" w:rsidRDefault="002E11C0">
            <w:pPr>
              <w:rPr>
                <w:rFonts w:ascii="Calibri" w:eastAsia="Calibri" w:hAnsi="Calibri" w:cs="Times New Roman"/>
                <w:bCs/>
              </w:rPr>
            </w:pPr>
          </w:p>
        </w:tc>
        <w:tc>
          <w:tcPr>
            <w:tcW w:w="1134" w:type="dxa"/>
          </w:tcPr>
          <w:p w14:paraId="5B83C0D7" w14:textId="77777777" w:rsidR="002E11C0" w:rsidRPr="00E033DA" w:rsidRDefault="002E11C0">
            <w:pPr>
              <w:rPr>
                <w:rFonts w:ascii="Calibri" w:eastAsia="Calibri" w:hAnsi="Calibri" w:cs="Times New Roman"/>
                <w:bCs/>
              </w:rPr>
            </w:pPr>
            <w:r w:rsidRPr="00E033DA">
              <w:rPr>
                <w:rFonts w:ascii="Calibri" w:eastAsia="Calibri" w:hAnsi="Calibri" w:cs="Times New Roman"/>
                <w:bCs/>
              </w:rPr>
              <w:t>PS: bad</w:t>
            </w:r>
          </w:p>
        </w:tc>
        <w:tc>
          <w:tcPr>
            <w:tcW w:w="1186" w:type="dxa"/>
          </w:tcPr>
          <w:p w14:paraId="6889EC9E"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-1.64</w:t>
            </w:r>
          </w:p>
        </w:tc>
        <w:tc>
          <w:tcPr>
            <w:tcW w:w="1507" w:type="dxa"/>
          </w:tcPr>
          <w:p w14:paraId="0E47548D"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-1.90; -1.39</w:t>
            </w:r>
          </w:p>
        </w:tc>
      </w:tr>
      <w:tr w:rsidR="002E11C0" w:rsidRPr="00E033DA" w14:paraId="388AE348" w14:textId="77777777" w:rsidTr="00370359">
        <w:tc>
          <w:tcPr>
            <w:tcW w:w="1294" w:type="dxa"/>
          </w:tcPr>
          <w:p w14:paraId="0578ED84" w14:textId="77777777" w:rsidR="002E11C0" w:rsidRPr="00E033DA" w:rsidRDefault="002E11C0" w:rsidP="00C62DFE">
            <w:pPr>
              <w:rPr>
                <w:rFonts w:ascii="Calibri" w:eastAsia="Calibri" w:hAnsi="Calibri" w:cs="Times New Roman"/>
                <w:bCs/>
              </w:rPr>
            </w:pPr>
          </w:p>
        </w:tc>
        <w:tc>
          <w:tcPr>
            <w:tcW w:w="1294" w:type="dxa"/>
          </w:tcPr>
          <w:p w14:paraId="0B3C92A2" w14:textId="77777777" w:rsidR="002E11C0" w:rsidRPr="00E033DA" w:rsidRDefault="002E11C0">
            <w:pPr>
              <w:rPr>
                <w:rFonts w:ascii="Calibri" w:eastAsia="Calibri" w:hAnsi="Calibri" w:cs="Times New Roman"/>
                <w:bCs/>
              </w:rPr>
            </w:pPr>
          </w:p>
        </w:tc>
        <w:tc>
          <w:tcPr>
            <w:tcW w:w="1294" w:type="dxa"/>
          </w:tcPr>
          <w:p w14:paraId="2DD214BD" w14:textId="77777777" w:rsidR="002E11C0" w:rsidRPr="00E033DA" w:rsidRDefault="002E11C0">
            <w:pPr>
              <w:rPr>
                <w:rFonts w:ascii="Calibri" w:eastAsia="Calibri" w:hAnsi="Calibri" w:cs="Times New Roman"/>
                <w:bCs/>
              </w:rPr>
            </w:pPr>
          </w:p>
        </w:tc>
        <w:tc>
          <w:tcPr>
            <w:tcW w:w="791" w:type="dxa"/>
          </w:tcPr>
          <w:p w14:paraId="6F725FDD" w14:textId="77777777" w:rsidR="002E11C0" w:rsidRPr="00E033DA" w:rsidRDefault="002E11C0">
            <w:pPr>
              <w:rPr>
                <w:rFonts w:ascii="Calibri" w:eastAsia="Calibri" w:hAnsi="Calibri" w:cs="Times New Roman"/>
                <w:bCs/>
              </w:rPr>
            </w:pPr>
          </w:p>
        </w:tc>
        <w:tc>
          <w:tcPr>
            <w:tcW w:w="1134" w:type="dxa"/>
          </w:tcPr>
          <w:p w14:paraId="11D48CE3" w14:textId="77777777" w:rsidR="002E11C0" w:rsidRPr="00E033DA" w:rsidRDefault="002E11C0">
            <w:pPr>
              <w:rPr>
                <w:rFonts w:ascii="Calibri" w:eastAsia="Calibri" w:hAnsi="Calibri" w:cs="Times New Roman"/>
                <w:bCs/>
              </w:rPr>
            </w:pPr>
            <w:r w:rsidRPr="00E033DA">
              <w:rPr>
                <w:rFonts w:ascii="Calibri" w:eastAsia="Calibri" w:hAnsi="Calibri" w:cs="Times New Roman"/>
                <w:bCs/>
              </w:rPr>
              <w:t>PS: miss</w:t>
            </w:r>
          </w:p>
        </w:tc>
        <w:tc>
          <w:tcPr>
            <w:tcW w:w="1186" w:type="dxa"/>
          </w:tcPr>
          <w:p w14:paraId="222D8DA6"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-0.81</w:t>
            </w:r>
          </w:p>
        </w:tc>
        <w:tc>
          <w:tcPr>
            <w:tcW w:w="1507" w:type="dxa"/>
          </w:tcPr>
          <w:p w14:paraId="489FE116"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-1.24; -0.40</w:t>
            </w:r>
          </w:p>
        </w:tc>
      </w:tr>
      <w:tr w:rsidR="002E11C0" w:rsidRPr="00E033DA" w14:paraId="694DD75F" w14:textId="77777777" w:rsidTr="00370359">
        <w:tc>
          <w:tcPr>
            <w:tcW w:w="1294" w:type="dxa"/>
          </w:tcPr>
          <w:p w14:paraId="433E1646" w14:textId="77777777" w:rsidR="002E11C0" w:rsidRPr="00E033DA" w:rsidRDefault="002E11C0" w:rsidP="00C62DFE">
            <w:pPr>
              <w:rPr>
                <w:rFonts w:ascii="Calibri" w:eastAsia="Calibri" w:hAnsi="Calibri" w:cs="Times New Roman"/>
                <w:bCs/>
              </w:rPr>
            </w:pPr>
          </w:p>
        </w:tc>
        <w:tc>
          <w:tcPr>
            <w:tcW w:w="1294" w:type="dxa"/>
          </w:tcPr>
          <w:p w14:paraId="3FE96275" w14:textId="77777777" w:rsidR="002E11C0" w:rsidRPr="00E033DA" w:rsidRDefault="002E11C0">
            <w:pPr>
              <w:rPr>
                <w:rFonts w:ascii="Calibri" w:eastAsia="Calibri" w:hAnsi="Calibri" w:cs="Times New Roman"/>
                <w:bCs/>
              </w:rPr>
            </w:pPr>
          </w:p>
        </w:tc>
        <w:tc>
          <w:tcPr>
            <w:tcW w:w="1294" w:type="dxa"/>
          </w:tcPr>
          <w:p w14:paraId="7772F2F9" w14:textId="77777777" w:rsidR="002E11C0" w:rsidRPr="00E033DA" w:rsidRDefault="002E11C0">
            <w:pPr>
              <w:rPr>
                <w:rFonts w:ascii="Calibri" w:eastAsia="Calibri" w:hAnsi="Calibri" w:cs="Times New Roman"/>
                <w:bCs/>
              </w:rPr>
            </w:pPr>
          </w:p>
        </w:tc>
        <w:tc>
          <w:tcPr>
            <w:tcW w:w="791" w:type="dxa"/>
          </w:tcPr>
          <w:p w14:paraId="0FE03DCF" w14:textId="77777777" w:rsidR="002E11C0" w:rsidRPr="00E033DA" w:rsidRDefault="002E11C0">
            <w:pPr>
              <w:rPr>
                <w:rFonts w:ascii="Calibri" w:eastAsia="Calibri" w:hAnsi="Calibri" w:cs="Times New Roman"/>
                <w:bCs/>
              </w:rPr>
            </w:pPr>
          </w:p>
        </w:tc>
        <w:tc>
          <w:tcPr>
            <w:tcW w:w="1134" w:type="dxa"/>
          </w:tcPr>
          <w:p w14:paraId="28AFF1B6" w14:textId="77777777" w:rsidR="002E11C0" w:rsidRPr="00E033DA" w:rsidRDefault="002E11C0">
            <w:pPr>
              <w:rPr>
                <w:rFonts w:ascii="Calibri" w:eastAsia="Calibri" w:hAnsi="Calibri" w:cs="Times New Roman"/>
                <w:bCs/>
              </w:rPr>
            </w:pPr>
            <w:r w:rsidRPr="00E033DA">
              <w:rPr>
                <w:rFonts w:ascii="Calibri" w:eastAsia="Calibri" w:hAnsi="Calibri" w:cs="Times New Roman"/>
                <w:bCs/>
              </w:rPr>
              <w:t>CCI: bad</w:t>
            </w:r>
          </w:p>
        </w:tc>
        <w:tc>
          <w:tcPr>
            <w:tcW w:w="1186" w:type="dxa"/>
          </w:tcPr>
          <w:p w14:paraId="00D89FD9"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-0.39</w:t>
            </w:r>
          </w:p>
        </w:tc>
        <w:tc>
          <w:tcPr>
            <w:tcW w:w="1507" w:type="dxa"/>
          </w:tcPr>
          <w:p w14:paraId="1178FB50"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-0.77; -0.01</w:t>
            </w:r>
          </w:p>
        </w:tc>
      </w:tr>
      <w:tr w:rsidR="002E11C0" w:rsidRPr="00E033DA" w14:paraId="697D8205" w14:textId="77777777" w:rsidTr="00370359">
        <w:tc>
          <w:tcPr>
            <w:tcW w:w="1294" w:type="dxa"/>
          </w:tcPr>
          <w:p w14:paraId="6A4C3C67" w14:textId="77777777" w:rsidR="002E11C0" w:rsidRPr="00E033DA" w:rsidRDefault="002E11C0" w:rsidP="00C62DFE">
            <w:pPr>
              <w:rPr>
                <w:rFonts w:ascii="Calibri" w:eastAsia="Calibri" w:hAnsi="Calibri" w:cs="Times New Roman"/>
                <w:bCs/>
              </w:rPr>
            </w:pPr>
            <w:r w:rsidRPr="00E033DA">
              <w:rPr>
                <w:rFonts w:ascii="Calibri" w:eastAsia="Calibri" w:hAnsi="Calibri" w:cs="Times New Roman"/>
                <w:bCs/>
              </w:rPr>
              <w:t xml:space="preserve">Type of </w:t>
            </w:r>
            <w:proofErr w:type="spellStart"/>
            <w:r w:rsidRPr="00E033DA">
              <w:rPr>
                <w:rFonts w:ascii="Calibri" w:eastAsia="Calibri" w:hAnsi="Calibri" w:cs="Times New Roman"/>
                <w:bCs/>
              </w:rPr>
              <w:t>Sys</w:t>
            </w:r>
            <w:r w:rsidRPr="00E033DA">
              <w:rPr>
                <w:rFonts w:ascii="Calibri" w:eastAsia="Calibri" w:hAnsi="Calibri" w:cs="Times New Roman"/>
                <w:bCs/>
                <w:vertAlign w:val="superscript"/>
              </w:rPr>
              <w:t>b</w:t>
            </w:r>
            <w:proofErr w:type="spellEnd"/>
            <w:r w:rsidRPr="00E033DA">
              <w:rPr>
                <w:rFonts w:ascii="Calibri" w:eastAsia="Calibri" w:hAnsi="Calibri" w:cs="Times New Roman"/>
                <w:bCs/>
              </w:rPr>
              <w:t xml:space="preserve"> </w:t>
            </w:r>
          </w:p>
        </w:tc>
        <w:tc>
          <w:tcPr>
            <w:tcW w:w="1294" w:type="dxa"/>
          </w:tcPr>
          <w:p w14:paraId="09B61855" w14:textId="77777777" w:rsidR="002E11C0" w:rsidRPr="00E033DA" w:rsidRDefault="002E11C0">
            <w:pPr>
              <w:rPr>
                <w:rFonts w:ascii="Calibri" w:eastAsia="Calibri" w:hAnsi="Calibri" w:cs="Times New Roman"/>
                <w:bCs/>
              </w:rPr>
            </w:pPr>
          </w:p>
        </w:tc>
        <w:tc>
          <w:tcPr>
            <w:tcW w:w="1294" w:type="dxa"/>
          </w:tcPr>
          <w:p w14:paraId="29D03159" w14:textId="77777777" w:rsidR="002E11C0" w:rsidRPr="00E033DA" w:rsidRDefault="002E11C0">
            <w:pPr>
              <w:rPr>
                <w:rFonts w:ascii="Calibri" w:eastAsia="Calibri" w:hAnsi="Calibri" w:cs="Times New Roman"/>
                <w:bCs/>
              </w:rPr>
            </w:pPr>
          </w:p>
        </w:tc>
        <w:tc>
          <w:tcPr>
            <w:tcW w:w="791" w:type="dxa"/>
          </w:tcPr>
          <w:p w14:paraId="3301ED36" w14:textId="77777777" w:rsidR="002E11C0" w:rsidRPr="00E033DA" w:rsidRDefault="002E11C0">
            <w:pPr>
              <w:rPr>
                <w:rFonts w:ascii="Calibri" w:eastAsia="Calibri" w:hAnsi="Calibri" w:cs="Times New Roman"/>
                <w:bCs/>
              </w:rPr>
            </w:pPr>
          </w:p>
        </w:tc>
        <w:tc>
          <w:tcPr>
            <w:tcW w:w="1134" w:type="dxa"/>
          </w:tcPr>
          <w:p w14:paraId="6BF60E33" w14:textId="77777777" w:rsidR="002E11C0" w:rsidRPr="00E033DA" w:rsidRDefault="002E11C0">
            <w:pPr>
              <w:rPr>
                <w:rFonts w:ascii="Calibri" w:eastAsia="Calibri" w:hAnsi="Calibri" w:cs="Times New Roman"/>
                <w:bCs/>
              </w:rPr>
            </w:pPr>
          </w:p>
        </w:tc>
        <w:tc>
          <w:tcPr>
            <w:tcW w:w="1186" w:type="dxa"/>
          </w:tcPr>
          <w:p w14:paraId="598BB5B5" w14:textId="77777777" w:rsidR="002E11C0" w:rsidRPr="00E033DA" w:rsidRDefault="002E11C0">
            <w:pPr>
              <w:jc w:val="center"/>
              <w:rPr>
                <w:rFonts w:ascii="Calibri" w:eastAsia="Calibri" w:hAnsi="Calibri" w:cs="Times New Roman"/>
                <w:bCs/>
              </w:rPr>
            </w:pPr>
          </w:p>
        </w:tc>
        <w:tc>
          <w:tcPr>
            <w:tcW w:w="1507" w:type="dxa"/>
          </w:tcPr>
          <w:p w14:paraId="5FC6D245" w14:textId="77777777" w:rsidR="002E11C0" w:rsidRPr="00E033DA" w:rsidRDefault="002E11C0">
            <w:pPr>
              <w:jc w:val="center"/>
              <w:rPr>
                <w:rFonts w:ascii="Calibri" w:eastAsia="Calibri" w:hAnsi="Calibri" w:cs="Times New Roman"/>
                <w:bCs/>
              </w:rPr>
            </w:pPr>
          </w:p>
        </w:tc>
      </w:tr>
      <w:tr w:rsidR="002E11C0" w:rsidRPr="00E033DA" w14:paraId="096DCE5E" w14:textId="77777777" w:rsidTr="00370359">
        <w:tc>
          <w:tcPr>
            <w:tcW w:w="1294" w:type="dxa"/>
          </w:tcPr>
          <w:p w14:paraId="0EF1FBAC" w14:textId="77777777" w:rsidR="002E11C0" w:rsidRPr="00E033DA" w:rsidRDefault="002E11C0" w:rsidP="00C62DFE">
            <w:pPr>
              <w:rPr>
                <w:rFonts w:ascii="Calibri" w:eastAsia="Calibri" w:hAnsi="Calibri" w:cs="Times New Roman"/>
                <w:bCs/>
              </w:rPr>
            </w:pPr>
            <w:r w:rsidRPr="00E033DA">
              <w:rPr>
                <w:rFonts w:ascii="Calibri" w:eastAsia="Calibri" w:hAnsi="Calibri" w:cs="Times New Roman"/>
                <w:bCs/>
              </w:rPr>
              <w:t>Sys (Carbo)</w:t>
            </w:r>
          </w:p>
        </w:tc>
        <w:tc>
          <w:tcPr>
            <w:tcW w:w="1294" w:type="dxa"/>
          </w:tcPr>
          <w:p w14:paraId="7450A0A4" w14:textId="77777777" w:rsidR="002E11C0" w:rsidRPr="00E033DA" w:rsidRDefault="002E11C0">
            <w:pPr>
              <w:rPr>
                <w:rFonts w:ascii="Calibri" w:eastAsia="Calibri" w:hAnsi="Calibri" w:cs="Times New Roman"/>
                <w:bCs/>
              </w:rPr>
            </w:pPr>
            <w:r w:rsidRPr="00E033DA">
              <w:rPr>
                <w:rFonts w:ascii="Calibri" w:eastAsia="Calibri" w:hAnsi="Calibri" w:cs="Times New Roman"/>
                <w:bCs/>
              </w:rPr>
              <w:t>Logistic</w:t>
            </w:r>
          </w:p>
        </w:tc>
        <w:tc>
          <w:tcPr>
            <w:tcW w:w="1294" w:type="dxa"/>
          </w:tcPr>
          <w:p w14:paraId="542FA565" w14:textId="77777777" w:rsidR="002E11C0" w:rsidRPr="00E033DA" w:rsidRDefault="002E11C0">
            <w:pPr>
              <w:rPr>
                <w:rFonts w:ascii="Calibri" w:eastAsia="Calibri" w:hAnsi="Calibri" w:cs="Times New Roman"/>
                <w:bCs/>
              </w:rPr>
            </w:pPr>
            <w:r w:rsidRPr="00E033DA">
              <w:rPr>
                <w:rFonts w:ascii="Calibri" w:eastAsia="Calibri" w:hAnsi="Calibri" w:cs="Times New Roman"/>
                <w:bCs/>
              </w:rPr>
              <w:t xml:space="preserve">Binomial </w:t>
            </w:r>
          </w:p>
        </w:tc>
        <w:tc>
          <w:tcPr>
            <w:tcW w:w="791" w:type="dxa"/>
          </w:tcPr>
          <w:p w14:paraId="42E8EA3C" w14:textId="77777777" w:rsidR="002E11C0" w:rsidRPr="00E033DA" w:rsidRDefault="002E11C0">
            <w:pPr>
              <w:rPr>
                <w:rFonts w:ascii="Calibri" w:eastAsia="Calibri" w:hAnsi="Calibri" w:cs="Times New Roman"/>
                <w:bCs/>
              </w:rPr>
            </w:pPr>
            <w:r w:rsidRPr="00E033DA">
              <w:rPr>
                <w:rFonts w:ascii="Calibri" w:eastAsia="Calibri" w:hAnsi="Calibri" w:cs="Times New Roman"/>
                <w:bCs/>
              </w:rPr>
              <w:t>Logit</w:t>
            </w:r>
          </w:p>
        </w:tc>
        <w:tc>
          <w:tcPr>
            <w:tcW w:w="1134" w:type="dxa"/>
          </w:tcPr>
          <w:p w14:paraId="7C6ED1C4" w14:textId="77777777" w:rsidR="002E11C0" w:rsidRPr="00E033DA" w:rsidRDefault="002E11C0">
            <w:pPr>
              <w:rPr>
                <w:rFonts w:ascii="Calibri" w:eastAsia="Calibri" w:hAnsi="Calibri" w:cs="Times New Roman"/>
                <w:bCs/>
              </w:rPr>
            </w:pPr>
            <w:r w:rsidRPr="00E033DA">
              <w:rPr>
                <w:rFonts w:ascii="Calibri" w:eastAsia="Calibri" w:hAnsi="Calibri" w:cs="Times New Roman"/>
                <w:bCs/>
              </w:rPr>
              <w:t>Intercept</w:t>
            </w:r>
          </w:p>
        </w:tc>
        <w:tc>
          <w:tcPr>
            <w:tcW w:w="1186" w:type="dxa"/>
          </w:tcPr>
          <w:p w14:paraId="42724177"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-2.51</w:t>
            </w:r>
          </w:p>
        </w:tc>
        <w:tc>
          <w:tcPr>
            <w:tcW w:w="1507" w:type="dxa"/>
          </w:tcPr>
          <w:p w14:paraId="34465669"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-3.52; -1.53</w:t>
            </w:r>
          </w:p>
        </w:tc>
      </w:tr>
      <w:tr w:rsidR="002E11C0" w:rsidRPr="00E033DA" w14:paraId="1A5E6313" w14:textId="77777777" w:rsidTr="00370359">
        <w:tc>
          <w:tcPr>
            <w:tcW w:w="1294" w:type="dxa"/>
          </w:tcPr>
          <w:p w14:paraId="5492A5EB" w14:textId="77777777" w:rsidR="002E11C0" w:rsidRPr="00E033DA" w:rsidRDefault="002E11C0" w:rsidP="00C62DFE">
            <w:pPr>
              <w:rPr>
                <w:rFonts w:ascii="Calibri" w:eastAsia="Calibri" w:hAnsi="Calibri" w:cs="Times New Roman"/>
                <w:bCs/>
              </w:rPr>
            </w:pPr>
          </w:p>
        </w:tc>
        <w:tc>
          <w:tcPr>
            <w:tcW w:w="1294" w:type="dxa"/>
          </w:tcPr>
          <w:p w14:paraId="18F403F0" w14:textId="77777777" w:rsidR="002E11C0" w:rsidRPr="00E033DA" w:rsidRDefault="002E11C0">
            <w:pPr>
              <w:rPr>
                <w:rFonts w:ascii="Calibri" w:eastAsia="Calibri" w:hAnsi="Calibri" w:cs="Times New Roman"/>
                <w:bCs/>
              </w:rPr>
            </w:pPr>
          </w:p>
        </w:tc>
        <w:tc>
          <w:tcPr>
            <w:tcW w:w="1294" w:type="dxa"/>
          </w:tcPr>
          <w:p w14:paraId="6447C050" w14:textId="77777777" w:rsidR="002E11C0" w:rsidRPr="00E033DA" w:rsidRDefault="002E11C0">
            <w:pPr>
              <w:rPr>
                <w:rFonts w:ascii="Calibri" w:eastAsia="Calibri" w:hAnsi="Calibri" w:cs="Times New Roman"/>
                <w:bCs/>
              </w:rPr>
            </w:pPr>
          </w:p>
        </w:tc>
        <w:tc>
          <w:tcPr>
            <w:tcW w:w="791" w:type="dxa"/>
          </w:tcPr>
          <w:p w14:paraId="2FA9AAC2" w14:textId="77777777" w:rsidR="002E11C0" w:rsidRPr="00E033DA" w:rsidRDefault="002E11C0">
            <w:pPr>
              <w:rPr>
                <w:rFonts w:ascii="Calibri" w:eastAsia="Calibri" w:hAnsi="Calibri" w:cs="Times New Roman"/>
                <w:bCs/>
              </w:rPr>
            </w:pPr>
          </w:p>
        </w:tc>
        <w:tc>
          <w:tcPr>
            <w:tcW w:w="1134" w:type="dxa"/>
          </w:tcPr>
          <w:p w14:paraId="1B08AB52" w14:textId="77777777" w:rsidR="002E11C0" w:rsidRPr="00E033DA" w:rsidRDefault="002E11C0">
            <w:pPr>
              <w:rPr>
                <w:rFonts w:ascii="Calibri" w:eastAsia="Calibri" w:hAnsi="Calibri" w:cs="Times New Roman"/>
                <w:bCs/>
              </w:rPr>
            </w:pPr>
            <w:r w:rsidRPr="00E033DA">
              <w:rPr>
                <w:rFonts w:ascii="Calibri" w:eastAsia="Calibri" w:hAnsi="Calibri" w:cs="Times New Roman"/>
                <w:bCs/>
              </w:rPr>
              <w:t>PS: bad</w:t>
            </w:r>
          </w:p>
        </w:tc>
        <w:tc>
          <w:tcPr>
            <w:tcW w:w="1186" w:type="dxa"/>
          </w:tcPr>
          <w:p w14:paraId="36A13046"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0.58</w:t>
            </w:r>
          </w:p>
        </w:tc>
        <w:tc>
          <w:tcPr>
            <w:tcW w:w="1507" w:type="dxa"/>
          </w:tcPr>
          <w:p w14:paraId="60C5ABD8"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0.11; 1.06</w:t>
            </w:r>
          </w:p>
        </w:tc>
      </w:tr>
      <w:tr w:rsidR="002E11C0" w:rsidRPr="00E033DA" w14:paraId="72163263" w14:textId="77777777" w:rsidTr="00370359">
        <w:tc>
          <w:tcPr>
            <w:tcW w:w="1294" w:type="dxa"/>
          </w:tcPr>
          <w:p w14:paraId="320B8F11" w14:textId="77777777" w:rsidR="002E11C0" w:rsidRPr="00E033DA" w:rsidRDefault="002E11C0" w:rsidP="00C62DFE">
            <w:pPr>
              <w:rPr>
                <w:rFonts w:ascii="Calibri" w:eastAsia="Calibri" w:hAnsi="Calibri" w:cs="Times New Roman"/>
                <w:bCs/>
              </w:rPr>
            </w:pPr>
          </w:p>
        </w:tc>
        <w:tc>
          <w:tcPr>
            <w:tcW w:w="1294" w:type="dxa"/>
          </w:tcPr>
          <w:p w14:paraId="007C5DBD" w14:textId="77777777" w:rsidR="002E11C0" w:rsidRPr="00E033DA" w:rsidRDefault="002E11C0">
            <w:pPr>
              <w:rPr>
                <w:rFonts w:ascii="Calibri" w:eastAsia="Calibri" w:hAnsi="Calibri" w:cs="Times New Roman"/>
                <w:bCs/>
              </w:rPr>
            </w:pPr>
          </w:p>
        </w:tc>
        <w:tc>
          <w:tcPr>
            <w:tcW w:w="1294" w:type="dxa"/>
          </w:tcPr>
          <w:p w14:paraId="3E24D7FA" w14:textId="77777777" w:rsidR="002E11C0" w:rsidRPr="00E033DA" w:rsidRDefault="002E11C0">
            <w:pPr>
              <w:rPr>
                <w:rFonts w:ascii="Calibri" w:eastAsia="Calibri" w:hAnsi="Calibri" w:cs="Times New Roman"/>
                <w:bCs/>
              </w:rPr>
            </w:pPr>
          </w:p>
        </w:tc>
        <w:tc>
          <w:tcPr>
            <w:tcW w:w="791" w:type="dxa"/>
          </w:tcPr>
          <w:p w14:paraId="267E7421" w14:textId="77777777" w:rsidR="002E11C0" w:rsidRPr="00E033DA" w:rsidRDefault="002E11C0">
            <w:pPr>
              <w:rPr>
                <w:rFonts w:ascii="Calibri" w:eastAsia="Calibri" w:hAnsi="Calibri" w:cs="Times New Roman"/>
                <w:bCs/>
              </w:rPr>
            </w:pPr>
          </w:p>
        </w:tc>
        <w:tc>
          <w:tcPr>
            <w:tcW w:w="1134" w:type="dxa"/>
          </w:tcPr>
          <w:p w14:paraId="5C39E0EA" w14:textId="77777777" w:rsidR="002E11C0" w:rsidRPr="00E033DA" w:rsidRDefault="002E11C0">
            <w:pPr>
              <w:rPr>
                <w:rFonts w:ascii="Calibri" w:eastAsia="Calibri" w:hAnsi="Calibri" w:cs="Times New Roman"/>
                <w:bCs/>
              </w:rPr>
            </w:pPr>
            <w:r w:rsidRPr="00E033DA">
              <w:rPr>
                <w:rFonts w:ascii="Calibri" w:eastAsia="Calibri" w:hAnsi="Calibri" w:cs="Times New Roman"/>
                <w:bCs/>
              </w:rPr>
              <w:t>PS: miss</w:t>
            </w:r>
          </w:p>
        </w:tc>
        <w:tc>
          <w:tcPr>
            <w:tcW w:w="1186" w:type="dxa"/>
          </w:tcPr>
          <w:p w14:paraId="3376636D"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-0.87</w:t>
            </w:r>
          </w:p>
        </w:tc>
        <w:tc>
          <w:tcPr>
            <w:tcW w:w="1507" w:type="dxa"/>
          </w:tcPr>
          <w:p w14:paraId="5FD10E15"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-1.65; -0.15</w:t>
            </w:r>
          </w:p>
        </w:tc>
      </w:tr>
      <w:tr w:rsidR="002E11C0" w:rsidRPr="00E033DA" w14:paraId="0AD8E2BB" w14:textId="77777777" w:rsidTr="00370359">
        <w:tc>
          <w:tcPr>
            <w:tcW w:w="1294" w:type="dxa"/>
          </w:tcPr>
          <w:p w14:paraId="5897FC58" w14:textId="77777777" w:rsidR="002E11C0" w:rsidRPr="00E033DA" w:rsidRDefault="002E11C0" w:rsidP="00C62DFE">
            <w:pPr>
              <w:rPr>
                <w:rFonts w:ascii="Calibri" w:eastAsia="Calibri" w:hAnsi="Calibri" w:cs="Times New Roman"/>
                <w:bCs/>
              </w:rPr>
            </w:pPr>
          </w:p>
        </w:tc>
        <w:tc>
          <w:tcPr>
            <w:tcW w:w="1294" w:type="dxa"/>
          </w:tcPr>
          <w:p w14:paraId="59B8A9E3" w14:textId="77777777" w:rsidR="002E11C0" w:rsidRPr="00E033DA" w:rsidRDefault="002E11C0">
            <w:pPr>
              <w:rPr>
                <w:rFonts w:ascii="Calibri" w:eastAsia="Calibri" w:hAnsi="Calibri" w:cs="Times New Roman"/>
                <w:bCs/>
              </w:rPr>
            </w:pPr>
          </w:p>
        </w:tc>
        <w:tc>
          <w:tcPr>
            <w:tcW w:w="1294" w:type="dxa"/>
          </w:tcPr>
          <w:p w14:paraId="1C5A5537" w14:textId="77777777" w:rsidR="002E11C0" w:rsidRPr="00E033DA" w:rsidRDefault="002E11C0">
            <w:pPr>
              <w:rPr>
                <w:rFonts w:ascii="Calibri" w:eastAsia="Calibri" w:hAnsi="Calibri" w:cs="Times New Roman"/>
                <w:bCs/>
              </w:rPr>
            </w:pPr>
          </w:p>
        </w:tc>
        <w:tc>
          <w:tcPr>
            <w:tcW w:w="791" w:type="dxa"/>
          </w:tcPr>
          <w:p w14:paraId="5083DA19" w14:textId="77777777" w:rsidR="002E11C0" w:rsidRPr="00E033DA" w:rsidRDefault="002E11C0">
            <w:pPr>
              <w:rPr>
                <w:rFonts w:ascii="Calibri" w:eastAsia="Calibri" w:hAnsi="Calibri" w:cs="Times New Roman"/>
                <w:bCs/>
              </w:rPr>
            </w:pPr>
          </w:p>
        </w:tc>
        <w:tc>
          <w:tcPr>
            <w:tcW w:w="1134" w:type="dxa"/>
          </w:tcPr>
          <w:p w14:paraId="6D52D6FB" w14:textId="77777777" w:rsidR="002E11C0" w:rsidRPr="00E033DA" w:rsidRDefault="002E11C0">
            <w:pPr>
              <w:rPr>
                <w:rFonts w:ascii="Calibri" w:eastAsia="Calibri" w:hAnsi="Calibri" w:cs="Times New Roman"/>
                <w:bCs/>
              </w:rPr>
            </w:pPr>
            <w:r w:rsidRPr="00E033DA">
              <w:rPr>
                <w:rFonts w:ascii="Calibri" w:eastAsia="Calibri" w:hAnsi="Calibri" w:cs="Times New Roman"/>
                <w:bCs/>
              </w:rPr>
              <w:t>Age</w:t>
            </w:r>
          </w:p>
        </w:tc>
        <w:tc>
          <w:tcPr>
            <w:tcW w:w="1186" w:type="dxa"/>
          </w:tcPr>
          <w:p w14:paraId="1E0E5C96"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0.04</w:t>
            </w:r>
          </w:p>
        </w:tc>
        <w:tc>
          <w:tcPr>
            <w:tcW w:w="1507" w:type="dxa"/>
          </w:tcPr>
          <w:p w14:paraId="2802B4A5" w14:textId="77777777" w:rsidR="002E11C0" w:rsidRPr="00E033DA" w:rsidRDefault="002E11C0">
            <w:pPr>
              <w:jc w:val="center"/>
              <w:rPr>
                <w:rFonts w:ascii="Calibri" w:eastAsia="Calibri" w:hAnsi="Calibri" w:cs="Times New Roman"/>
                <w:bCs/>
              </w:rPr>
            </w:pPr>
            <w:r w:rsidRPr="00E033DA">
              <w:rPr>
                <w:rFonts w:ascii="Calibri" w:eastAsia="Calibri" w:hAnsi="Calibri" w:cs="Times New Roman"/>
                <w:bCs/>
              </w:rPr>
              <w:t>0.02; 0.06</w:t>
            </w:r>
          </w:p>
        </w:tc>
      </w:tr>
    </w:tbl>
    <w:p w14:paraId="54AE4EAA" w14:textId="4BBC3DFA" w:rsidR="002E11C0" w:rsidRDefault="002E11C0" w:rsidP="007542F4">
      <w:pPr>
        <w:spacing w:line="480" w:lineRule="auto"/>
        <w:ind w:right="521"/>
        <w:jc w:val="both"/>
        <w:rPr>
          <w:rFonts w:ascii="Calibri" w:eastAsia="Calibri" w:hAnsi="Calibri" w:cs="Times New Roman"/>
          <w:sz w:val="18"/>
          <w:szCs w:val="18"/>
        </w:rPr>
        <w:sectPr w:rsidR="002E11C0" w:rsidSect="002F537C">
          <w:pgSz w:w="11906" w:h="16838"/>
          <w:pgMar w:top="1440" w:right="1440" w:bottom="1440" w:left="1440" w:header="708" w:footer="708" w:gutter="0"/>
          <w:lnNumType w:countBy="1" w:restart="continuous"/>
          <w:cols w:space="708"/>
          <w:docGrid w:linePitch="360"/>
        </w:sectPr>
      </w:pPr>
      <w:r w:rsidRPr="00E70A58">
        <w:rPr>
          <w:rFonts w:ascii="Calibri" w:eastAsia="Calibri" w:hAnsi="Calibri" w:cs="Times New Roman"/>
          <w:bCs/>
          <w:sz w:val="18"/>
          <w:szCs w:val="18"/>
        </w:rPr>
        <w:lastRenderedPageBreak/>
        <w:t xml:space="preserve">Res. Var, response variable; Distribution, type of statistical distribution assumed for Res. Var; Model type, regression model type; Scale, scale of linear predictor used to model Res. Var via Model type (e.g., if Res. Var assumed to have normal scale, then scale is used to model via linear regression); 95% CI, 95% confidence interval of regression coefficients (lower; upper); </w:t>
      </w:r>
      <w:r w:rsidRPr="00E70A58">
        <w:rPr>
          <w:rFonts w:ascii="Calibri" w:eastAsia="Calibri" w:hAnsi="Calibri" w:cs="Times New Roman"/>
          <w:sz w:val="18"/>
          <w:szCs w:val="18"/>
        </w:rPr>
        <w:t xml:space="preserve">Age, age at diagnosis; F, Female; </w:t>
      </w:r>
      <w:r w:rsidRPr="00E70A58">
        <w:rPr>
          <w:rFonts w:ascii="Calibri" w:eastAsia="Calibri" w:hAnsi="Calibri" w:cs="Times New Roman"/>
          <w:bCs/>
          <w:sz w:val="18"/>
          <w:szCs w:val="18"/>
        </w:rPr>
        <w:t xml:space="preserve">sigma, standard error of linear regression; </w:t>
      </w:r>
      <w:r w:rsidRPr="00E70A58">
        <w:rPr>
          <w:rFonts w:ascii="Calibri" w:eastAsia="Calibri" w:hAnsi="Calibri" w:cs="Times New Roman"/>
          <w:sz w:val="18"/>
          <w:szCs w:val="18"/>
        </w:rPr>
        <w:t xml:space="preserve">CCI, </w:t>
      </w:r>
      <w:proofErr w:type="spellStart"/>
      <w:r w:rsidRPr="00E70A58">
        <w:rPr>
          <w:rFonts w:ascii="Calibri" w:eastAsia="Calibri" w:hAnsi="Calibri" w:cs="Times New Roman"/>
          <w:sz w:val="18"/>
          <w:szCs w:val="18"/>
        </w:rPr>
        <w:t>Charlson</w:t>
      </w:r>
      <w:proofErr w:type="spellEnd"/>
      <w:r w:rsidRPr="00E70A58">
        <w:rPr>
          <w:rFonts w:ascii="Calibri" w:eastAsia="Calibri" w:hAnsi="Calibri" w:cs="Times New Roman"/>
          <w:sz w:val="18"/>
          <w:szCs w:val="18"/>
        </w:rPr>
        <w:t xml:space="preserve"> comorbidity Index, grouped as good or bad; PS, Eastern Cooperative Oncology Group Performance status (</w:t>
      </w:r>
      <w:proofErr w:type="spellStart"/>
      <w:r w:rsidRPr="00E70A58">
        <w:rPr>
          <w:rFonts w:ascii="Calibri" w:eastAsia="Calibri" w:hAnsi="Calibri" w:cs="Times New Roman"/>
          <w:sz w:val="18"/>
          <w:szCs w:val="18"/>
        </w:rPr>
        <w:t>obs</w:t>
      </w:r>
      <w:proofErr w:type="spellEnd"/>
      <w:r w:rsidRPr="00E70A58">
        <w:rPr>
          <w:rFonts w:ascii="Calibri" w:eastAsia="Calibri" w:hAnsi="Calibri" w:cs="Times New Roman"/>
          <w:sz w:val="18"/>
          <w:szCs w:val="18"/>
        </w:rPr>
        <w:t xml:space="preserve">, PS was observed and grouped as bad or good; </w:t>
      </w:r>
      <w:proofErr w:type="spellStart"/>
      <w:r w:rsidRPr="00E70A58">
        <w:rPr>
          <w:rFonts w:ascii="Calibri" w:eastAsia="Calibri" w:hAnsi="Calibri" w:cs="Times New Roman"/>
          <w:sz w:val="18"/>
          <w:szCs w:val="18"/>
        </w:rPr>
        <w:t>Yr</w:t>
      </w:r>
      <w:proofErr w:type="spellEnd"/>
      <w:r w:rsidRPr="00E70A58">
        <w:rPr>
          <w:rFonts w:ascii="Calibri" w:eastAsia="Calibri" w:hAnsi="Calibri" w:cs="Times New Roman"/>
          <w:sz w:val="18"/>
          <w:szCs w:val="18"/>
        </w:rPr>
        <w:t>, year of diagnosis;</w:t>
      </w:r>
      <w:r w:rsidRPr="00E70A58">
        <w:rPr>
          <w:rFonts w:ascii="Calibri" w:eastAsia="Calibri" w:hAnsi="Calibri" w:cs="Times New Roman"/>
          <w:sz w:val="18"/>
          <w:szCs w:val="18"/>
          <w:vertAlign w:val="superscript"/>
        </w:rPr>
        <w:t xml:space="preserve"> a</w:t>
      </w:r>
      <w:r w:rsidRPr="00E70A58">
        <w:rPr>
          <w:rFonts w:ascii="Calibri" w:eastAsia="Calibri" w:hAnsi="Calibri" w:cs="Times New Roman"/>
          <w:sz w:val="18"/>
          <w:szCs w:val="18"/>
        </w:rPr>
        <w:t xml:space="preserve"> fitted on subset of patients with observed PS; Treat, decision to treat with systemic chemotherapy (Sys) or best supportive care (BSC); Type of </w:t>
      </w:r>
      <w:proofErr w:type="spellStart"/>
      <w:r w:rsidRPr="00E70A58">
        <w:rPr>
          <w:rFonts w:ascii="Calibri" w:eastAsia="Calibri" w:hAnsi="Calibri" w:cs="Times New Roman"/>
          <w:sz w:val="18"/>
          <w:szCs w:val="18"/>
        </w:rPr>
        <w:t>Sys,Type</w:t>
      </w:r>
      <w:proofErr w:type="spellEnd"/>
      <w:r w:rsidRPr="00E70A58">
        <w:rPr>
          <w:rFonts w:ascii="Calibri" w:eastAsia="Calibri" w:hAnsi="Calibri" w:cs="Times New Roman"/>
          <w:sz w:val="18"/>
          <w:szCs w:val="18"/>
        </w:rPr>
        <w:t xml:space="preserve"> of systemic thermotherapy administered, grouped as Carboplatin doublets (Carbo. D) and Cisplatin doublets (</w:t>
      </w:r>
      <w:proofErr w:type="spellStart"/>
      <w:r w:rsidRPr="00E70A58">
        <w:rPr>
          <w:rFonts w:ascii="Calibri" w:eastAsia="Calibri" w:hAnsi="Calibri" w:cs="Times New Roman"/>
          <w:sz w:val="18"/>
          <w:szCs w:val="18"/>
        </w:rPr>
        <w:t>Cisp.D</w:t>
      </w:r>
      <w:proofErr w:type="spellEnd"/>
      <w:r w:rsidRPr="00E70A58">
        <w:rPr>
          <w:rFonts w:ascii="Calibri" w:eastAsia="Calibri" w:hAnsi="Calibri" w:cs="Times New Roman"/>
          <w:sz w:val="18"/>
          <w:szCs w:val="18"/>
        </w:rPr>
        <w:t xml:space="preserve">); </w:t>
      </w:r>
      <w:r w:rsidRPr="00E70A58">
        <w:rPr>
          <w:rFonts w:ascii="Calibri" w:eastAsia="Calibri" w:hAnsi="Calibri" w:cs="Times New Roman"/>
          <w:sz w:val="18"/>
          <w:szCs w:val="18"/>
          <w:vertAlign w:val="superscript"/>
        </w:rPr>
        <w:t>b</w:t>
      </w:r>
      <w:r w:rsidRPr="00E70A58">
        <w:rPr>
          <w:rFonts w:ascii="Calibri" w:eastAsia="Calibri" w:hAnsi="Calibri" w:cs="Times New Roman"/>
          <w:sz w:val="18"/>
          <w:szCs w:val="18"/>
        </w:rPr>
        <w:t xml:space="preserve"> fitted on subset of patients received systemic chemotherapy.</w:t>
      </w:r>
    </w:p>
    <w:p w14:paraId="5F730ED0" w14:textId="77777777" w:rsidR="00B76F98" w:rsidRPr="00F21B54" w:rsidRDefault="00B76F98" w:rsidP="00CD4B0D">
      <w:pPr>
        <w:spacing w:line="480" w:lineRule="auto"/>
        <w:jc w:val="both"/>
      </w:pPr>
      <w:r w:rsidRPr="00F21B54">
        <w:lastRenderedPageBreak/>
        <w:t>Table A</w:t>
      </w:r>
      <w:r>
        <w:t>7</w:t>
      </w:r>
      <w:r w:rsidRPr="00F21B54">
        <w:t>. Time-to-event estimated of disease model (Fig 1)</w:t>
      </w:r>
    </w:p>
    <w:tbl>
      <w:tblPr>
        <w:tblStyle w:val="TableGrid"/>
        <w:tblW w:w="9126" w:type="dxa"/>
        <w:tblLayout w:type="fixed"/>
        <w:tblLook w:val="04A0" w:firstRow="1" w:lastRow="0" w:firstColumn="1" w:lastColumn="0" w:noHBand="0" w:noVBand="1"/>
      </w:tblPr>
      <w:tblGrid>
        <w:gridCol w:w="1625"/>
        <w:gridCol w:w="1052"/>
        <w:gridCol w:w="1098"/>
        <w:gridCol w:w="1044"/>
        <w:gridCol w:w="1073"/>
        <w:gridCol w:w="1078"/>
        <w:gridCol w:w="1078"/>
        <w:gridCol w:w="1078"/>
      </w:tblGrid>
      <w:tr w:rsidR="00B76F98" w:rsidRPr="00A62CD9" w14:paraId="5250DE27" w14:textId="77777777" w:rsidTr="00370359">
        <w:trPr>
          <w:trHeight w:val="291"/>
        </w:trPr>
        <w:tc>
          <w:tcPr>
            <w:tcW w:w="1625" w:type="dxa"/>
          </w:tcPr>
          <w:p w14:paraId="5C0C26A4" w14:textId="77777777" w:rsidR="00B76F98" w:rsidRPr="007542F4" w:rsidRDefault="00B76F98" w:rsidP="007542F4">
            <w:pPr>
              <w:jc w:val="center"/>
              <w:rPr>
                <w:bCs/>
              </w:rPr>
            </w:pPr>
            <w:r w:rsidRPr="007542F4">
              <w:rPr>
                <w:bCs/>
              </w:rPr>
              <w:t>Term</w:t>
            </w:r>
          </w:p>
        </w:tc>
        <w:tc>
          <w:tcPr>
            <w:tcW w:w="1052" w:type="dxa"/>
          </w:tcPr>
          <w:p w14:paraId="59333CB1" w14:textId="77777777" w:rsidR="00B76F98" w:rsidRPr="007542F4" w:rsidRDefault="00B76F98" w:rsidP="007542F4">
            <w:pPr>
              <w:jc w:val="center"/>
              <w:rPr>
                <w:bCs/>
                <w:vertAlign w:val="superscript"/>
              </w:rPr>
            </w:pPr>
            <w:r w:rsidRPr="007542F4">
              <w:rPr>
                <w:bCs/>
              </w:rPr>
              <w:t>Trans01</w:t>
            </w:r>
            <w:r w:rsidRPr="007542F4">
              <w:rPr>
                <w:bCs/>
                <w:vertAlign w:val="superscript"/>
              </w:rPr>
              <w:t>a</w:t>
            </w:r>
          </w:p>
        </w:tc>
        <w:tc>
          <w:tcPr>
            <w:tcW w:w="1098" w:type="dxa"/>
          </w:tcPr>
          <w:p w14:paraId="1DAC2759" w14:textId="77777777" w:rsidR="00B76F98" w:rsidRPr="007542F4" w:rsidRDefault="00B76F98" w:rsidP="007542F4">
            <w:pPr>
              <w:jc w:val="center"/>
              <w:rPr>
                <w:bCs/>
                <w:vertAlign w:val="superscript"/>
              </w:rPr>
            </w:pPr>
            <w:r w:rsidRPr="007542F4">
              <w:rPr>
                <w:bCs/>
              </w:rPr>
              <w:t>Trans04</w:t>
            </w:r>
            <w:r w:rsidRPr="007542F4">
              <w:rPr>
                <w:bCs/>
                <w:vertAlign w:val="superscript"/>
              </w:rPr>
              <w:t>a</w:t>
            </w:r>
          </w:p>
        </w:tc>
        <w:tc>
          <w:tcPr>
            <w:tcW w:w="1044" w:type="dxa"/>
          </w:tcPr>
          <w:p w14:paraId="706E3B06" w14:textId="77777777" w:rsidR="00B76F98" w:rsidRPr="007542F4" w:rsidRDefault="00B76F98" w:rsidP="007542F4">
            <w:pPr>
              <w:jc w:val="center"/>
              <w:rPr>
                <w:bCs/>
              </w:rPr>
            </w:pPr>
            <w:r w:rsidRPr="007542F4">
              <w:rPr>
                <w:bCs/>
              </w:rPr>
              <w:t>Trans12</w:t>
            </w:r>
            <w:r w:rsidRPr="007542F4">
              <w:rPr>
                <w:bCs/>
                <w:vertAlign w:val="superscript"/>
              </w:rPr>
              <w:t>b</w:t>
            </w:r>
          </w:p>
        </w:tc>
        <w:tc>
          <w:tcPr>
            <w:tcW w:w="1073" w:type="dxa"/>
          </w:tcPr>
          <w:p w14:paraId="4FDB5023" w14:textId="77777777" w:rsidR="00B76F98" w:rsidRPr="007542F4" w:rsidRDefault="00B76F98" w:rsidP="007542F4">
            <w:pPr>
              <w:jc w:val="center"/>
              <w:rPr>
                <w:bCs/>
              </w:rPr>
            </w:pPr>
            <w:r w:rsidRPr="007542F4">
              <w:rPr>
                <w:bCs/>
              </w:rPr>
              <w:t>Trans14</w:t>
            </w:r>
            <w:r w:rsidRPr="007542F4">
              <w:rPr>
                <w:bCs/>
                <w:vertAlign w:val="superscript"/>
              </w:rPr>
              <w:t xml:space="preserve"> b</w:t>
            </w:r>
          </w:p>
        </w:tc>
        <w:tc>
          <w:tcPr>
            <w:tcW w:w="1078" w:type="dxa"/>
          </w:tcPr>
          <w:p w14:paraId="2B9E2B67" w14:textId="77777777" w:rsidR="00B76F98" w:rsidRPr="007542F4" w:rsidRDefault="00B76F98" w:rsidP="007542F4">
            <w:pPr>
              <w:jc w:val="center"/>
              <w:rPr>
                <w:bCs/>
              </w:rPr>
            </w:pPr>
            <w:r w:rsidRPr="007542F4">
              <w:rPr>
                <w:bCs/>
              </w:rPr>
              <w:t>Trans23</w:t>
            </w:r>
            <w:r w:rsidRPr="007542F4">
              <w:rPr>
                <w:bCs/>
                <w:vertAlign w:val="superscript"/>
              </w:rPr>
              <w:t xml:space="preserve"> b</w:t>
            </w:r>
          </w:p>
        </w:tc>
        <w:tc>
          <w:tcPr>
            <w:tcW w:w="1078" w:type="dxa"/>
          </w:tcPr>
          <w:p w14:paraId="6DF3DC57" w14:textId="77777777" w:rsidR="00B76F98" w:rsidRPr="007542F4" w:rsidRDefault="00B76F98" w:rsidP="007542F4">
            <w:pPr>
              <w:jc w:val="center"/>
              <w:rPr>
                <w:bCs/>
              </w:rPr>
            </w:pPr>
            <w:r w:rsidRPr="007542F4">
              <w:rPr>
                <w:bCs/>
              </w:rPr>
              <w:t>Trans24</w:t>
            </w:r>
            <w:r w:rsidRPr="007542F4">
              <w:rPr>
                <w:bCs/>
                <w:vertAlign w:val="superscript"/>
              </w:rPr>
              <w:t xml:space="preserve"> b</w:t>
            </w:r>
          </w:p>
        </w:tc>
        <w:tc>
          <w:tcPr>
            <w:tcW w:w="1078" w:type="dxa"/>
          </w:tcPr>
          <w:p w14:paraId="3F58F236" w14:textId="77777777" w:rsidR="00B76F98" w:rsidRPr="007542F4" w:rsidRDefault="00B76F98" w:rsidP="007542F4">
            <w:pPr>
              <w:jc w:val="center"/>
              <w:rPr>
                <w:bCs/>
              </w:rPr>
            </w:pPr>
            <w:r w:rsidRPr="007542F4">
              <w:rPr>
                <w:bCs/>
              </w:rPr>
              <w:t>Trans34</w:t>
            </w:r>
            <w:r w:rsidRPr="007542F4">
              <w:rPr>
                <w:bCs/>
                <w:vertAlign w:val="superscript"/>
              </w:rPr>
              <w:t xml:space="preserve"> b</w:t>
            </w:r>
          </w:p>
        </w:tc>
      </w:tr>
      <w:tr w:rsidR="00B76F98" w:rsidRPr="00A62CD9" w14:paraId="0BABC4AB" w14:textId="77777777" w:rsidTr="00370359">
        <w:trPr>
          <w:trHeight w:val="281"/>
        </w:trPr>
        <w:tc>
          <w:tcPr>
            <w:tcW w:w="1625" w:type="dxa"/>
          </w:tcPr>
          <w:p w14:paraId="03676486" w14:textId="77777777" w:rsidR="00B76F98" w:rsidRPr="00A62CD9" w:rsidRDefault="00B76F98" w:rsidP="007542F4">
            <w:r w:rsidRPr="00A62CD9">
              <w:t>Distribution</w:t>
            </w:r>
          </w:p>
        </w:tc>
        <w:tc>
          <w:tcPr>
            <w:tcW w:w="1052" w:type="dxa"/>
          </w:tcPr>
          <w:p w14:paraId="308820CD" w14:textId="77777777" w:rsidR="00B76F98" w:rsidRPr="00A62CD9" w:rsidRDefault="00B76F98" w:rsidP="007542F4">
            <w:pPr>
              <w:jc w:val="center"/>
              <w:rPr>
                <w:i/>
                <w:sz w:val="18"/>
                <w:szCs w:val="18"/>
              </w:rPr>
            </w:pPr>
            <w:r w:rsidRPr="00A62CD9">
              <w:rPr>
                <w:i/>
                <w:sz w:val="18"/>
                <w:szCs w:val="18"/>
              </w:rPr>
              <w:t>Log-logistic</w:t>
            </w:r>
          </w:p>
        </w:tc>
        <w:tc>
          <w:tcPr>
            <w:tcW w:w="1098" w:type="dxa"/>
          </w:tcPr>
          <w:p w14:paraId="715F342F" w14:textId="77777777" w:rsidR="00B76F98" w:rsidRPr="00A62CD9" w:rsidRDefault="00B76F98" w:rsidP="007542F4">
            <w:pPr>
              <w:jc w:val="center"/>
              <w:rPr>
                <w:i/>
                <w:sz w:val="18"/>
                <w:szCs w:val="18"/>
              </w:rPr>
            </w:pPr>
            <w:r w:rsidRPr="00A62CD9">
              <w:rPr>
                <w:i/>
                <w:sz w:val="18"/>
                <w:szCs w:val="18"/>
              </w:rPr>
              <w:t xml:space="preserve">Log-normal </w:t>
            </w:r>
          </w:p>
        </w:tc>
        <w:tc>
          <w:tcPr>
            <w:tcW w:w="1044" w:type="dxa"/>
          </w:tcPr>
          <w:p w14:paraId="6C61D580" w14:textId="77777777" w:rsidR="00B76F98" w:rsidRPr="00A62CD9" w:rsidRDefault="00B76F98" w:rsidP="007542F4">
            <w:pPr>
              <w:jc w:val="center"/>
              <w:rPr>
                <w:i/>
                <w:sz w:val="18"/>
                <w:szCs w:val="18"/>
              </w:rPr>
            </w:pPr>
            <w:r w:rsidRPr="00A62CD9">
              <w:rPr>
                <w:i/>
                <w:sz w:val="18"/>
                <w:szCs w:val="18"/>
              </w:rPr>
              <w:t>Gompertz</w:t>
            </w:r>
          </w:p>
        </w:tc>
        <w:tc>
          <w:tcPr>
            <w:tcW w:w="1073" w:type="dxa"/>
          </w:tcPr>
          <w:p w14:paraId="00487508" w14:textId="77777777" w:rsidR="00B76F98" w:rsidRPr="00A62CD9" w:rsidRDefault="00B76F98" w:rsidP="007542F4">
            <w:pPr>
              <w:jc w:val="center"/>
              <w:rPr>
                <w:i/>
                <w:sz w:val="18"/>
                <w:szCs w:val="18"/>
              </w:rPr>
            </w:pPr>
            <w:r w:rsidRPr="00A62CD9">
              <w:rPr>
                <w:i/>
                <w:sz w:val="18"/>
                <w:szCs w:val="18"/>
              </w:rPr>
              <w:t>Gompertz</w:t>
            </w:r>
          </w:p>
        </w:tc>
        <w:tc>
          <w:tcPr>
            <w:tcW w:w="1078" w:type="dxa"/>
          </w:tcPr>
          <w:p w14:paraId="76BE6C2D" w14:textId="77777777" w:rsidR="00B76F98" w:rsidRPr="00A62CD9" w:rsidRDefault="00B76F98" w:rsidP="007542F4">
            <w:pPr>
              <w:jc w:val="center"/>
              <w:rPr>
                <w:i/>
                <w:sz w:val="18"/>
                <w:szCs w:val="18"/>
              </w:rPr>
            </w:pPr>
            <w:r w:rsidRPr="00A62CD9">
              <w:rPr>
                <w:i/>
                <w:sz w:val="18"/>
                <w:szCs w:val="18"/>
              </w:rPr>
              <w:t>Exponential</w:t>
            </w:r>
          </w:p>
        </w:tc>
        <w:tc>
          <w:tcPr>
            <w:tcW w:w="1078" w:type="dxa"/>
          </w:tcPr>
          <w:p w14:paraId="0248E401" w14:textId="77777777" w:rsidR="00B76F98" w:rsidRPr="00A62CD9" w:rsidRDefault="00B76F98" w:rsidP="007542F4">
            <w:pPr>
              <w:jc w:val="center"/>
              <w:rPr>
                <w:i/>
                <w:sz w:val="18"/>
                <w:szCs w:val="18"/>
              </w:rPr>
            </w:pPr>
            <w:r w:rsidRPr="00A62CD9">
              <w:rPr>
                <w:i/>
                <w:sz w:val="18"/>
                <w:szCs w:val="18"/>
              </w:rPr>
              <w:t>Exponential</w:t>
            </w:r>
          </w:p>
        </w:tc>
        <w:tc>
          <w:tcPr>
            <w:tcW w:w="1078" w:type="dxa"/>
          </w:tcPr>
          <w:p w14:paraId="415F9A35" w14:textId="77777777" w:rsidR="00B76F98" w:rsidRPr="00A62CD9" w:rsidRDefault="00B76F98" w:rsidP="007542F4">
            <w:pPr>
              <w:jc w:val="center"/>
              <w:rPr>
                <w:i/>
                <w:sz w:val="18"/>
                <w:szCs w:val="18"/>
              </w:rPr>
            </w:pPr>
            <w:r w:rsidRPr="00A62CD9">
              <w:rPr>
                <w:i/>
                <w:sz w:val="18"/>
                <w:szCs w:val="18"/>
              </w:rPr>
              <w:t>Exponential</w:t>
            </w:r>
          </w:p>
        </w:tc>
      </w:tr>
      <w:tr w:rsidR="00B76F98" w:rsidRPr="00A62CD9" w14:paraId="6EAD933C" w14:textId="77777777" w:rsidTr="00370359">
        <w:trPr>
          <w:trHeight w:val="291"/>
        </w:trPr>
        <w:tc>
          <w:tcPr>
            <w:tcW w:w="1625" w:type="dxa"/>
          </w:tcPr>
          <w:p w14:paraId="57A47D55" w14:textId="77777777" w:rsidR="00B76F98" w:rsidRPr="00A62CD9" w:rsidRDefault="00B76F98" w:rsidP="007542F4">
            <w:r w:rsidRPr="00A62CD9">
              <w:t>Shape</w:t>
            </w:r>
          </w:p>
        </w:tc>
        <w:tc>
          <w:tcPr>
            <w:tcW w:w="1052" w:type="dxa"/>
          </w:tcPr>
          <w:p w14:paraId="5C68FBF8" w14:textId="77777777" w:rsidR="00B76F98" w:rsidRPr="00A62CD9" w:rsidRDefault="00B76F98" w:rsidP="007542F4">
            <w:pPr>
              <w:jc w:val="center"/>
            </w:pPr>
            <w:r w:rsidRPr="00A62CD9">
              <w:t>0.9970</w:t>
            </w:r>
            <w:r w:rsidRPr="00A62CD9">
              <w:rPr>
                <w:vertAlign w:val="superscript"/>
              </w:rPr>
              <w:t>*</w:t>
            </w:r>
          </w:p>
        </w:tc>
        <w:tc>
          <w:tcPr>
            <w:tcW w:w="1098" w:type="dxa"/>
          </w:tcPr>
          <w:p w14:paraId="42974DFB" w14:textId="77777777" w:rsidR="00B76F98" w:rsidRPr="00A62CD9" w:rsidRDefault="00B76F98" w:rsidP="007542F4">
            <w:pPr>
              <w:jc w:val="center"/>
            </w:pPr>
            <w:r w:rsidRPr="00A62CD9">
              <w:t>-0.2110</w:t>
            </w:r>
            <w:r w:rsidRPr="00A62CD9">
              <w:rPr>
                <w:vertAlign w:val="superscript"/>
              </w:rPr>
              <w:t>*</w:t>
            </w:r>
          </w:p>
        </w:tc>
        <w:tc>
          <w:tcPr>
            <w:tcW w:w="1044" w:type="dxa"/>
          </w:tcPr>
          <w:p w14:paraId="41977DCF" w14:textId="77777777" w:rsidR="00B76F98" w:rsidRPr="00A62CD9" w:rsidRDefault="00B76F98" w:rsidP="007542F4">
            <w:pPr>
              <w:jc w:val="center"/>
            </w:pPr>
            <w:r w:rsidRPr="00A62CD9">
              <w:t>-0.2993</w:t>
            </w:r>
            <w:r w:rsidRPr="00A62CD9">
              <w:rPr>
                <w:vertAlign w:val="superscript"/>
              </w:rPr>
              <w:t>+</w:t>
            </w:r>
          </w:p>
        </w:tc>
        <w:tc>
          <w:tcPr>
            <w:tcW w:w="1073" w:type="dxa"/>
          </w:tcPr>
          <w:p w14:paraId="6BC2500E" w14:textId="77777777" w:rsidR="00B76F98" w:rsidRPr="00A62CD9" w:rsidRDefault="00B76F98" w:rsidP="007542F4">
            <w:pPr>
              <w:jc w:val="center"/>
            </w:pPr>
            <w:r w:rsidRPr="00A62CD9">
              <w:t>-0.3369</w:t>
            </w:r>
            <w:r w:rsidRPr="00A62CD9">
              <w:rPr>
                <w:vertAlign w:val="superscript"/>
              </w:rPr>
              <w:t>+</w:t>
            </w:r>
          </w:p>
        </w:tc>
        <w:tc>
          <w:tcPr>
            <w:tcW w:w="1078" w:type="dxa"/>
          </w:tcPr>
          <w:p w14:paraId="18860B78" w14:textId="77777777" w:rsidR="00B76F98" w:rsidRPr="00A62CD9" w:rsidRDefault="00B76F98" w:rsidP="007542F4">
            <w:pPr>
              <w:jc w:val="center"/>
            </w:pPr>
            <w:r w:rsidRPr="00A62CD9">
              <w:t>-</w:t>
            </w:r>
          </w:p>
        </w:tc>
        <w:tc>
          <w:tcPr>
            <w:tcW w:w="1078" w:type="dxa"/>
          </w:tcPr>
          <w:p w14:paraId="6972C119" w14:textId="77777777" w:rsidR="00B76F98" w:rsidRPr="00A62CD9" w:rsidRDefault="00B76F98" w:rsidP="007542F4">
            <w:pPr>
              <w:jc w:val="center"/>
            </w:pPr>
            <w:r w:rsidRPr="00A62CD9">
              <w:t>-</w:t>
            </w:r>
          </w:p>
        </w:tc>
        <w:tc>
          <w:tcPr>
            <w:tcW w:w="1078" w:type="dxa"/>
          </w:tcPr>
          <w:p w14:paraId="7266D95C" w14:textId="77777777" w:rsidR="00B76F98" w:rsidRPr="00A62CD9" w:rsidRDefault="00B76F98" w:rsidP="007542F4">
            <w:pPr>
              <w:jc w:val="center"/>
            </w:pPr>
            <w:r w:rsidRPr="00A62CD9">
              <w:t>-</w:t>
            </w:r>
          </w:p>
        </w:tc>
      </w:tr>
      <w:tr w:rsidR="00B76F98" w:rsidRPr="00A62CD9" w14:paraId="50DEF342" w14:textId="77777777" w:rsidTr="00370359">
        <w:trPr>
          <w:trHeight w:val="291"/>
        </w:trPr>
        <w:tc>
          <w:tcPr>
            <w:tcW w:w="1625" w:type="dxa"/>
          </w:tcPr>
          <w:p w14:paraId="13F64588" w14:textId="77777777" w:rsidR="00B76F98" w:rsidRPr="00A62CD9" w:rsidRDefault="00B76F98" w:rsidP="007542F4">
            <w:r w:rsidRPr="00A62CD9">
              <w:t xml:space="preserve">Intercept </w:t>
            </w:r>
          </w:p>
        </w:tc>
        <w:tc>
          <w:tcPr>
            <w:tcW w:w="1052" w:type="dxa"/>
          </w:tcPr>
          <w:p w14:paraId="69D63910" w14:textId="77777777" w:rsidR="00B76F98" w:rsidRPr="00A62CD9" w:rsidRDefault="00B76F98" w:rsidP="007542F4">
            <w:pPr>
              <w:jc w:val="center"/>
            </w:pPr>
            <w:r w:rsidRPr="00A62CD9">
              <w:t>-2.5490</w:t>
            </w:r>
            <w:r w:rsidRPr="00A62CD9">
              <w:rPr>
                <w:vertAlign w:val="superscript"/>
              </w:rPr>
              <w:t>*</w:t>
            </w:r>
          </w:p>
        </w:tc>
        <w:tc>
          <w:tcPr>
            <w:tcW w:w="1098" w:type="dxa"/>
          </w:tcPr>
          <w:p w14:paraId="5A57FFAA" w14:textId="77777777" w:rsidR="00B76F98" w:rsidRPr="00A62CD9" w:rsidRDefault="00B76F98" w:rsidP="007542F4">
            <w:pPr>
              <w:jc w:val="center"/>
            </w:pPr>
            <w:r w:rsidRPr="00A62CD9">
              <w:t>-1.3330</w:t>
            </w:r>
            <w:r w:rsidRPr="00A62CD9">
              <w:rPr>
                <w:vertAlign w:val="superscript"/>
              </w:rPr>
              <w:t>*</w:t>
            </w:r>
          </w:p>
        </w:tc>
        <w:tc>
          <w:tcPr>
            <w:tcW w:w="1044" w:type="dxa"/>
          </w:tcPr>
          <w:p w14:paraId="7CF80953" w14:textId="77777777" w:rsidR="00B76F98" w:rsidRPr="00A62CD9" w:rsidRDefault="00B76F98" w:rsidP="007542F4">
            <w:pPr>
              <w:jc w:val="center"/>
            </w:pPr>
            <w:r w:rsidRPr="00A62CD9">
              <w:t>0.5231</w:t>
            </w:r>
            <w:r w:rsidRPr="00A62CD9">
              <w:rPr>
                <w:vertAlign w:val="superscript"/>
              </w:rPr>
              <w:t>+</w:t>
            </w:r>
          </w:p>
        </w:tc>
        <w:tc>
          <w:tcPr>
            <w:tcW w:w="1073" w:type="dxa"/>
          </w:tcPr>
          <w:p w14:paraId="528ABCEC" w14:textId="77777777" w:rsidR="00B76F98" w:rsidRPr="00A62CD9" w:rsidRDefault="00B76F98" w:rsidP="007542F4">
            <w:pPr>
              <w:jc w:val="center"/>
              <w:rPr>
                <w:vertAlign w:val="superscript"/>
              </w:rPr>
            </w:pPr>
            <w:r w:rsidRPr="00A62CD9">
              <w:t>0.1003</w:t>
            </w:r>
            <w:r w:rsidRPr="00A62CD9">
              <w:rPr>
                <w:vertAlign w:val="superscript"/>
              </w:rPr>
              <w:t>+</w:t>
            </w:r>
          </w:p>
        </w:tc>
        <w:tc>
          <w:tcPr>
            <w:tcW w:w="1078" w:type="dxa"/>
          </w:tcPr>
          <w:p w14:paraId="2F7E88AB" w14:textId="77777777" w:rsidR="00B76F98" w:rsidRPr="00A62CD9" w:rsidRDefault="00B76F98" w:rsidP="007542F4">
            <w:pPr>
              <w:jc w:val="center"/>
            </w:pPr>
            <w:r w:rsidRPr="00A62CD9">
              <w:t>-1.3590</w:t>
            </w:r>
          </w:p>
        </w:tc>
        <w:tc>
          <w:tcPr>
            <w:tcW w:w="1078" w:type="dxa"/>
          </w:tcPr>
          <w:p w14:paraId="244DE748" w14:textId="77777777" w:rsidR="00B76F98" w:rsidRPr="00A62CD9" w:rsidRDefault="00B76F98" w:rsidP="007542F4">
            <w:pPr>
              <w:jc w:val="center"/>
            </w:pPr>
            <w:r w:rsidRPr="00A62CD9">
              <w:t>-0.252</w:t>
            </w:r>
          </w:p>
        </w:tc>
        <w:tc>
          <w:tcPr>
            <w:tcW w:w="1078" w:type="dxa"/>
          </w:tcPr>
          <w:p w14:paraId="5BAE82DB" w14:textId="77777777" w:rsidR="00B76F98" w:rsidRPr="00A62CD9" w:rsidRDefault="00B76F98" w:rsidP="007542F4">
            <w:pPr>
              <w:jc w:val="center"/>
            </w:pPr>
            <w:r w:rsidRPr="00A62CD9">
              <w:t>-0.363</w:t>
            </w:r>
          </w:p>
        </w:tc>
      </w:tr>
      <w:tr w:rsidR="00B76F98" w:rsidRPr="00A62CD9" w14:paraId="0E7A85D0" w14:textId="77777777" w:rsidTr="00370359">
        <w:trPr>
          <w:trHeight w:val="281"/>
        </w:trPr>
        <w:tc>
          <w:tcPr>
            <w:tcW w:w="1625" w:type="dxa"/>
          </w:tcPr>
          <w:p w14:paraId="142713CE" w14:textId="77777777" w:rsidR="00B76F98" w:rsidRDefault="00B76F98" w:rsidP="007542F4">
            <w:r w:rsidRPr="00A62CD9">
              <w:t>Treat1g:</w:t>
            </w:r>
          </w:p>
          <w:p w14:paraId="3A2F7DBC" w14:textId="77777777" w:rsidR="00B76F98" w:rsidRPr="00A62CD9" w:rsidRDefault="00B76F98" w:rsidP="007542F4">
            <w:r w:rsidRPr="00A62CD9">
              <w:t xml:space="preserve"> Carb</w:t>
            </w:r>
            <w:r>
              <w:t>. D</w:t>
            </w:r>
          </w:p>
        </w:tc>
        <w:tc>
          <w:tcPr>
            <w:tcW w:w="1052" w:type="dxa"/>
          </w:tcPr>
          <w:p w14:paraId="4AF75C1B" w14:textId="77777777" w:rsidR="00B76F98" w:rsidRPr="00A62CD9" w:rsidRDefault="00B76F98" w:rsidP="007542F4">
            <w:pPr>
              <w:jc w:val="center"/>
            </w:pPr>
            <w:r w:rsidRPr="00A62CD9">
              <w:t>-</w:t>
            </w:r>
          </w:p>
        </w:tc>
        <w:tc>
          <w:tcPr>
            <w:tcW w:w="1098" w:type="dxa"/>
          </w:tcPr>
          <w:p w14:paraId="0E95443D" w14:textId="77777777" w:rsidR="00B76F98" w:rsidRPr="00A62CD9" w:rsidRDefault="00B76F98" w:rsidP="007542F4">
            <w:pPr>
              <w:jc w:val="center"/>
            </w:pPr>
            <w:r w:rsidRPr="00A62CD9">
              <w:t>-</w:t>
            </w:r>
          </w:p>
        </w:tc>
        <w:tc>
          <w:tcPr>
            <w:tcW w:w="1044" w:type="dxa"/>
          </w:tcPr>
          <w:p w14:paraId="0F679621" w14:textId="77777777" w:rsidR="00B76F98" w:rsidRPr="00A62CD9" w:rsidRDefault="00B76F98" w:rsidP="007542F4">
            <w:pPr>
              <w:jc w:val="center"/>
            </w:pPr>
            <w:r w:rsidRPr="00A62CD9">
              <w:t>0.1969</w:t>
            </w:r>
          </w:p>
        </w:tc>
        <w:tc>
          <w:tcPr>
            <w:tcW w:w="1073" w:type="dxa"/>
          </w:tcPr>
          <w:p w14:paraId="13F72BC9" w14:textId="77777777" w:rsidR="00B76F98" w:rsidRPr="00A62CD9" w:rsidRDefault="00B76F98" w:rsidP="007542F4">
            <w:pPr>
              <w:jc w:val="center"/>
            </w:pPr>
            <w:r w:rsidRPr="00A62CD9">
              <w:t>0.1457</w:t>
            </w:r>
          </w:p>
        </w:tc>
        <w:tc>
          <w:tcPr>
            <w:tcW w:w="1078" w:type="dxa"/>
          </w:tcPr>
          <w:p w14:paraId="0C576F8D" w14:textId="77777777" w:rsidR="00B76F98" w:rsidRPr="00A62CD9" w:rsidRDefault="00B76F98" w:rsidP="007542F4">
            <w:pPr>
              <w:jc w:val="center"/>
            </w:pPr>
            <w:r w:rsidRPr="00A62CD9">
              <w:t>0.4420</w:t>
            </w:r>
          </w:p>
        </w:tc>
        <w:tc>
          <w:tcPr>
            <w:tcW w:w="1078" w:type="dxa"/>
          </w:tcPr>
          <w:p w14:paraId="115F2A2D" w14:textId="77777777" w:rsidR="00B76F98" w:rsidRPr="00A62CD9" w:rsidRDefault="00B76F98" w:rsidP="007542F4">
            <w:pPr>
              <w:jc w:val="center"/>
            </w:pPr>
            <w:r w:rsidRPr="00A62CD9">
              <w:t>0.501</w:t>
            </w:r>
            <w:r w:rsidRPr="00A62CD9">
              <w:rPr>
                <w:vertAlign w:val="superscript"/>
              </w:rPr>
              <w:t>*</w:t>
            </w:r>
          </w:p>
        </w:tc>
        <w:tc>
          <w:tcPr>
            <w:tcW w:w="1078" w:type="dxa"/>
          </w:tcPr>
          <w:p w14:paraId="0AE1AB6F" w14:textId="77777777" w:rsidR="00B76F98" w:rsidRPr="00A62CD9" w:rsidRDefault="00B76F98" w:rsidP="007542F4">
            <w:pPr>
              <w:jc w:val="center"/>
            </w:pPr>
            <w:r w:rsidRPr="00A62CD9">
              <w:t>0.005</w:t>
            </w:r>
          </w:p>
        </w:tc>
      </w:tr>
      <w:tr w:rsidR="00B76F98" w:rsidRPr="00A62CD9" w14:paraId="04B864B2" w14:textId="77777777" w:rsidTr="00370359">
        <w:trPr>
          <w:trHeight w:val="291"/>
        </w:trPr>
        <w:tc>
          <w:tcPr>
            <w:tcW w:w="1625" w:type="dxa"/>
          </w:tcPr>
          <w:p w14:paraId="0D6C30CA" w14:textId="77777777" w:rsidR="00B76F98" w:rsidRPr="00A62CD9" w:rsidRDefault="00B76F98" w:rsidP="007542F4">
            <w:r w:rsidRPr="00A62CD9">
              <w:t>PS:</w:t>
            </w:r>
          </w:p>
        </w:tc>
        <w:tc>
          <w:tcPr>
            <w:tcW w:w="1052" w:type="dxa"/>
          </w:tcPr>
          <w:p w14:paraId="0A988004" w14:textId="77777777" w:rsidR="00B76F98" w:rsidRPr="00A62CD9" w:rsidRDefault="00B76F98" w:rsidP="007542F4">
            <w:pPr>
              <w:jc w:val="center"/>
            </w:pPr>
            <w:r w:rsidRPr="00A62CD9">
              <w:t>-</w:t>
            </w:r>
          </w:p>
        </w:tc>
        <w:tc>
          <w:tcPr>
            <w:tcW w:w="1098" w:type="dxa"/>
          </w:tcPr>
          <w:p w14:paraId="1773C9A3" w14:textId="77777777" w:rsidR="00B76F98" w:rsidRPr="00A62CD9" w:rsidRDefault="00B76F98" w:rsidP="007542F4">
            <w:pPr>
              <w:jc w:val="center"/>
            </w:pPr>
            <w:r w:rsidRPr="00A62CD9">
              <w:t>-</w:t>
            </w:r>
          </w:p>
        </w:tc>
        <w:tc>
          <w:tcPr>
            <w:tcW w:w="1044" w:type="dxa"/>
          </w:tcPr>
          <w:p w14:paraId="500B1DD3" w14:textId="77777777" w:rsidR="00B76F98" w:rsidRPr="00A62CD9" w:rsidRDefault="00B76F98" w:rsidP="007542F4">
            <w:pPr>
              <w:jc w:val="center"/>
            </w:pPr>
            <w:r w:rsidRPr="00A62CD9">
              <w:t>-</w:t>
            </w:r>
          </w:p>
        </w:tc>
        <w:tc>
          <w:tcPr>
            <w:tcW w:w="1073" w:type="dxa"/>
          </w:tcPr>
          <w:p w14:paraId="5583F68D" w14:textId="77777777" w:rsidR="00B76F98" w:rsidRPr="00A62CD9" w:rsidRDefault="00B76F98" w:rsidP="007542F4">
            <w:pPr>
              <w:jc w:val="center"/>
            </w:pPr>
            <w:r w:rsidRPr="00A62CD9">
              <w:t>-</w:t>
            </w:r>
          </w:p>
        </w:tc>
        <w:tc>
          <w:tcPr>
            <w:tcW w:w="1078" w:type="dxa"/>
          </w:tcPr>
          <w:p w14:paraId="42966354" w14:textId="77777777" w:rsidR="00B76F98" w:rsidRPr="00A62CD9" w:rsidRDefault="00B76F98" w:rsidP="007542F4">
            <w:pPr>
              <w:jc w:val="center"/>
            </w:pPr>
            <w:r w:rsidRPr="00A62CD9">
              <w:t>-</w:t>
            </w:r>
          </w:p>
        </w:tc>
        <w:tc>
          <w:tcPr>
            <w:tcW w:w="1078" w:type="dxa"/>
          </w:tcPr>
          <w:p w14:paraId="1E6D5AC5" w14:textId="77777777" w:rsidR="00B76F98" w:rsidRPr="00A62CD9" w:rsidRDefault="00B76F98" w:rsidP="007542F4">
            <w:pPr>
              <w:jc w:val="center"/>
            </w:pPr>
            <w:r w:rsidRPr="00A62CD9">
              <w:t>-</w:t>
            </w:r>
          </w:p>
        </w:tc>
        <w:tc>
          <w:tcPr>
            <w:tcW w:w="1078" w:type="dxa"/>
          </w:tcPr>
          <w:p w14:paraId="643FF575" w14:textId="77777777" w:rsidR="00B76F98" w:rsidRPr="00A62CD9" w:rsidRDefault="00B76F98" w:rsidP="007542F4">
            <w:pPr>
              <w:jc w:val="center"/>
            </w:pPr>
            <w:r w:rsidRPr="00A62CD9">
              <w:t>-</w:t>
            </w:r>
          </w:p>
        </w:tc>
      </w:tr>
      <w:tr w:rsidR="00B76F98" w:rsidRPr="00A62CD9" w14:paraId="5B5F7733" w14:textId="77777777" w:rsidTr="00370359">
        <w:trPr>
          <w:trHeight w:val="291"/>
        </w:trPr>
        <w:tc>
          <w:tcPr>
            <w:tcW w:w="1625" w:type="dxa"/>
          </w:tcPr>
          <w:p w14:paraId="30FBB650" w14:textId="77777777" w:rsidR="00B76F98" w:rsidRPr="00A62CD9" w:rsidRDefault="00B76F98" w:rsidP="007542F4">
            <w:pPr>
              <w:tabs>
                <w:tab w:val="left" w:pos="594"/>
              </w:tabs>
            </w:pPr>
            <w:r w:rsidRPr="00A62CD9">
              <w:tab/>
              <w:t xml:space="preserve">Bad </w:t>
            </w:r>
          </w:p>
        </w:tc>
        <w:tc>
          <w:tcPr>
            <w:tcW w:w="1052" w:type="dxa"/>
          </w:tcPr>
          <w:p w14:paraId="438DF700" w14:textId="77777777" w:rsidR="00B76F98" w:rsidRPr="00A62CD9" w:rsidRDefault="00B76F98" w:rsidP="007542F4">
            <w:pPr>
              <w:jc w:val="center"/>
            </w:pPr>
            <w:r w:rsidRPr="00A62CD9">
              <w:t>-</w:t>
            </w:r>
          </w:p>
        </w:tc>
        <w:tc>
          <w:tcPr>
            <w:tcW w:w="1098" w:type="dxa"/>
          </w:tcPr>
          <w:p w14:paraId="38498FF8" w14:textId="77777777" w:rsidR="00B76F98" w:rsidRPr="00A62CD9" w:rsidRDefault="00B76F98" w:rsidP="007542F4">
            <w:pPr>
              <w:jc w:val="center"/>
            </w:pPr>
            <w:r w:rsidRPr="00A62CD9">
              <w:t>0.8150</w:t>
            </w:r>
            <w:r w:rsidRPr="00A62CD9">
              <w:rPr>
                <w:vertAlign w:val="superscript"/>
              </w:rPr>
              <w:t>*</w:t>
            </w:r>
          </w:p>
        </w:tc>
        <w:tc>
          <w:tcPr>
            <w:tcW w:w="1044" w:type="dxa"/>
          </w:tcPr>
          <w:p w14:paraId="7924F62E" w14:textId="77777777" w:rsidR="00B76F98" w:rsidRPr="00A62CD9" w:rsidRDefault="00B76F98" w:rsidP="007542F4">
            <w:pPr>
              <w:jc w:val="center"/>
            </w:pPr>
            <w:r w:rsidRPr="00A62CD9">
              <w:t>-</w:t>
            </w:r>
          </w:p>
        </w:tc>
        <w:tc>
          <w:tcPr>
            <w:tcW w:w="1073" w:type="dxa"/>
          </w:tcPr>
          <w:p w14:paraId="1A0541CB" w14:textId="77777777" w:rsidR="00B76F98" w:rsidRPr="00A62CD9" w:rsidRDefault="00B76F98" w:rsidP="007542F4">
            <w:pPr>
              <w:jc w:val="center"/>
            </w:pPr>
            <w:r w:rsidRPr="00A62CD9">
              <w:t>0.4295</w:t>
            </w:r>
            <w:r w:rsidRPr="00A62CD9">
              <w:rPr>
                <w:vertAlign w:val="superscript"/>
              </w:rPr>
              <w:t>*</w:t>
            </w:r>
          </w:p>
        </w:tc>
        <w:tc>
          <w:tcPr>
            <w:tcW w:w="1078" w:type="dxa"/>
          </w:tcPr>
          <w:p w14:paraId="56B9BE9E" w14:textId="77777777" w:rsidR="00B76F98" w:rsidRPr="00A62CD9" w:rsidRDefault="00B76F98" w:rsidP="007542F4">
            <w:pPr>
              <w:jc w:val="center"/>
            </w:pPr>
            <w:r w:rsidRPr="00A62CD9">
              <w:t>-</w:t>
            </w:r>
          </w:p>
        </w:tc>
        <w:tc>
          <w:tcPr>
            <w:tcW w:w="1078" w:type="dxa"/>
          </w:tcPr>
          <w:p w14:paraId="2ED2A43E" w14:textId="77777777" w:rsidR="00B76F98" w:rsidRPr="00A62CD9" w:rsidRDefault="00B76F98" w:rsidP="007542F4">
            <w:pPr>
              <w:jc w:val="center"/>
            </w:pPr>
            <w:r w:rsidRPr="00A62CD9">
              <w:t>-</w:t>
            </w:r>
          </w:p>
        </w:tc>
        <w:tc>
          <w:tcPr>
            <w:tcW w:w="1078" w:type="dxa"/>
          </w:tcPr>
          <w:p w14:paraId="61F3A721" w14:textId="77777777" w:rsidR="00B76F98" w:rsidRPr="00A62CD9" w:rsidRDefault="00B76F98" w:rsidP="007542F4">
            <w:pPr>
              <w:jc w:val="center"/>
            </w:pPr>
            <w:r w:rsidRPr="00A62CD9">
              <w:t>-</w:t>
            </w:r>
          </w:p>
        </w:tc>
      </w:tr>
      <w:tr w:rsidR="00B76F98" w:rsidRPr="00A62CD9" w14:paraId="73026932" w14:textId="77777777" w:rsidTr="00370359">
        <w:trPr>
          <w:trHeight w:val="281"/>
        </w:trPr>
        <w:tc>
          <w:tcPr>
            <w:tcW w:w="1625" w:type="dxa"/>
          </w:tcPr>
          <w:p w14:paraId="786CD40A" w14:textId="77777777" w:rsidR="00B76F98" w:rsidRPr="00A62CD9" w:rsidRDefault="00B76F98" w:rsidP="007542F4">
            <w:pPr>
              <w:tabs>
                <w:tab w:val="left" w:pos="594"/>
              </w:tabs>
            </w:pPr>
            <w:r w:rsidRPr="00A62CD9">
              <w:tab/>
            </w:r>
            <w:proofErr w:type="spellStart"/>
            <w:r>
              <w:t>Unkn</w:t>
            </w:r>
            <w:proofErr w:type="spellEnd"/>
            <w:r w:rsidRPr="00A62CD9">
              <w:t xml:space="preserve"> </w:t>
            </w:r>
          </w:p>
        </w:tc>
        <w:tc>
          <w:tcPr>
            <w:tcW w:w="1052" w:type="dxa"/>
          </w:tcPr>
          <w:p w14:paraId="020F6EC9" w14:textId="77777777" w:rsidR="00B76F98" w:rsidRPr="00A62CD9" w:rsidRDefault="00B76F98" w:rsidP="007542F4">
            <w:pPr>
              <w:jc w:val="center"/>
            </w:pPr>
            <w:r w:rsidRPr="00A62CD9">
              <w:t>-</w:t>
            </w:r>
          </w:p>
        </w:tc>
        <w:tc>
          <w:tcPr>
            <w:tcW w:w="1098" w:type="dxa"/>
          </w:tcPr>
          <w:p w14:paraId="2519BEE8" w14:textId="77777777" w:rsidR="00B76F98" w:rsidRPr="00A62CD9" w:rsidRDefault="00B76F98" w:rsidP="007542F4">
            <w:pPr>
              <w:jc w:val="center"/>
            </w:pPr>
            <w:r w:rsidRPr="00A62CD9">
              <w:t>0.8250</w:t>
            </w:r>
            <w:r w:rsidRPr="00A62CD9">
              <w:rPr>
                <w:vertAlign w:val="superscript"/>
              </w:rPr>
              <w:t>*</w:t>
            </w:r>
          </w:p>
        </w:tc>
        <w:tc>
          <w:tcPr>
            <w:tcW w:w="1044" w:type="dxa"/>
          </w:tcPr>
          <w:p w14:paraId="67BD925D" w14:textId="77777777" w:rsidR="00B76F98" w:rsidRPr="00A62CD9" w:rsidRDefault="00B76F98" w:rsidP="007542F4">
            <w:pPr>
              <w:jc w:val="center"/>
            </w:pPr>
            <w:r w:rsidRPr="00A62CD9">
              <w:t>-</w:t>
            </w:r>
          </w:p>
        </w:tc>
        <w:tc>
          <w:tcPr>
            <w:tcW w:w="1073" w:type="dxa"/>
          </w:tcPr>
          <w:p w14:paraId="6EA4E096" w14:textId="77777777" w:rsidR="00B76F98" w:rsidRPr="00A62CD9" w:rsidRDefault="00B76F98" w:rsidP="007542F4">
            <w:pPr>
              <w:jc w:val="center"/>
            </w:pPr>
            <w:r w:rsidRPr="00A62CD9">
              <w:t>0.2050</w:t>
            </w:r>
          </w:p>
        </w:tc>
        <w:tc>
          <w:tcPr>
            <w:tcW w:w="1078" w:type="dxa"/>
          </w:tcPr>
          <w:p w14:paraId="4648BC6C" w14:textId="77777777" w:rsidR="00B76F98" w:rsidRPr="00A62CD9" w:rsidRDefault="00B76F98" w:rsidP="007542F4">
            <w:pPr>
              <w:jc w:val="center"/>
            </w:pPr>
            <w:r w:rsidRPr="00A62CD9">
              <w:t>-</w:t>
            </w:r>
          </w:p>
        </w:tc>
        <w:tc>
          <w:tcPr>
            <w:tcW w:w="1078" w:type="dxa"/>
          </w:tcPr>
          <w:p w14:paraId="6F7164A8" w14:textId="77777777" w:rsidR="00B76F98" w:rsidRPr="00A62CD9" w:rsidRDefault="00B76F98" w:rsidP="007542F4">
            <w:pPr>
              <w:jc w:val="center"/>
            </w:pPr>
            <w:r w:rsidRPr="00A62CD9">
              <w:t>-</w:t>
            </w:r>
          </w:p>
        </w:tc>
        <w:tc>
          <w:tcPr>
            <w:tcW w:w="1078" w:type="dxa"/>
          </w:tcPr>
          <w:p w14:paraId="6C2F70AC" w14:textId="77777777" w:rsidR="00B76F98" w:rsidRPr="00A62CD9" w:rsidRDefault="00B76F98" w:rsidP="007542F4">
            <w:pPr>
              <w:jc w:val="center"/>
            </w:pPr>
            <w:r w:rsidRPr="00A62CD9">
              <w:t>-</w:t>
            </w:r>
          </w:p>
        </w:tc>
      </w:tr>
      <w:tr w:rsidR="00B76F98" w:rsidRPr="00A62CD9" w14:paraId="473B95C3" w14:textId="77777777" w:rsidTr="00370359">
        <w:trPr>
          <w:trHeight w:val="291"/>
        </w:trPr>
        <w:tc>
          <w:tcPr>
            <w:tcW w:w="1625" w:type="dxa"/>
          </w:tcPr>
          <w:p w14:paraId="3E8AA6F7" w14:textId="77777777" w:rsidR="00B76F98" w:rsidRPr="00A62CD9" w:rsidRDefault="00B76F98" w:rsidP="007542F4">
            <w:r w:rsidRPr="00A62CD9">
              <w:t>Gender: Female</w:t>
            </w:r>
          </w:p>
        </w:tc>
        <w:tc>
          <w:tcPr>
            <w:tcW w:w="1052" w:type="dxa"/>
          </w:tcPr>
          <w:p w14:paraId="683418AF" w14:textId="77777777" w:rsidR="00B76F98" w:rsidRPr="00A62CD9" w:rsidRDefault="00B76F98" w:rsidP="007542F4">
            <w:pPr>
              <w:jc w:val="center"/>
            </w:pPr>
            <w:r w:rsidRPr="00A62CD9">
              <w:t>-0.107</w:t>
            </w:r>
            <w:r w:rsidRPr="00A62CD9">
              <w:rPr>
                <w:vertAlign w:val="superscript"/>
              </w:rPr>
              <w:t>*</w:t>
            </w:r>
          </w:p>
        </w:tc>
        <w:tc>
          <w:tcPr>
            <w:tcW w:w="1098" w:type="dxa"/>
          </w:tcPr>
          <w:p w14:paraId="31A3F24D" w14:textId="77777777" w:rsidR="00B76F98" w:rsidRPr="00A62CD9" w:rsidRDefault="00B76F98" w:rsidP="007542F4">
            <w:pPr>
              <w:jc w:val="center"/>
            </w:pPr>
            <w:r w:rsidRPr="00A62CD9">
              <w:t>-0.1340</w:t>
            </w:r>
            <w:r w:rsidRPr="00A62CD9">
              <w:rPr>
                <w:vertAlign w:val="superscript"/>
              </w:rPr>
              <w:t>*</w:t>
            </w:r>
          </w:p>
        </w:tc>
        <w:tc>
          <w:tcPr>
            <w:tcW w:w="1044" w:type="dxa"/>
          </w:tcPr>
          <w:p w14:paraId="7993500E" w14:textId="77777777" w:rsidR="00B76F98" w:rsidRPr="00A62CD9" w:rsidRDefault="00B76F98" w:rsidP="007542F4">
            <w:pPr>
              <w:jc w:val="center"/>
            </w:pPr>
            <w:r w:rsidRPr="00A62CD9">
              <w:t>-0.3281</w:t>
            </w:r>
            <w:r w:rsidRPr="00A62CD9">
              <w:rPr>
                <w:vertAlign w:val="superscript"/>
              </w:rPr>
              <w:t>*</w:t>
            </w:r>
          </w:p>
        </w:tc>
        <w:tc>
          <w:tcPr>
            <w:tcW w:w="1073" w:type="dxa"/>
          </w:tcPr>
          <w:p w14:paraId="2373325B" w14:textId="77777777" w:rsidR="00B76F98" w:rsidRPr="00A62CD9" w:rsidRDefault="00B76F98" w:rsidP="007542F4">
            <w:pPr>
              <w:jc w:val="center"/>
            </w:pPr>
            <w:r w:rsidRPr="00A62CD9">
              <w:t>-</w:t>
            </w:r>
          </w:p>
        </w:tc>
        <w:tc>
          <w:tcPr>
            <w:tcW w:w="1078" w:type="dxa"/>
          </w:tcPr>
          <w:p w14:paraId="155F9DE9" w14:textId="77777777" w:rsidR="00B76F98" w:rsidRPr="00A62CD9" w:rsidRDefault="00B76F98" w:rsidP="007542F4">
            <w:pPr>
              <w:jc w:val="center"/>
            </w:pPr>
            <w:r w:rsidRPr="00A62CD9">
              <w:t>-0.814</w:t>
            </w:r>
            <w:r w:rsidRPr="00A62CD9">
              <w:rPr>
                <w:vertAlign w:val="superscript"/>
              </w:rPr>
              <w:t>*</w:t>
            </w:r>
          </w:p>
        </w:tc>
        <w:tc>
          <w:tcPr>
            <w:tcW w:w="1078" w:type="dxa"/>
          </w:tcPr>
          <w:p w14:paraId="1039A6C0" w14:textId="77777777" w:rsidR="00B76F98" w:rsidRPr="00A62CD9" w:rsidRDefault="00B76F98" w:rsidP="007542F4">
            <w:pPr>
              <w:jc w:val="center"/>
            </w:pPr>
            <w:r w:rsidRPr="00A62CD9">
              <w:t>-0.510</w:t>
            </w:r>
            <w:r w:rsidRPr="00A62CD9">
              <w:rPr>
                <w:vertAlign w:val="superscript"/>
              </w:rPr>
              <w:t>*</w:t>
            </w:r>
          </w:p>
        </w:tc>
        <w:tc>
          <w:tcPr>
            <w:tcW w:w="1078" w:type="dxa"/>
          </w:tcPr>
          <w:p w14:paraId="0EBEC295" w14:textId="77777777" w:rsidR="00B76F98" w:rsidRPr="00A62CD9" w:rsidRDefault="00B76F98" w:rsidP="007542F4">
            <w:pPr>
              <w:jc w:val="center"/>
            </w:pPr>
            <w:r w:rsidRPr="00A62CD9">
              <w:t>-</w:t>
            </w:r>
          </w:p>
        </w:tc>
      </w:tr>
      <w:tr w:rsidR="00B76F98" w:rsidRPr="00A62CD9" w14:paraId="41FF813F" w14:textId="77777777" w:rsidTr="00370359">
        <w:trPr>
          <w:trHeight w:val="291"/>
        </w:trPr>
        <w:tc>
          <w:tcPr>
            <w:tcW w:w="1625" w:type="dxa"/>
          </w:tcPr>
          <w:p w14:paraId="53ED2631" w14:textId="77777777" w:rsidR="00B76F98" w:rsidRPr="00A62CD9" w:rsidRDefault="00B76F98" w:rsidP="007542F4">
            <w:r w:rsidRPr="00A62CD9">
              <w:t>Age</w:t>
            </w:r>
          </w:p>
        </w:tc>
        <w:tc>
          <w:tcPr>
            <w:tcW w:w="1052" w:type="dxa"/>
          </w:tcPr>
          <w:p w14:paraId="4BDF0329" w14:textId="77777777" w:rsidR="00B76F98" w:rsidRPr="00A62CD9" w:rsidRDefault="00B76F98" w:rsidP="007542F4">
            <w:pPr>
              <w:jc w:val="center"/>
            </w:pPr>
            <w:r w:rsidRPr="00A62CD9">
              <w:t>-</w:t>
            </w:r>
          </w:p>
        </w:tc>
        <w:tc>
          <w:tcPr>
            <w:tcW w:w="1098" w:type="dxa"/>
          </w:tcPr>
          <w:p w14:paraId="4589222C" w14:textId="77777777" w:rsidR="00B76F98" w:rsidRPr="00A62CD9" w:rsidRDefault="00B76F98" w:rsidP="007542F4">
            <w:pPr>
              <w:jc w:val="center"/>
            </w:pPr>
            <w:r w:rsidRPr="00A62CD9">
              <w:t>-</w:t>
            </w:r>
          </w:p>
        </w:tc>
        <w:tc>
          <w:tcPr>
            <w:tcW w:w="1044" w:type="dxa"/>
          </w:tcPr>
          <w:p w14:paraId="38F0C980" w14:textId="77777777" w:rsidR="00B76F98" w:rsidRPr="00A62CD9" w:rsidRDefault="00B76F98" w:rsidP="007542F4">
            <w:pPr>
              <w:jc w:val="center"/>
            </w:pPr>
            <w:r w:rsidRPr="00A62CD9">
              <w:t>-0.0233</w:t>
            </w:r>
            <w:r w:rsidRPr="00A62CD9">
              <w:rPr>
                <w:vertAlign w:val="superscript"/>
              </w:rPr>
              <w:t>*</w:t>
            </w:r>
          </w:p>
        </w:tc>
        <w:tc>
          <w:tcPr>
            <w:tcW w:w="1073" w:type="dxa"/>
          </w:tcPr>
          <w:p w14:paraId="086F1356" w14:textId="77777777" w:rsidR="00B76F98" w:rsidRPr="00A62CD9" w:rsidRDefault="00B76F98" w:rsidP="007542F4">
            <w:pPr>
              <w:jc w:val="center"/>
            </w:pPr>
            <w:r w:rsidRPr="00A62CD9">
              <w:t>-</w:t>
            </w:r>
          </w:p>
        </w:tc>
        <w:tc>
          <w:tcPr>
            <w:tcW w:w="1078" w:type="dxa"/>
          </w:tcPr>
          <w:p w14:paraId="284589EF" w14:textId="77777777" w:rsidR="00B76F98" w:rsidRPr="00A62CD9" w:rsidRDefault="00B76F98" w:rsidP="007542F4">
            <w:pPr>
              <w:jc w:val="center"/>
            </w:pPr>
            <w:r w:rsidRPr="00A62CD9">
              <w:t>-0.044</w:t>
            </w:r>
            <w:r w:rsidRPr="00A62CD9">
              <w:rPr>
                <w:vertAlign w:val="superscript"/>
              </w:rPr>
              <w:t>*</w:t>
            </w:r>
          </w:p>
        </w:tc>
        <w:tc>
          <w:tcPr>
            <w:tcW w:w="1078" w:type="dxa"/>
          </w:tcPr>
          <w:p w14:paraId="0EC95870" w14:textId="77777777" w:rsidR="00B76F98" w:rsidRPr="00A62CD9" w:rsidRDefault="00B76F98" w:rsidP="007542F4">
            <w:pPr>
              <w:jc w:val="center"/>
            </w:pPr>
            <w:r w:rsidRPr="00A62CD9">
              <w:t>-</w:t>
            </w:r>
          </w:p>
        </w:tc>
        <w:tc>
          <w:tcPr>
            <w:tcW w:w="1078" w:type="dxa"/>
          </w:tcPr>
          <w:p w14:paraId="5D528685" w14:textId="77777777" w:rsidR="00B76F98" w:rsidRPr="00A62CD9" w:rsidRDefault="00B76F98" w:rsidP="007542F4">
            <w:pPr>
              <w:jc w:val="center"/>
            </w:pPr>
            <w:r w:rsidRPr="00A62CD9">
              <w:t>-</w:t>
            </w:r>
          </w:p>
        </w:tc>
      </w:tr>
    </w:tbl>
    <w:p w14:paraId="6CFA5EE8" w14:textId="3AE026F0" w:rsidR="00B76F98" w:rsidRDefault="00B76F98" w:rsidP="007542F4">
      <w:pPr>
        <w:spacing w:line="480" w:lineRule="auto"/>
        <w:ind w:right="4886"/>
        <w:jc w:val="both"/>
        <w:rPr>
          <w:sz w:val="18"/>
          <w:szCs w:val="18"/>
        </w:rPr>
      </w:pPr>
      <w:r w:rsidRPr="00E70A58">
        <w:rPr>
          <w:sz w:val="18"/>
          <w:szCs w:val="18"/>
          <w:vertAlign w:val="superscript"/>
        </w:rPr>
        <w:t>*</w:t>
      </w:r>
      <w:r w:rsidRPr="00E70A58">
        <w:rPr>
          <w:sz w:val="18"/>
          <w:szCs w:val="18"/>
        </w:rPr>
        <w:t xml:space="preserve"> Significant at alpha level of 0.05; </w:t>
      </w:r>
      <w:r w:rsidRPr="00E70A58">
        <w:rPr>
          <w:sz w:val="18"/>
          <w:szCs w:val="18"/>
          <w:vertAlign w:val="superscript"/>
        </w:rPr>
        <w:t xml:space="preserve">+ </w:t>
      </w:r>
      <w:r w:rsidRPr="00E70A58">
        <w:rPr>
          <w:sz w:val="18"/>
          <w:szCs w:val="18"/>
        </w:rPr>
        <w:t xml:space="preserve">p-value / CI not reported; Carb. D, Carboplatin doublets, compared to Cisplatin doublets; PS, ECOG performance status (Bad i.e., 2 or higher, </w:t>
      </w:r>
      <w:proofErr w:type="spellStart"/>
      <w:r w:rsidRPr="00E70A58">
        <w:rPr>
          <w:sz w:val="18"/>
          <w:szCs w:val="18"/>
        </w:rPr>
        <w:t>Unkn</w:t>
      </w:r>
      <w:proofErr w:type="spellEnd"/>
      <w:r w:rsidRPr="00E70A58">
        <w:rPr>
          <w:sz w:val="18"/>
          <w:szCs w:val="18"/>
        </w:rPr>
        <w:t xml:space="preserve"> – unknown PS, compared to good i.e., 0 – 1); Age, age at diagnosis was measured in years; </w:t>
      </w:r>
      <w:r w:rsidRPr="00E70A58">
        <w:rPr>
          <w:sz w:val="18"/>
          <w:szCs w:val="18"/>
          <w:vertAlign w:val="superscript"/>
        </w:rPr>
        <w:t xml:space="preserve">a </w:t>
      </w:r>
      <w:r w:rsidRPr="00E70A58">
        <w:rPr>
          <w:sz w:val="18"/>
          <w:szCs w:val="18"/>
        </w:rPr>
        <w:t xml:space="preserve">Fitted as sub-distribution model. </w:t>
      </w:r>
      <w:r w:rsidRPr="00E70A58">
        <w:rPr>
          <w:sz w:val="18"/>
          <w:szCs w:val="18"/>
          <w:vertAlign w:val="superscript"/>
        </w:rPr>
        <w:t>b</w:t>
      </w:r>
      <w:r w:rsidRPr="00E70A58">
        <w:rPr>
          <w:sz w:val="18"/>
          <w:szCs w:val="18"/>
        </w:rPr>
        <w:t xml:space="preserve"> fitted as parametric multistate</w:t>
      </w:r>
      <w:r>
        <w:rPr>
          <w:sz w:val="18"/>
          <w:szCs w:val="18"/>
        </w:rPr>
        <w:t xml:space="preserve"> </w:t>
      </w:r>
      <w:r w:rsidRPr="00E70A58">
        <w:rPr>
          <w:sz w:val="18"/>
          <w:szCs w:val="18"/>
        </w:rPr>
        <w:t>statistical model (par MSSM).</w:t>
      </w:r>
      <w:r>
        <w:rPr>
          <w:sz w:val="18"/>
          <w:szCs w:val="18"/>
        </w:rPr>
        <w:br w:type="page"/>
      </w:r>
    </w:p>
    <w:p w14:paraId="0C9F7DEF" w14:textId="77777777" w:rsidR="00B76F98" w:rsidRPr="00F21B54" w:rsidRDefault="00B76F98" w:rsidP="00CD4B0D">
      <w:pPr>
        <w:spacing w:line="480" w:lineRule="auto"/>
        <w:rPr>
          <w:rFonts w:ascii="Calibri" w:eastAsia="Calibri" w:hAnsi="Calibri" w:cs="Times New Roman"/>
          <w:lang w:val="en-GB"/>
        </w:rPr>
      </w:pPr>
      <w:r w:rsidRPr="00F21B54">
        <w:rPr>
          <w:rFonts w:ascii="Calibri" w:eastAsia="Calibri" w:hAnsi="Calibri" w:cs="Times New Roman"/>
          <w:lang w:val="en-GB"/>
        </w:rPr>
        <w:lastRenderedPageBreak/>
        <w:t>Table A</w:t>
      </w:r>
      <w:r>
        <w:rPr>
          <w:rFonts w:ascii="Calibri" w:eastAsia="Calibri" w:hAnsi="Calibri" w:cs="Times New Roman"/>
          <w:lang w:val="en-GB"/>
        </w:rPr>
        <w:t>8</w:t>
      </w:r>
      <w:r w:rsidRPr="00F21B54">
        <w:rPr>
          <w:rFonts w:ascii="Calibri" w:eastAsia="Calibri" w:hAnsi="Calibri" w:cs="Times New Roman"/>
          <w:lang w:val="en-GB"/>
        </w:rPr>
        <w:t>. Comparison of real-world, RCT, and modelled survival estimates</w:t>
      </w:r>
    </w:p>
    <w:tbl>
      <w:tblPr>
        <w:tblStyle w:val="TableGrid4"/>
        <w:tblW w:w="12895" w:type="dxa"/>
        <w:tblLook w:val="04A0" w:firstRow="1" w:lastRow="0" w:firstColumn="1" w:lastColumn="0" w:noHBand="0" w:noVBand="1"/>
      </w:tblPr>
      <w:tblGrid>
        <w:gridCol w:w="1572"/>
        <w:gridCol w:w="1677"/>
        <w:gridCol w:w="1849"/>
        <w:gridCol w:w="1843"/>
        <w:gridCol w:w="2835"/>
        <w:gridCol w:w="1559"/>
        <w:gridCol w:w="1560"/>
      </w:tblGrid>
      <w:tr w:rsidR="00B76F98" w:rsidRPr="00F40075" w14:paraId="7CC053E4" w14:textId="77777777" w:rsidTr="00370359">
        <w:tc>
          <w:tcPr>
            <w:tcW w:w="1572" w:type="dxa"/>
          </w:tcPr>
          <w:p w14:paraId="5DAF0174" w14:textId="77777777" w:rsidR="00B76F98" w:rsidRPr="00F40075" w:rsidRDefault="00B76F98" w:rsidP="00C62DFE">
            <w:pPr>
              <w:rPr>
                <w:rFonts w:ascii="Calibri" w:eastAsia="Calibri" w:hAnsi="Calibri" w:cs="Times New Roman"/>
                <w:lang w:val="en-GB"/>
              </w:rPr>
            </w:pPr>
          </w:p>
        </w:tc>
        <w:tc>
          <w:tcPr>
            <w:tcW w:w="5369" w:type="dxa"/>
            <w:gridSpan w:val="3"/>
          </w:tcPr>
          <w:p w14:paraId="1DD7B1DC" w14:textId="77777777" w:rsidR="00B76F98" w:rsidRPr="00F40075" w:rsidRDefault="00B76F98">
            <w:pPr>
              <w:jc w:val="center"/>
              <w:rPr>
                <w:rFonts w:ascii="Calibri" w:eastAsia="Calibri" w:hAnsi="Calibri" w:cs="Times New Roman"/>
                <w:lang w:val="en-GB"/>
              </w:rPr>
            </w:pPr>
            <w:r w:rsidRPr="00F40075">
              <w:rPr>
                <w:rFonts w:ascii="Calibri" w:eastAsia="Calibri" w:hAnsi="Calibri" w:cs="Times New Roman"/>
                <w:lang w:val="en-GB"/>
              </w:rPr>
              <w:t>Real-world</w:t>
            </w:r>
          </w:p>
        </w:tc>
        <w:tc>
          <w:tcPr>
            <w:tcW w:w="2835" w:type="dxa"/>
          </w:tcPr>
          <w:p w14:paraId="76CEFBEB" w14:textId="77777777" w:rsidR="00B76F98" w:rsidRPr="00F40075" w:rsidRDefault="00B76F98">
            <w:pPr>
              <w:jc w:val="center"/>
              <w:rPr>
                <w:rFonts w:ascii="Calibri" w:eastAsia="Calibri" w:hAnsi="Calibri" w:cs="Times New Roman"/>
                <w:lang w:val="en-GB"/>
              </w:rPr>
            </w:pPr>
            <w:r w:rsidRPr="00F40075">
              <w:rPr>
                <w:rFonts w:ascii="Calibri" w:eastAsia="Calibri" w:hAnsi="Calibri" w:cs="Times New Roman"/>
                <w:lang w:val="en-GB"/>
              </w:rPr>
              <w:t>RCT</w:t>
            </w:r>
          </w:p>
        </w:tc>
        <w:tc>
          <w:tcPr>
            <w:tcW w:w="3119" w:type="dxa"/>
            <w:gridSpan w:val="2"/>
          </w:tcPr>
          <w:p w14:paraId="7DA34CA5" w14:textId="77777777" w:rsidR="00B76F98" w:rsidRPr="00F40075" w:rsidRDefault="00B76F98">
            <w:pPr>
              <w:jc w:val="center"/>
              <w:rPr>
                <w:rFonts w:ascii="Calibri" w:eastAsia="Calibri" w:hAnsi="Calibri" w:cs="Times New Roman"/>
                <w:lang w:val="en-GB"/>
              </w:rPr>
            </w:pPr>
            <w:r w:rsidRPr="00F40075">
              <w:rPr>
                <w:rFonts w:ascii="Calibri" w:eastAsia="Calibri" w:hAnsi="Calibri" w:cs="Times New Roman"/>
                <w:lang w:val="en-GB"/>
              </w:rPr>
              <w:t>Modelled</w:t>
            </w:r>
          </w:p>
        </w:tc>
      </w:tr>
      <w:tr w:rsidR="00B76F98" w:rsidRPr="00F40075" w14:paraId="6E12402D" w14:textId="77777777" w:rsidTr="00370359">
        <w:tc>
          <w:tcPr>
            <w:tcW w:w="1572" w:type="dxa"/>
          </w:tcPr>
          <w:p w14:paraId="795F5F11" w14:textId="77777777" w:rsidR="00B76F98" w:rsidRPr="00F40075" w:rsidRDefault="00B76F98" w:rsidP="00C62DFE">
            <w:pPr>
              <w:rPr>
                <w:rFonts w:ascii="Calibri" w:eastAsia="Calibri" w:hAnsi="Calibri" w:cs="Times New Roman"/>
                <w:lang w:val="en-GB"/>
              </w:rPr>
            </w:pPr>
          </w:p>
        </w:tc>
        <w:tc>
          <w:tcPr>
            <w:tcW w:w="1677" w:type="dxa"/>
          </w:tcPr>
          <w:p w14:paraId="5ACEF826" w14:textId="77777777" w:rsidR="00B76F98" w:rsidRPr="00F40075" w:rsidRDefault="00B76F98">
            <w:pPr>
              <w:rPr>
                <w:rFonts w:ascii="Calibri" w:eastAsia="Calibri" w:hAnsi="Calibri" w:cs="Times New Roman"/>
                <w:lang w:val="en-GB"/>
              </w:rPr>
            </w:pPr>
            <w:r w:rsidRPr="00F40075">
              <w:rPr>
                <w:rFonts w:ascii="Calibri" w:eastAsia="Calibri" w:hAnsi="Calibri" w:cs="Times New Roman"/>
                <w:lang w:val="en-GB"/>
              </w:rPr>
              <w:t>Netherlands</w:t>
            </w:r>
          </w:p>
        </w:tc>
        <w:tc>
          <w:tcPr>
            <w:tcW w:w="3692" w:type="dxa"/>
            <w:gridSpan w:val="2"/>
          </w:tcPr>
          <w:p w14:paraId="5112B613" w14:textId="77777777" w:rsidR="00B76F98" w:rsidRPr="00F40075" w:rsidRDefault="00B76F98">
            <w:pPr>
              <w:jc w:val="center"/>
              <w:rPr>
                <w:rFonts w:ascii="Calibri" w:eastAsia="Calibri" w:hAnsi="Calibri" w:cs="Times New Roman"/>
                <w:lang w:val="en-GB"/>
              </w:rPr>
            </w:pPr>
            <w:r w:rsidRPr="00F40075">
              <w:rPr>
                <w:rFonts w:ascii="Calibri" w:eastAsia="Calibri" w:hAnsi="Calibri" w:cs="Times New Roman"/>
                <w:lang w:val="en-GB"/>
              </w:rPr>
              <w:t>US</w:t>
            </w:r>
          </w:p>
        </w:tc>
        <w:tc>
          <w:tcPr>
            <w:tcW w:w="2835" w:type="dxa"/>
          </w:tcPr>
          <w:p w14:paraId="55DFE2CC" w14:textId="77777777" w:rsidR="00B76F98" w:rsidRPr="00F40075" w:rsidRDefault="00B76F98">
            <w:pPr>
              <w:rPr>
                <w:rFonts w:ascii="Calibri" w:eastAsia="Calibri" w:hAnsi="Calibri" w:cs="Times New Roman"/>
                <w:lang w:val="en-GB"/>
              </w:rPr>
            </w:pPr>
          </w:p>
        </w:tc>
        <w:tc>
          <w:tcPr>
            <w:tcW w:w="1559" w:type="dxa"/>
          </w:tcPr>
          <w:p w14:paraId="090C9B88" w14:textId="77777777" w:rsidR="00B76F98" w:rsidRPr="00F40075" w:rsidRDefault="00B76F98">
            <w:pPr>
              <w:rPr>
                <w:rFonts w:ascii="Calibri" w:eastAsia="Calibri" w:hAnsi="Calibri" w:cs="Times New Roman"/>
                <w:lang w:val="en-GB"/>
              </w:rPr>
            </w:pPr>
          </w:p>
        </w:tc>
        <w:tc>
          <w:tcPr>
            <w:tcW w:w="1560" w:type="dxa"/>
          </w:tcPr>
          <w:p w14:paraId="43B767B4" w14:textId="77777777" w:rsidR="00B76F98" w:rsidRPr="00F40075" w:rsidRDefault="00B76F98">
            <w:pPr>
              <w:rPr>
                <w:rFonts w:ascii="Calibri" w:eastAsia="Calibri" w:hAnsi="Calibri" w:cs="Times New Roman"/>
                <w:lang w:val="en-GB"/>
              </w:rPr>
            </w:pPr>
          </w:p>
        </w:tc>
      </w:tr>
      <w:tr w:rsidR="00B76F98" w:rsidRPr="00F40075" w14:paraId="2FC29E6A" w14:textId="77777777" w:rsidTr="00370359">
        <w:tc>
          <w:tcPr>
            <w:tcW w:w="1572" w:type="dxa"/>
          </w:tcPr>
          <w:p w14:paraId="4D34EBBE" w14:textId="77777777" w:rsidR="00B76F98" w:rsidRPr="00F40075" w:rsidRDefault="00B76F98" w:rsidP="00C62DFE">
            <w:pPr>
              <w:rPr>
                <w:rFonts w:ascii="Calibri" w:eastAsia="Calibri" w:hAnsi="Calibri" w:cs="Times New Roman"/>
                <w:lang w:val="en-GB"/>
              </w:rPr>
            </w:pPr>
          </w:p>
        </w:tc>
        <w:tc>
          <w:tcPr>
            <w:tcW w:w="1677" w:type="dxa"/>
          </w:tcPr>
          <w:p w14:paraId="0244B95C" w14:textId="4528CF45" w:rsidR="00B76F98" w:rsidRPr="007542F4" w:rsidRDefault="00B76F98" w:rsidP="00C62DFE">
            <w:pPr>
              <w:rPr>
                <w:rFonts w:ascii="Calibri" w:eastAsia="Calibri" w:hAnsi="Calibri" w:cs="Times New Roman"/>
                <w:sz w:val="18"/>
                <w:szCs w:val="18"/>
                <w:lang w:val="en-GB"/>
              </w:rPr>
            </w:pPr>
            <w:r w:rsidRPr="007542F4">
              <w:rPr>
                <w:rFonts w:ascii="Calibri" w:eastAsia="Calibri" w:hAnsi="Calibri" w:cs="Times New Roman"/>
                <w:sz w:val="18"/>
                <w:szCs w:val="18"/>
                <w:lang w:val="en-GB"/>
              </w:rPr>
              <w:fldChar w:fldCharType="begin" w:fldLock="1"/>
            </w:r>
            <w:r w:rsidR="00315CD2">
              <w:rPr>
                <w:rFonts w:ascii="Calibri" w:eastAsia="Calibri" w:hAnsi="Calibri" w:cs="Times New Roman"/>
                <w:sz w:val="18"/>
                <w:szCs w:val="18"/>
                <w:lang w:val="en-GB"/>
              </w:rPr>
              <w:instrText>ADDIN CSL_CITATION {"citationItems":[{"id":"ITEM-1","itemData":{"DOI":"10.1038/s41598-021-85696-3","ISSN":"2045-2322","abstract":"This study aims to assess how clinical outcomes of immunotherapy in real-world (effectiveness) correspond to outcomes in clinical trials (efficacy) and to look into factors that might explain an efficacy-effectiveness (EE) gap. All patients diagnosed with stage IV non-small cell lung cancer (NSCLC) in 2015–2018 in six Dutch large teaching hospitals (Santeon network) were identified and followed-up from date of diagnosis until death or end of data collection. Progression-free survival (PFS) and overall survival (OS) from first-line (1L) pembrolizumab and second-line (2L) nivolumab were compared with clinical trial data by calculating hazard ratios (HRs). From 1950 diagnosed patients, 1005 (52%) started with any 1L treatment, of which 83 received pembrolizumab. Nivolumab was started as 2L treatment in 141 patients. For both settings, PFS times were comparable between real-world and trials (HR 1.08 (95% CI 0.75–1.55), and HR 0.91 (95% CI 0.74–1.14), respectively). OS was significantly shorter in real-world for 1L pembrolizumab (HR 1.55; 95% CI 1.07–2.25). Receiving subsequent lines of treatment was less frequent in real-world compared to trials. There is no EE gap for PFS from immunotherapy in patients with stage IV NSCLC. However, there is a gap in OS for 1L pembrolizumab. Fewer patients proceeding to a subsequent line of treatment in real-world could partly explain this.","author":[{"dropping-particle":"","family":"Cramer-van der Welle","given":"Christine M.","non-dropping-particle":"","parse-names":false,"suffix":""},{"dropping-particle":"V.","family":"Verschueren","given":"Marjon","non-dropping-particle":"","parse-names":false,"suffix":""},{"dropping-particle":"","family":"Tonn","given":"Merel","non-dropping-particle":"","parse-names":false,"suffix":""},{"dropping-particle":"","family":"Peters","given":"Bas J. M.","non-dropping-particle":"","parse-names":false,"suffix":""},{"dropping-particle":"","family":"Schramel","given":"Franz M. N. H.","non-dropping-particle":"","parse-names":false,"suffix":""},{"dropping-particle":"","family":"Klungel","given":"Olaf H.","non-dropping-particle":"","parse-names":false,"suffix":""},{"dropping-particle":"","family":"Groen","given":"Harry J. M.","non-dropping-particle":"","parse-names":false,"suffix":""},{"dropping-particle":"","family":"Garde","given":"Ewoudt M. W.","non-dropping-particle":"van de","parse-names":false,"suffix":""}],"container-title":"Scientific Reports","id":"ITEM-1","issue":"1","issued":{"date-parts":[["2021","12","18"]]},"page":"6306","title":"Real-world outcomes versus clinical trial results of immunotherapy in stage IV non-small cell lung cancer (NSCLC) in the Netherlands","type":"article-journal","volume":"11"},"uris":["http://www.mendeley.com/documents/?uuid=26c94cd8-f844-3a68-9129-dfdc84abd40a"]}],"mendeley":{"formattedCitation":"[16]","plainTextFormattedCitation":"[16]","previouslyFormattedCitation":"[16]"},"properties":{"noteIndex":0},"schema":"https://github.com/citation-style-language/schema/raw/master/csl-citation.json"}</w:instrText>
            </w:r>
            <w:r w:rsidRPr="007542F4">
              <w:rPr>
                <w:rFonts w:ascii="Calibri" w:eastAsia="Calibri" w:hAnsi="Calibri" w:cs="Times New Roman"/>
                <w:sz w:val="18"/>
                <w:szCs w:val="18"/>
                <w:lang w:val="en-GB"/>
              </w:rPr>
              <w:fldChar w:fldCharType="separate"/>
            </w:r>
            <w:r w:rsidR="009F237B" w:rsidRPr="009F237B">
              <w:rPr>
                <w:rFonts w:ascii="Calibri" w:eastAsia="Calibri" w:hAnsi="Calibri" w:cs="Times New Roman"/>
                <w:noProof/>
                <w:sz w:val="18"/>
                <w:szCs w:val="18"/>
                <w:lang w:val="en-GB"/>
              </w:rPr>
              <w:t>[16]</w:t>
            </w:r>
            <w:r w:rsidRPr="007542F4">
              <w:rPr>
                <w:rFonts w:ascii="Calibri" w:eastAsia="Calibri" w:hAnsi="Calibri" w:cs="Times New Roman"/>
                <w:sz w:val="18"/>
                <w:szCs w:val="18"/>
                <w:lang w:val="en-GB"/>
              </w:rPr>
              <w:fldChar w:fldCharType="end"/>
            </w:r>
          </w:p>
        </w:tc>
        <w:tc>
          <w:tcPr>
            <w:tcW w:w="1849" w:type="dxa"/>
          </w:tcPr>
          <w:p w14:paraId="2187B007" w14:textId="04CEAEB1" w:rsidR="00B76F98" w:rsidRPr="007542F4" w:rsidRDefault="00B76F98" w:rsidP="00C62DFE">
            <w:pPr>
              <w:rPr>
                <w:rFonts w:ascii="Calibri" w:eastAsia="Calibri" w:hAnsi="Calibri" w:cs="Times New Roman"/>
                <w:sz w:val="18"/>
                <w:szCs w:val="18"/>
                <w:vertAlign w:val="superscript"/>
                <w:lang w:val="en-GB"/>
              </w:rPr>
            </w:pPr>
            <w:r w:rsidRPr="007542F4">
              <w:rPr>
                <w:rFonts w:ascii="Calibri" w:eastAsia="Calibri" w:hAnsi="Calibri" w:cs="Times New Roman"/>
                <w:sz w:val="18"/>
                <w:szCs w:val="18"/>
                <w:lang w:val="en-GB"/>
              </w:rPr>
              <w:fldChar w:fldCharType="begin" w:fldLock="1"/>
            </w:r>
            <w:r w:rsidR="00315CD2">
              <w:rPr>
                <w:rFonts w:ascii="Calibri" w:eastAsia="Calibri" w:hAnsi="Calibri" w:cs="Times New Roman"/>
                <w:sz w:val="18"/>
                <w:szCs w:val="18"/>
                <w:lang w:val="en-GB"/>
              </w:rPr>
              <w:instrText>ADDIN CSL_CITATION {"citationItems":[{"id":"ITEM-1","itemData":{"DOI":"10.1038/s41598-021-88453-8","ISSN":"2045-2322","abstract":"Evidence from real-world clinical settings is lacking with regard to first-line immunotherapy plus chemotherapy for the treatment of non-small cell lung cancer (NSCLC). Our aim was to describe outcomes for patients treated with first-line pembrolizumab-combination therapy for metastatic nonsquamous NSCLC in US oncology practices. Using an anonymized, nationwide electronic health record-derived database, we identified patients who initiated pembrolizumab plus pemetrexed-carboplatin in the first-line setting (May 2017 to August 2018) after diagnosis of metastatic nonsquamous NSCLC that tested negative for EGFR and ALK genomic aberrations. Eligible patients had ECOG performance status of 0–1. An enhanced manual chart review was used to collect outcome information. Time-to-event analyses were performed using the Kaplan–Meier method. Of 283 eligible patients, 168 (59%) were male; median age was 66 years (range 33–84); and the proportions of patients with PD-L1 tumor proportion score (TPS) of ≥ 50%, 1–49%, &lt; 1%, and unknown were 28%, 27%, 28%, and 17%, respectively. At data cutoff on August 31, 2019, median patient follow-up was 20.3 months (range 12–28 months), and median real-world times on treatment (rwToT) with pembrolizumab and pemetrexed were 5.6 (95% CI 4.5–6.4) and 2.8 months (95% CI 2.2–3.5), respectively. Median overall survival (OS) was 16.5 months (95% CI 13.2–20.6); estimated 12-month survival was 59.5% (95% CI 53.3–65.0); rwProgression-free survival was 6.4 months (95% CI 5.4–7.8); and rwTumor response rate (complete or partial response) was 56.5% (95% CI 50.5–62.4). Median OS was 20.6, 16.3, 13.2, and 13.7 months for patient cohorts with PD-L1 TPS ≥ 50%, 1–49%, &lt; 1%, and unknown, respectively. These findings demonstrate the effectiveness of pembrolizumab plus pemetrexed-carboplatin by describing clinical outcomes among patients with metastatic nonsquamous NSCLC who were treated at US oncology practices.","author":[{"dropping-particle":"","family":"Velcheti","given":"Vamsidhar","non-dropping-particle":"","parse-names":false,"suffix":""},{"dropping-particle":"","family":"Hu","given":"Xiaohan","non-dropping-particle":"","parse-names":false,"suffix":""},{"dropping-particle":"","family":"Piperdi","given":"Bilal","non-dropping-particle":"","parse-names":false,"suffix":""},{"dropping-particle":"","family":"Burke","given":"Thomas","non-dropping-particle":"","parse-names":false,"suffix":""}],"container-title":"Scientific Reports","id":"ITEM-1","issue":"1","issued":{"date-parts":[["2021","12","28"]]},"page":"9222","publisher":"Nature Research","title":"Real-world outcomes of first-line pembrolizumab plus pemetrexed-carboplatin for metastatic nonsquamous NSCLC at US oncology practices","type":"article-journal","volume":"11"},"uris":["http://www.mendeley.com/documents/?uuid=94382400-a30b-38e5-8f6c-d2a28c531ddd"]}],"mendeley":{"formattedCitation":"[18]","plainTextFormattedCitation":"[18]","previouslyFormattedCitation":"[18]"},"properties":{"noteIndex":0},"schema":"https://github.com/citation-style-language/schema/raw/master/csl-citation.json"}</w:instrText>
            </w:r>
            <w:r w:rsidRPr="007542F4">
              <w:rPr>
                <w:rFonts w:ascii="Calibri" w:eastAsia="Calibri" w:hAnsi="Calibri" w:cs="Times New Roman"/>
                <w:sz w:val="18"/>
                <w:szCs w:val="18"/>
                <w:lang w:val="en-GB"/>
              </w:rPr>
              <w:fldChar w:fldCharType="separate"/>
            </w:r>
            <w:r w:rsidR="009F237B" w:rsidRPr="009F237B">
              <w:rPr>
                <w:rFonts w:ascii="Calibri" w:eastAsia="Calibri" w:hAnsi="Calibri" w:cs="Times New Roman"/>
                <w:noProof/>
                <w:sz w:val="18"/>
                <w:szCs w:val="18"/>
                <w:lang w:val="en-GB"/>
              </w:rPr>
              <w:t>[18]</w:t>
            </w:r>
            <w:r w:rsidRPr="007542F4">
              <w:rPr>
                <w:rFonts w:ascii="Calibri" w:eastAsia="Calibri" w:hAnsi="Calibri" w:cs="Times New Roman"/>
                <w:sz w:val="18"/>
                <w:szCs w:val="18"/>
                <w:lang w:val="en-GB"/>
              </w:rPr>
              <w:fldChar w:fldCharType="end"/>
            </w:r>
            <w:r w:rsidR="00536FCE">
              <w:rPr>
                <w:rFonts w:ascii="Calibri" w:eastAsia="Calibri" w:hAnsi="Calibri" w:cs="Times New Roman"/>
                <w:sz w:val="18"/>
                <w:szCs w:val="18"/>
                <w:vertAlign w:val="superscript"/>
                <w:lang w:val="en-GB"/>
              </w:rPr>
              <w:t>a</w:t>
            </w:r>
          </w:p>
        </w:tc>
        <w:tc>
          <w:tcPr>
            <w:tcW w:w="1843" w:type="dxa"/>
          </w:tcPr>
          <w:p w14:paraId="6D78B976" w14:textId="776F500D" w:rsidR="00B76F98" w:rsidRPr="007542F4" w:rsidRDefault="00B76F98" w:rsidP="00C62DFE">
            <w:pPr>
              <w:rPr>
                <w:rFonts w:ascii="Calibri" w:eastAsia="Calibri" w:hAnsi="Calibri" w:cs="Times New Roman"/>
                <w:sz w:val="18"/>
                <w:szCs w:val="18"/>
                <w:lang w:val="en-GB"/>
              </w:rPr>
            </w:pPr>
            <w:r w:rsidRPr="007542F4">
              <w:rPr>
                <w:rFonts w:ascii="Calibri" w:eastAsia="Calibri" w:hAnsi="Calibri" w:cs="Times New Roman"/>
                <w:sz w:val="18"/>
                <w:szCs w:val="18"/>
                <w:lang w:val="en-GB"/>
              </w:rPr>
              <w:fldChar w:fldCharType="begin" w:fldLock="1"/>
            </w:r>
            <w:r w:rsidR="00315CD2">
              <w:rPr>
                <w:rFonts w:ascii="Calibri" w:eastAsia="Calibri" w:hAnsi="Calibri" w:cs="Times New Roman"/>
                <w:sz w:val="18"/>
                <w:szCs w:val="18"/>
                <w:lang w:val="en-GB"/>
              </w:rPr>
              <w:instrText>ADDIN CSL_CITATION {"citationItems":[{"id":"ITEM-1","itemData":{"DOI":"10.1016/j.lungcan.2021.04.007","ISSN":"18728332","abstract":"Background: First-line (1L) immunotherapy (I-O) has improved outcomes in patients with advanced non-small cell lung cancer (NSCLC) in clinical trials and is now routinely used alone or combined with chemotherapy. Although efficacy and safety of I-O therapies have been established in clinical trials, little is known about their performance and long-term efficacy in the real-world setting. We aimed to characterize real-world outcomes for patients with advanced NSCLC treated with 1L I-O therapy in the United States. Methods: Patients aged ≥18 years with confirmed advanced (stage III–IV) NSCLC who received either 1L I-O monotherapy or single-agent I-O combined with chemotherapy on or after January 1, 2016 were identified from the Flatiron Health database. Primary objectives were to examine overall survival (OS) and real-world progression-free survival. Index date was defined as date of 1L treatment initiation; data cut-off date was June 30, 2020. Results: Among 4271 patients receiving I-O plus chemotherapy, median OS was 10.6 (95 % confidence interval [CI], 9.3–11.8) months in patients with squamous NSCLC (n=814) and 12.0 (95 % CI, 11.3–12.8) months in those with non-squamous disease (n=3457). Regardless of histology, patients with high (≥50 %) tumor programmed death ligand 1 (PD-L1) expression demonstrated longer median OS vs those with low expression. Among 3041 patients receiving I-O monotherapy, median OS was 11.3 (95 % CI, 9.8–12.8) months in patients with squamous NSCLC (n=875) and 14.1 (95 % CI, 12.4–15.8) months in those with non-squamous disease (n=2166). OS benefit appeared to be greatest in the ≥50 % tumor PD-L1 expression group of the non-squamous cohort. Conclusion: Survival estimates were generally lower than those reported in pivotal clinical trials. These findings indicate that there remains room for improvement of real-world survival outcomes in patients with advanced NSCLC who receive 1L I-O–based regimens and for identification of subgroups of patients not benefitting from treatment with current I-O regimens.","author":[{"dropping-particle":"","family":"Waterhouse","given":"David","non-dropping-particle":"","parse-names":false,"suffix":""},{"dropping-particle":"","family":"Lam","given":"Jenny","non-dropping-particle":"","parse-names":false,"suffix":""},{"dropping-particle":"","family":"Betts","given":"Keith A.","non-dropping-particle":"","parse-names":false,"suffix":""},{"dropping-particle":"","family":"Yin","given":"Lei","non-dropping-particle":"","parse-names":false,"suffix":""},{"dropping-particle":"","family":"Gao","given":"Sophie","non-dropping-particle":"","parse-names":false,"suffix":""},{"dropping-particle":"","family":"Yuan","given":"Yong","non-dropping-particle":"","parse-names":false,"suffix":""},{"dropping-particle":"","family":"Hartman","given":"John","non-dropping-particle":"","parse-names":false,"suffix":""},{"dropping-particle":"","family":"Rao","given":"Sumati","non-dropping-particle":"","parse-names":false,"suffix":""},{"dropping-particle":"","family":"Lubinga","given":"Solomon","non-dropping-particle":"","parse-names":false,"suffix":""},{"dropping-particle":"","family":"Stenehjem","given":"David","non-dropping-particle":"","parse-names":false,"suffix":""}],"container-title":"Lung Cancer","id":"ITEM-1","issued":{"date-parts":[["2021","6","1"]]},"page":"41-49","publisher":"Elsevier Ireland Ltd","title":"Real-world outcomes of immunotherapy–based regimens in first-line advanced non-small cell lung cancer","type":"article-journal","volume":"156"},"uris":["http://www.mendeley.com/documents/?uuid=858e1b3f-0965-3a8f-94b0-39c6bb6b65f0"]}],"mendeley":{"formattedCitation":"[19]","plainTextFormattedCitation":"[19]","previouslyFormattedCitation":"[19]"},"properties":{"noteIndex":0},"schema":"https://github.com/citation-style-language/schema/raw/master/csl-citation.json"}</w:instrText>
            </w:r>
            <w:r w:rsidRPr="007542F4">
              <w:rPr>
                <w:rFonts w:ascii="Calibri" w:eastAsia="Calibri" w:hAnsi="Calibri" w:cs="Times New Roman"/>
                <w:sz w:val="18"/>
                <w:szCs w:val="18"/>
                <w:lang w:val="en-GB"/>
              </w:rPr>
              <w:fldChar w:fldCharType="separate"/>
            </w:r>
            <w:r w:rsidR="009F237B" w:rsidRPr="009F237B">
              <w:rPr>
                <w:rFonts w:ascii="Calibri" w:eastAsia="Calibri" w:hAnsi="Calibri" w:cs="Times New Roman"/>
                <w:noProof/>
                <w:sz w:val="18"/>
                <w:szCs w:val="18"/>
                <w:lang w:val="en-GB"/>
              </w:rPr>
              <w:t>[19]</w:t>
            </w:r>
            <w:r w:rsidRPr="007542F4">
              <w:rPr>
                <w:rFonts w:ascii="Calibri" w:eastAsia="Calibri" w:hAnsi="Calibri" w:cs="Times New Roman"/>
                <w:sz w:val="18"/>
                <w:szCs w:val="18"/>
                <w:lang w:val="en-GB"/>
              </w:rPr>
              <w:fldChar w:fldCharType="end"/>
            </w:r>
            <w:r w:rsidR="00536FCE">
              <w:rPr>
                <w:rFonts w:ascii="Calibri" w:eastAsia="Calibri" w:hAnsi="Calibri" w:cs="Times New Roman"/>
                <w:sz w:val="18"/>
                <w:szCs w:val="18"/>
                <w:vertAlign w:val="superscript"/>
                <w:lang w:val="en-GB"/>
              </w:rPr>
              <w:t>b</w:t>
            </w:r>
          </w:p>
        </w:tc>
        <w:tc>
          <w:tcPr>
            <w:tcW w:w="2835" w:type="dxa"/>
          </w:tcPr>
          <w:p w14:paraId="4B6FC832" w14:textId="77777777" w:rsidR="00B76F98" w:rsidRPr="00F40075" w:rsidRDefault="00B76F98">
            <w:pPr>
              <w:rPr>
                <w:rFonts w:ascii="Calibri" w:eastAsia="Calibri" w:hAnsi="Calibri" w:cs="Times New Roman"/>
                <w:lang w:val="en-GB"/>
              </w:rPr>
            </w:pPr>
          </w:p>
        </w:tc>
        <w:tc>
          <w:tcPr>
            <w:tcW w:w="1559" w:type="dxa"/>
          </w:tcPr>
          <w:p w14:paraId="1A600866" w14:textId="77777777" w:rsidR="00B76F98" w:rsidRPr="00F40075" w:rsidRDefault="00B76F98">
            <w:pPr>
              <w:rPr>
                <w:rFonts w:ascii="Calibri" w:eastAsia="Calibri" w:hAnsi="Calibri" w:cs="Times New Roman"/>
                <w:lang w:val="en-GB"/>
              </w:rPr>
            </w:pPr>
            <w:r w:rsidRPr="00F40075">
              <w:rPr>
                <w:rFonts w:ascii="Calibri" w:eastAsia="Calibri" w:hAnsi="Calibri" w:cs="Times New Roman"/>
                <w:lang w:val="en-GB"/>
              </w:rPr>
              <w:t>Cure rate: 0%</w:t>
            </w:r>
          </w:p>
        </w:tc>
        <w:tc>
          <w:tcPr>
            <w:tcW w:w="1560" w:type="dxa"/>
          </w:tcPr>
          <w:p w14:paraId="712EE98C" w14:textId="77777777" w:rsidR="00B76F98" w:rsidRPr="00F40075" w:rsidRDefault="00B76F98">
            <w:pPr>
              <w:rPr>
                <w:rFonts w:ascii="Calibri" w:eastAsia="Calibri" w:hAnsi="Calibri" w:cs="Times New Roman"/>
                <w:lang w:val="en-GB"/>
              </w:rPr>
            </w:pPr>
            <w:r w:rsidRPr="00F40075">
              <w:rPr>
                <w:rFonts w:ascii="Calibri" w:eastAsia="Calibri" w:hAnsi="Calibri" w:cs="Times New Roman"/>
                <w:lang w:val="en-GB"/>
              </w:rPr>
              <w:t>Cure rate: 23%</w:t>
            </w:r>
          </w:p>
        </w:tc>
      </w:tr>
      <w:tr w:rsidR="00B76F98" w:rsidRPr="00357FBE" w14:paraId="14CF6952" w14:textId="77777777" w:rsidTr="00370359">
        <w:tc>
          <w:tcPr>
            <w:tcW w:w="5098" w:type="dxa"/>
            <w:gridSpan w:val="3"/>
          </w:tcPr>
          <w:p w14:paraId="58441A67" w14:textId="77777777" w:rsidR="00B76F98" w:rsidRPr="00F40075" w:rsidRDefault="00B76F98" w:rsidP="00C62DFE">
            <w:pPr>
              <w:rPr>
                <w:rFonts w:ascii="Calibri" w:eastAsia="Calibri" w:hAnsi="Calibri" w:cs="Times New Roman"/>
                <w:b/>
                <w:bCs/>
                <w:lang w:val="en-GB"/>
              </w:rPr>
            </w:pPr>
            <w:r w:rsidRPr="00F40075">
              <w:rPr>
                <w:rFonts w:ascii="Calibri" w:eastAsia="Calibri" w:hAnsi="Calibri" w:cs="Times New Roman"/>
                <w:b/>
                <w:bCs/>
                <w:lang w:val="en-GB"/>
              </w:rPr>
              <w:t xml:space="preserve">PD-L1 </w:t>
            </w:r>
            <w:r w:rsidRPr="00F40075">
              <w:rPr>
                <w:rFonts w:ascii="Calibri" w:eastAsia="Calibri" w:hAnsi="Calibri" w:cs="Calibri"/>
                <w:b/>
                <w:bCs/>
                <w:lang w:val="en-GB"/>
              </w:rPr>
              <w:t>≥</w:t>
            </w:r>
            <w:r w:rsidRPr="00F40075">
              <w:rPr>
                <w:rFonts w:ascii="Calibri" w:eastAsia="Calibri" w:hAnsi="Calibri" w:cs="Times New Roman"/>
                <w:b/>
                <w:bCs/>
                <w:lang w:val="en-GB"/>
              </w:rPr>
              <w:t xml:space="preserve"> 50%; Pembrolizumab monotherapy</w:t>
            </w:r>
          </w:p>
        </w:tc>
        <w:tc>
          <w:tcPr>
            <w:tcW w:w="1843" w:type="dxa"/>
          </w:tcPr>
          <w:p w14:paraId="47B5CFB6" w14:textId="77777777" w:rsidR="00B76F98" w:rsidRPr="00F40075" w:rsidRDefault="00B76F98">
            <w:pPr>
              <w:rPr>
                <w:rFonts w:ascii="Calibri" w:eastAsia="Calibri" w:hAnsi="Calibri" w:cs="Times New Roman"/>
                <w:lang w:val="en-GB"/>
              </w:rPr>
            </w:pPr>
          </w:p>
        </w:tc>
        <w:tc>
          <w:tcPr>
            <w:tcW w:w="2835" w:type="dxa"/>
          </w:tcPr>
          <w:p w14:paraId="24EE6158" w14:textId="6E623A9F" w:rsidR="00B76F98" w:rsidRPr="00D51C11" w:rsidRDefault="00B76F98">
            <w:pPr>
              <w:rPr>
                <w:rFonts w:ascii="Calibri" w:eastAsia="Calibri" w:hAnsi="Calibri" w:cs="Times New Roman"/>
                <w:lang w:val="nl-NL"/>
              </w:rPr>
            </w:pPr>
            <w:r w:rsidRPr="00F40075">
              <w:rPr>
                <w:rFonts w:ascii="Calibri" w:eastAsia="Calibri" w:hAnsi="Calibri" w:cs="Times New Roman"/>
                <w:lang w:val="en-GB"/>
              </w:rPr>
              <w:t>5 year update Keynote-0</w:t>
            </w:r>
            <w:r w:rsidR="00053777">
              <w:rPr>
                <w:rFonts w:ascii="Calibri" w:eastAsia="Calibri" w:hAnsi="Calibri" w:cs="Times New Roman"/>
                <w:lang w:val="en-GB"/>
              </w:rPr>
              <w:t>24</w:t>
            </w:r>
            <w:r w:rsidRPr="00F40075">
              <w:rPr>
                <w:rFonts w:ascii="Calibri" w:eastAsia="Calibri" w:hAnsi="Calibri" w:cs="Times New Roman"/>
                <w:lang w:val="en-GB"/>
              </w:rPr>
              <w:t xml:space="preserve"> </w:t>
            </w:r>
            <w:r w:rsidRPr="00F40075">
              <w:rPr>
                <w:rFonts w:ascii="Calibri" w:eastAsia="Calibri" w:hAnsi="Calibri" w:cs="Times New Roman"/>
                <w:lang w:val="en-GB"/>
              </w:rPr>
              <w:fldChar w:fldCharType="begin" w:fldLock="1"/>
            </w:r>
            <w:r w:rsidR="00315CD2">
              <w:rPr>
                <w:rFonts w:ascii="Calibri" w:eastAsia="Calibri" w:hAnsi="Calibri" w:cs="Times New Roman"/>
                <w:lang w:val="en-GB"/>
              </w:rPr>
              <w:instrText>ADDIN CSL_CITATION {"citationItems":[{"id":"ITEM-1","itemData":{"DOI":"10.1200/JCO.21.00174","ISSN":"0732-183X","abstract":"PURPOSE We report the first 5-year follow-up of any first-line phase III immunotherapy trial for non-small-cell lung cancer (NSCLC). KEYNOTE-024 (ClinicalTrials.gov identifier: NCT02142738) is an open-label, randomized controlled trial of pembrolizumab compared with platinum-based chemotherapy in patients with previously untreated NSCLC with a programmed death ligand-1 (PD-L1) tumor proportion score of at least 50% and no sensitizing EGFR or ALK alterations. Previous analyses showed pembrolizumab significantly improved progression-free survival and overall survival (OS). METHODS Eligible patients were randomly assigned (1:1) to pembrolizumab (200 mg once every 3 weeks for up to 35 cycles) or platinum-based chemotherapy. Patients in the chemotherapy group with progressive disease could cross over to pembrolizumab. The primary end point was progression-free survival; OS was a secondary end point. RESULTS Three hundred five patients were randomly assigned: 154 to pembrolizumab and 151 to chemo-therapy. Median (range) time from randomization to data cutoff (June 1, 2020) was 59.9 (55.1-68.4) months. Among patients initially assigned to chemotherapy, 99 received subsequent anti-PD-1 or PD-L1 therapy, representing a 66.0% effective crossover rate. Median OS was 26.3 months (95% CI, 18.3 to 40.4) for pembrolizumab and 13.4 months (9.4-18.3) for chemotherapy (hazard ratio, 0.62; 95% CI, 0.48 to 0.81). Kaplan-Meier estimates of the 5-year OS rate were 31.9% for the pembrolizumab group and 16.3% for the chemotherapy group. Thirty-nine patients received 35 cycles (ie, approximately 2 years) of pembrolizumab, 82.1% of whom were still alive at data cutoff (approximately 5 years). Toxicity did not increase with longer treatment exposure. CONCLUSION Pembrolizumab provides a durable, clinically meaningful long-term OS benefit versus chemo-therapy as first-line therapy for metastatic NSCLC with PD-L1 tumor proportion score of at least 50%.","author":[{"dropping-particle":"","family":"Reck","given":"Martin","non-dropping-particle":"","parse-names":false,"suffix":""},{"dropping-particle":"","family":"Rodríguez-Abreu","given":"Delvys","non-dropping-particle":"","parse-names":false,"suffix":""},{"dropping-particle":"","family":"Robinson","given":"Andrew G.","non-dropping-particle":"","parse-names":false,"suffix":""},{"dropping-particle":"","family":"Hui","given":"Rina","non-dropping-particle":"","parse-names":false,"suffix":""},{"dropping-particle":"","family":"Csőszi","given":"Tibor","non-dropping-particle":"","parse-names":false,"suffix":""},{"dropping-particle":"","family":"Fülöp","given":"Andrea","non-dropping-particle":"","parse-names":false,"suffix":""},{"dropping-particle":"","family":"Gottfried","given":"Maya","non-dropping-particle":"","parse-names":false,"suffix":""},{"dropping-particle":"","family":"Peled","given":"Nir","non-dropping-particle":"","parse-names":false,"suffix":""},{"dropping-particle":"","family":"Tafreshi","given":"Ali","non-dropping-particle":"","parse-names":false,"suffix":""},{"dropping-particle":"","family":"Cuffe","given":"Sinead","non-dropping-particle":"","parse-names":false,"suffix":""},{"dropping-particle":"","family":"O'Brien","given":"Mary","non-dropping-particle":"","parse-names":false,"suffix":""},{"dropping-particle":"","family":"Rao","given":"Suman","non-dropping-particle":"","parse-names":false,"suffix":""</w:instrText>
            </w:r>
            <w:r w:rsidR="00315CD2" w:rsidRPr="00357FBE">
              <w:rPr>
                <w:rFonts w:ascii="Calibri" w:eastAsia="Calibri" w:hAnsi="Calibri" w:cs="Times New Roman"/>
                <w:lang w:val="nl-NL"/>
              </w:rPr>
              <w:instrText>},{"dropping-particle":"","family":"Hotta","given":"Katsuyuki","non-dropping-particle":"","parse-names":false,"suffix":""},{"dropping-particle":"","family":"Leal","given":"Ticiana A.","non-dropping-particle":"","parse-names":false,"suffix":""},{"dropping-particle":"","family":"Riess","given":"Jonathan W.","non-dropping-particle":"","parse-names":false,"suffix":""},{"dropping-particle":"","family":"Jensen","given":"Erin","non-dropping-particle":"","parse-names":false,"suffix":""},{"dropping-particle":"","family":"Zhao","given":"Bin","non-dropping-particle":"","parse-names":false,"suffix":""},{"dropping-particle":"","family":"Pietanza","given":"M. Catherine","non-dropping-particle":"","parse-names":false,"suffix":""},{"dropping-particle":"","family":"Brahmer","given":"Julie R.","non-dropping-particle":"","parse-names":false,"suffix":""}],"container-title":"Journal of Clinical Oncology","id":"ITEM-1","issue":"21","issued":{"date-parts":[["2021","7","20"]]},"page":"2339-2349","title":"Five-Year Outcomes With Pembrolizumab Versus Chemotherapy for Metastatic Non–Small-Cell Lung Cancer With PD-L1 Tumor Proportion Score ≥ 50%","type":"article-journal","volume":"39"},"uris":["http://www.mendeley.com/documents/?uuid=df5289d0-579f-3dbe-ae0e-c214cdea14c0"]}],"mendeley":{"formattedCitation":"[55]","plainTextFormattedCitation":"[55]","previouslyFormattedCitation":"[55]"},"properties":{"noteIndex":0},"schema":"https://github.com/citation-style-language/schema/raw/master/csl-citation.json"}</w:instrText>
            </w:r>
            <w:r w:rsidRPr="00F40075">
              <w:rPr>
                <w:rFonts w:ascii="Calibri" w:eastAsia="Calibri" w:hAnsi="Calibri" w:cs="Times New Roman"/>
                <w:lang w:val="en-GB"/>
              </w:rPr>
              <w:fldChar w:fldCharType="separate"/>
            </w:r>
            <w:r w:rsidR="009F237B" w:rsidRPr="009F237B">
              <w:rPr>
                <w:rFonts w:ascii="Calibri" w:eastAsia="Calibri" w:hAnsi="Calibri" w:cs="Times New Roman"/>
                <w:noProof/>
                <w:lang w:val="nl-NL"/>
              </w:rPr>
              <w:t>[55]</w:t>
            </w:r>
            <w:r w:rsidRPr="00F40075">
              <w:rPr>
                <w:rFonts w:ascii="Calibri" w:eastAsia="Calibri" w:hAnsi="Calibri" w:cs="Times New Roman"/>
                <w:lang w:val="en-GB"/>
              </w:rPr>
              <w:fldChar w:fldCharType="end"/>
            </w:r>
          </w:p>
        </w:tc>
        <w:tc>
          <w:tcPr>
            <w:tcW w:w="1559" w:type="dxa"/>
          </w:tcPr>
          <w:p w14:paraId="681939D8" w14:textId="77777777" w:rsidR="00B76F98" w:rsidRPr="00D51C11" w:rsidRDefault="00B76F98">
            <w:pPr>
              <w:rPr>
                <w:rFonts w:ascii="Calibri" w:eastAsia="Calibri" w:hAnsi="Calibri" w:cs="Times New Roman"/>
                <w:lang w:val="nl-NL"/>
              </w:rPr>
            </w:pPr>
          </w:p>
        </w:tc>
        <w:tc>
          <w:tcPr>
            <w:tcW w:w="1560" w:type="dxa"/>
          </w:tcPr>
          <w:p w14:paraId="2ACCFB3F" w14:textId="77777777" w:rsidR="00B76F98" w:rsidRPr="00D51C11" w:rsidRDefault="00B76F98">
            <w:pPr>
              <w:rPr>
                <w:rFonts w:ascii="Calibri" w:eastAsia="Calibri" w:hAnsi="Calibri" w:cs="Times New Roman"/>
                <w:lang w:val="nl-NL"/>
              </w:rPr>
            </w:pPr>
          </w:p>
        </w:tc>
      </w:tr>
      <w:tr w:rsidR="00B76F98" w:rsidRPr="00357FBE" w14:paraId="0766DDA5" w14:textId="77777777" w:rsidTr="00370359">
        <w:tc>
          <w:tcPr>
            <w:tcW w:w="1572" w:type="dxa"/>
          </w:tcPr>
          <w:p w14:paraId="74082290" w14:textId="77777777" w:rsidR="00B76F98" w:rsidRPr="00D51C11" w:rsidRDefault="00B76F98" w:rsidP="00C62DFE">
            <w:pPr>
              <w:rPr>
                <w:rFonts w:ascii="Calibri" w:eastAsia="Calibri" w:hAnsi="Calibri" w:cs="Times New Roman"/>
                <w:lang w:val="nl-NL"/>
              </w:rPr>
            </w:pPr>
            <w:r w:rsidRPr="00D51C11">
              <w:rPr>
                <w:rFonts w:ascii="Calibri" w:eastAsia="Calibri" w:hAnsi="Calibri" w:cs="Times New Roman"/>
                <w:lang w:val="nl-NL"/>
              </w:rPr>
              <w:t>mPFS</w:t>
            </w:r>
          </w:p>
        </w:tc>
        <w:tc>
          <w:tcPr>
            <w:tcW w:w="1677" w:type="dxa"/>
          </w:tcPr>
          <w:p w14:paraId="7722DBDB" w14:textId="77777777" w:rsidR="00B76F98" w:rsidRPr="00D51C11" w:rsidRDefault="00B76F98">
            <w:pPr>
              <w:jc w:val="center"/>
              <w:rPr>
                <w:rFonts w:ascii="Calibri" w:eastAsia="Calibri" w:hAnsi="Calibri" w:cs="Times New Roman"/>
                <w:lang w:val="nl-NL"/>
              </w:rPr>
            </w:pPr>
            <w:r w:rsidRPr="00D51C11">
              <w:rPr>
                <w:rFonts w:ascii="Calibri" w:eastAsia="Calibri" w:hAnsi="Calibri" w:cs="Times New Roman"/>
                <w:lang w:val="nl-NL"/>
              </w:rPr>
              <w:t>8.9 (3.7–14.1)</w:t>
            </w:r>
          </w:p>
        </w:tc>
        <w:tc>
          <w:tcPr>
            <w:tcW w:w="1849" w:type="dxa"/>
          </w:tcPr>
          <w:p w14:paraId="0F594FFB" w14:textId="77777777" w:rsidR="00B76F98" w:rsidRPr="00D51C11" w:rsidRDefault="00B76F98">
            <w:pPr>
              <w:jc w:val="center"/>
              <w:rPr>
                <w:rFonts w:ascii="Calibri" w:eastAsia="Calibri" w:hAnsi="Calibri" w:cs="Times New Roman"/>
                <w:lang w:val="nl-NL"/>
              </w:rPr>
            </w:pPr>
            <w:r w:rsidRPr="00D51C11">
              <w:rPr>
                <w:rFonts w:ascii="Calibri" w:eastAsia="Calibri" w:hAnsi="Calibri" w:cs="Times New Roman"/>
                <w:lang w:val="nl-NL"/>
              </w:rPr>
              <w:t>NA</w:t>
            </w:r>
          </w:p>
        </w:tc>
        <w:tc>
          <w:tcPr>
            <w:tcW w:w="1843" w:type="dxa"/>
          </w:tcPr>
          <w:p w14:paraId="705E078E" w14:textId="77777777" w:rsidR="00B76F98" w:rsidRPr="00D51C11" w:rsidRDefault="00B76F98">
            <w:pPr>
              <w:jc w:val="center"/>
              <w:rPr>
                <w:rFonts w:ascii="Calibri" w:eastAsia="Calibri" w:hAnsi="Calibri" w:cs="Times New Roman"/>
                <w:lang w:val="nl-NL"/>
              </w:rPr>
            </w:pPr>
            <w:r w:rsidRPr="00D51C11">
              <w:rPr>
                <w:rFonts w:ascii="Calibri" w:eastAsia="Calibri" w:hAnsi="Calibri" w:cs="Times New Roman"/>
                <w:lang w:val="nl-NL"/>
              </w:rPr>
              <w:t>NA</w:t>
            </w:r>
          </w:p>
        </w:tc>
        <w:tc>
          <w:tcPr>
            <w:tcW w:w="2835" w:type="dxa"/>
          </w:tcPr>
          <w:p w14:paraId="6254B557" w14:textId="6186E105" w:rsidR="00B76F98" w:rsidRPr="00D51C11" w:rsidRDefault="00332A3C">
            <w:pPr>
              <w:jc w:val="center"/>
              <w:rPr>
                <w:rFonts w:ascii="Calibri" w:eastAsia="Calibri" w:hAnsi="Calibri" w:cs="Times New Roman"/>
                <w:lang w:val="nl-NL"/>
              </w:rPr>
            </w:pPr>
            <w:r>
              <w:rPr>
                <w:rFonts w:ascii="Calibri" w:eastAsia="Calibri" w:hAnsi="Calibri" w:cs="Times New Roman"/>
                <w:lang w:val="nl-NL"/>
              </w:rPr>
              <w:t>7.7 (6.1-10.2)</w:t>
            </w:r>
          </w:p>
        </w:tc>
        <w:tc>
          <w:tcPr>
            <w:tcW w:w="1559" w:type="dxa"/>
          </w:tcPr>
          <w:p w14:paraId="66BDB407" w14:textId="77777777" w:rsidR="00B76F98" w:rsidRPr="00D51C11" w:rsidRDefault="00B76F98">
            <w:pPr>
              <w:jc w:val="center"/>
              <w:rPr>
                <w:rFonts w:ascii="Calibri" w:eastAsia="Calibri" w:hAnsi="Calibri" w:cs="Times New Roman"/>
                <w:lang w:val="nl-NL"/>
              </w:rPr>
            </w:pPr>
            <w:r w:rsidRPr="00D51C11">
              <w:rPr>
                <w:rFonts w:ascii="Calibri" w:eastAsia="Calibri" w:hAnsi="Calibri" w:cs="Times New Roman"/>
                <w:lang w:val="nl-NL"/>
              </w:rPr>
              <w:t>11.5</w:t>
            </w:r>
          </w:p>
        </w:tc>
        <w:tc>
          <w:tcPr>
            <w:tcW w:w="1560" w:type="dxa"/>
          </w:tcPr>
          <w:p w14:paraId="16B06030" w14:textId="77777777" w:rsidR="00B76F98" w:rsidRPr="00D51C11" w:rsidRDefault="00B76F98">
            <w:pPr>
              <w:jc w:val="center"/>
              <w:rPr>
                <w:rFonts w:ascii="Calibri" w:eastAsia="Calibri" w:hAnsi="Calibri" w:cs="Times New Roman"/>
                <w:lang w:val="nl-NL"/>
              </w:rPr>
            </w:pPr>
            <w:r w:rsidRPr="00D51C11">
              <w:rPr>
                <w:rFonts w:ascii="Calibri" w:eastAsia="Calibri" w:hAnsi="Calibri" w:cs="Times New Roman"/>
                <w:lang w:val="nl-NL"/>
              </w:rPr>
              <w:t>10.9</w:t>
            </w:r>
          </w:p>
        </w:tc>
      </w:tr>
      <w:tr w:rsidR="00B76F98" w:rsidRPr="00357FBE" w14:paraId="7EEC44DE" w14:textId="77777777" w:rsidTr="00370359">
        <w:tc>
          <w:tcPr>
            <w:tcW w:w="1572" w:type="dxa"/>
          </w:tcPr>
          <w:p w14:paraId="1051AC01" w14:textId="77777777" w:rsidR="00B76F98" w:rsidRPr="00D51C11" w:rsidRDefault="00B76F98" w:rsidP="00C62DFE">
            <w:pPr>
              <w:rPr>
                <w:rFonts w:ascii="Calibri" w:eastAsia="Calibri" w:hAnsi="Calibri" w:cs="Times New Roman"/>
                <w:lang w:val="nl-NL"/>
              </w:rPr>
            </w:pPr>
            <w:proofErr w:type="spellStart"/>
            <w:r w:rsidRPr="00D51C11">
              <w:rPr>
                <w:rFonts w:ascii="Calibri" w:eastAsia="Calibri" w:hAnsi="Calibri" w:cs="Times New Roman"/>
                <w:lang w:val="nl-NL"/>
              </w:rPr>
              <w:t>mOS</w:t>
            </w:r>
            <w:proofErr w:type="spellEnd"/>
          </w:p>
        </w:tc>
        <w:tc>
          <w:tcPr>
            <w:tcW w:w="1677" w:type="dxa"/>
          </w:tcPr>
          <w:p w14:paraId="28406A85" w14:textId="77777777" w:rsidR="00B76F98" w:rsidRPr="00D51C11" w:rsidRDefault="00B76F98">
            <w:pPr>
              <w:jc w:val="center"/>
              <w:rPr>
                <w:rFonts w:ascii="Calibri" w:eastAsia="Calibri" w:hAnsi="Calibri" w:cs="Times New Roman"/>
                <w:lang w:val="nl-NL"/>
              </w:rPr>
            </w:pPr>
            <w:r w:rsidRPr="00D51C11">
              <w:rPr>
                <w:rFonts w:ascii="Calibri" w:eastAsia="Calibri" w:hAnsi="Calibri" w:cs="Times New Roman"/>
                <w:lang w:val="nl-NL"/>
              </w:rPr>
              <w:t>15.8 (9.4–22.1)</w:t>
            </w:r>
          </w:p>
        </w:tc>
        <w:tc>
          <w:tcPr>
            <w:tcW w:w="1849" w:type="dxa"/>
          </w:tcPr>
          <w:p w14:paraId="4A434715" w14:textId="77777777" w:rsidR="00B76F98" w:rsidRPr="00D51C11" w:rsidRDefault="00B76F98">
            <w:pPr>
              <w:jc w:val="center"/>
              <w:rPr>
                <w:rFonts w:ascii="Calibri" w:eastAsia="Calibri" w:hAnsi="Calibri" w:cs="Times New Roman"/>
                <w:lang w:val="nl-NL"/>
              </w:rPr>
            </w:pPr>
            <w:r w:rsidRPr="00D51C11">
              <w:rPr>
                <w:rFonts w:ascii="Calibri" w:eastAsia="Calibri" w:hAnsi="Calibri" w:cs="Times New Roman"/>
                <w:lang w:val="nl-NL"/>
              </w:rPr>
              <w:t>NA</w:t>
            </w:r>
          </w:p>
        </w:tc>
        <w:tc>
          <w:tcPr>
            <w:tcW w:w="1843" w:type="dxa"/>
          </w:tcPr>
          <w:p w14:paraId="120AD782" w14:textId="77777777" w:rsidR="00B76F98" w:rsidRPr="00D51C11" w:rsidRDefault="00B76F98">
            <w:pPr>
              <w:jc w:val="center"/>
              <w:rPr>
                <w:rFonts w:ascii="Calibri" w:eastAsia="Calibri" w:hAnsi="Calibri" w:cs="Times New Roman"/>
                <w:lang w:val="nl-NL"/>
              </w:rPr>
            </w:pPr>
            <w:r w:rsidRPr="00D51C11">
              <w:rPr>
                <w:rFonts w:ascii="Calibri" w:eastAsia="Calibri" w:hAnsi="Calibri" w:cs="Times New Roman"/>
                <w:lang w:val="nl-NL"/>
              </w:rPr>
              <w:t>15.3 (13.4-17.5)</w:t>
            </w:r>
          </w:p>
        </w:tc>
        <w:tc>
          <w:tcPr>
            <w:tcW w:w="2835" w:type="dxa"/>
          </w:tcPr>
          <w:p w14:paraId="44FA58C3" w14:textId="0BBBD5B7" w:rsidR="00B76F98" w:rsidRPr="00D51C11" w:rsidRDefault="00332A3C">
            <w:pPr>
              <w:jc w:val="center"/>
              <w:rPr>
                <w:rFonts w:ascii="Calibri" w:eastAsia="Calibri" w:hAnsi="Calibri" w:cs="Times New Roman"/>
                <w:lang w:val="nl-NL"/>
              </w:rPr>
            </w:pPr>
            <w:r>
              <w:rPr>
                <w:rFonts w:ascii="Calibri" w:eastAsia="Calibri" w:hAnsi="Calibri" w:cs="Times New Roman"/>
                <w:lang w:val="nl-NL"/>
              </w:rPr>
              <w:t>26.3</w:t>
            </w:r>
            <w:r w:rsidR="00B76F98" w:rsidRPr="00D51C11">
              <w:rPr>
                <w:rFonts w:ascii="Calibri" w:eastAsia="Calibri" w:hAnsi="Calibri" w:cs="Times New Roman"/>
                <w:lang w:val="nl-NL"/>
              </w:rPr>
              <w:t xml:space="preserve"> (</w:t>
            </w:r>
            <w:r>
              <w:rPr>
                <w:rFonts w:ascii="Calibri" w:eastAsia="Calibri" w:hAnsi="Calibri" w:cs="Times New Roman"/>
                <w:lang w:val="nl-NL"/>
              </w:rPr>
              <w:t>18.3</w:t>
            </w:r>
            <w:r w:rsidR="00B76F98" w:rsidRPr="00D51C11">
              <w:rPr>
                <w:rFonts w:ascii="Calibri" w:eastAsia="Calibri" w:hAnsi="Calibri" w:cs="Times New Roman"/>
                <w:lang w:val="nl-NL"/>
              </w:rPr>
              <w:t>-</w:t>
            </w:r>
            <w:r>
              <w:rPr>
                <w:rFonts w:ascii="Calibri" w:eastAsia="Calibri" w:hAnsi="Calibri" w:cs="Times New Roman"/>
                <w:lang w:val="nl-NL"/>
              </w:rPr>
              <w:t>40.4</w:t>
            </w:r>
            <w:r w:rsidR="00B76F98" w:rsidRPr="00D51C11">
              <w:rPr>
                <w:rFonts w:ascii="Calibri" w:eastAsia="Calibri" w:hAnsi="Calibri" w:cs="Times New Roman"/>
                <w:lang w:val="nl-NL"/>
              </w:rPr>
              <w:t>)</w:t>
            </w:r>
          </w:p>
        </w:tc>
        <w:tc>
          <w:tcPr>
            <w:tcW w:w="1559" w:type="dxa"/>
          </w:tcPr>
          <w:p w14:paraId="532C1611" w14:textId="77777777" w:rsidR="00B76F98" w:rsidRPr="00D51C11" w:rsidRDefault="00B76F98">
            <w:pPr>
              <w:jc w:val="center"/>
              <w:rPr>
                <w:rFonts w:ascii="Calibri" w:eastAsia="Calibri" w:hAnsi="Calibri" w:cs="Times New Roman"/>
                <w:lang w:val="nl-NL"/>
              </w:rPr>
            </w:pPr>
            <w:r w:rsidRPr="00D51C11">
              <w:rPr>
                <w:rFonts w:ascii="Calibri" w:eastAsia="Calibri" w:hAnsi="Calibri" w:cs="Times New Roman"/>
                <w:lang w:val="nl-NL"/>
              </w:rPr>
              <w:t>13.6</w:t>
            </w:r>
          </w:p>
        </w:tc>
        <w:tc>
          <w:tcPr>
            <w:tcW w:w="1560" w:type="dxa"/>
          </w:tcPr>
          <w:p w14:paraId="5D577339" w14:textId="77777777" w:rsidR="00B76F98" w:rsidRPr="00D51C11" w:rsidRDefault="00B76F98">
            <w:pPr>
              <w:jc w:val="center"/>
              <w:rPr>
                <w:rFonts w:ascii="Calibri" w:eastAsia="Calibri" w:hAnsi="Calibri" w:cs="Times New Roman"/>
                <w:lang w:val="nl-NL"/>
              </w:rPr>
            </w:pPr>
            <w:r w:rsidRPr="00D51C11">
              <w:rPr>
                <w:rFonts w:ascii="Calibri" w:eastAsia="Calibri" w:hAnsi="Calibri" w:cs="Times New Roman"/>
                <w:lang w:val="nl-NL"/>
              </w:rPr>
              <w:t>13.1</w:t>
            </w:r>
          </w:p>
        </w:tc>
      </w:tr>
      <w:tr w:rsidR="00B76F98" w:rsidRPr="00357FBE" w14:paraId="47A3AF23" w14:textId="77777777" w:rsidTr="00370359">
        <w:tc>
          <w:tcPr>
            <w:tcW w:w="1572" w:type="dxa"/>
          </w:tcPr>
          <w:p w14:paraId="491AFFD2" w14:textId="77777777" w:rsidR="00B76F98" w:rsidRPr="00D51C11" w:rsidRDefault="00B76F98" w:rsidP="00C62DFE">
            <w:pPr>
              <w:rPr>
                <w:rFonts w:ascii="Calibri" w:eastAsia="Calibri" w:hAnsi="Calibri" w:cs="Times New Roman"/>
                <w:lang w:val="nl-NL"/>
              </w:rPr>
            </w:pPr>
            <w:proofErr w:type="spellStart"/>
            <w:r w:rsidRPr="00D51C11">
              <w:rPr>
                <w:rFonts w:ascii="Calibri" w:eastAsia="Calibri" w:hAnsi="Calibri" w:cs="Times New Roman"/>
                <w:lang w:val="nl-NL"/>
              </w:rPr>
              <w:t>Surv</w:t>
            </w:r>
            <w:proofErr w:type="spellEnd"/>
            <w:r w:rsidRPr="00D51C11">
              <w:rPr>
                <w:rFonts w:ascii="Calibri" w:eastAsia="Calibri" w:hAnsi="Calibri" w:cs="Times New Roman"/>
                <w:lang w:val="nl-NL"/>
              </w:rPr>
              <w:t>. Rate (%)</w:t>
            </w:r>
          </w:p>
        </w:tc>
        <w:tc>
          <w:tcPr>
            <w:tcW w:w="1677" w:type="dxa"/>
          </w:tcPr>
          <w:p w14:paraId="2BD4E8D7" w14:textId="77777777" w:rsidR="00B76F98" w:rsidRPr="00D51C11" w:rsidRDefault="00B76F98">
            <w:pPr>
              <w:jc w:val="center"/>
              <w:rPr>
                <w:rFonts w:ascii="Calibri" w:eastAsia="Calibri" w:hAnsi="Calibri" w:cs="Times New Roman"/>
                <w:lang w:val="nl-NL"/>
              </w:rPr>
            </w:pPr>
          </w:p>
        </w:tc>
        <w:tc>
          <w:tcPr>
            <w:tcW w:w="1849" w:type="dxa"/>
          </w:tcPr>
          <w:p w14:paraId="21F559DF" w14:textId="77777777" w:rsidR="00B76F98" w:rsidRPr="00D51C11" w:rsidRDefault="00B76F98">
            <w:pPr>
              <w:jc w:val="center"/>
              <w:rPr>
                <w:rFonts w:ascii="Calibri" w:eastAsia="Calibri" w:hAnsi="Calibri" w:cs="Times New Roman"/>
                <w:lang w:val="nl-NL"/>
              </w:rPr>
            </w:pPr>
          </w:p>
        </w:tc>
        <w:tc>
          <w:tcPr>
            <w:tcW w:w="1843" w:type="dxa"/>
          </w:tcPr>
          <w:p w14:paraId="5C858AB7" w14:textId="77777777" w:rsidR="00B76F98" w:rsidRPr="00D51C11" w:rsidRDefault="00B76F98">
            <w:pPr>
              <w:jc w:val="center"/>
              <w:rPr>
                <w:rFonts w:ascii="Calibri" w:eastAsia="Calibri" w:hAnsi="Calibri" w:cs="Times New Roman"/>
                <w:lang w:val="nl-NL"/>
              </w:rPr>
            </w:pPr>
          </w:p>
        </w:tc>
        <w:tc>
          <w:tcPr>
            <w:tcW w:w="2835" w:type="dxa"/>
          </w:tcPr>
          <w:p w14:paraId="0A276BFF" w14:textId="77777777" w:rsidR="00B76F98" w:rsidRPr="00D51C11" w:rsidRDefault="00B76F98">
            <w:pPr>
              <w:jc w:val="center"/>
              <w:rPr>
                <w:rFonts w:ascii="Calibri" w:eastAsia="Calibri" w:hAnsi="Calibri" w:cs="Times New Roman"/>
                <w:lang w:val="nl-NL"/>
              </w:rPr>
            </w:pPr>
          </w:p>
        </w:tc>
        <w:tc>
          <w:tcPr>
            <w:tcW w:w="1559" w:type="dxa"/>
          </w:tcPr>
          <w:p w14:paraId="2566BD20" w14:textId="77777777" w:rsidR="00B76F98" w:rsidRPr="00D51C11" w:rsidRDefault="00B76F98">
            <w:pPr>
              <w:jc w:val="center"/>
              <w:rPr>
                <w:rFonts w:ascii="Calibri" w:eastAsia="Calibri" w:hAnsi="Calibri" w:cs="Times New Roman"/>
                <w:lang w:val="nl-NL"/>
              </w:rPr>
            </w:pPr>
          </w:p>
        </w:tc>
        <w:tc>
          <w:tcPr>
            <w:tcW w:w="1560" w:type="dxa"/>
          </w:tcPr>
          <w:p w14:paraId="717243E5" w14:textId="77777777" w:rsidR="00B76F98" w:rsidRPr="00D51C11" w:rsidRDefault="00B76F98">
            <w:pPr>
              <w:jc w:val="center"/>
              <w:rPr>
                <w:rFonts w:ascii="Calibri" w:eastAsia="Calibri" w:hAnsi="Calibri" w:cs="Times New Roman"/>
                <w:lang w:val="nl-NL"/>
              </w:rPr>
            </w:pPr>
          </w:p>
        </w:tc>
      </w:tr>
      <w:tr w:rsidR="00A435EA" w:rsidRPr="00357FBE" w14:paraId="33E25AAC" w14:textId="77777777" w:rsidTr="00370359">
        <w:tc>
          <w:tcPr>
            <w:tcW w:w="1572" w:type="dxa"/>
          </w:tcPr>
          <w:p w14:paraId="6D82B0CC" w14:textId="77777777" w:rsidR="00A435EA" w:rsidRPr="00D51C11" w:rsidRDefault="00A435EA" w:rsidP="00D17ED2">
            <w:pPr>
              <w:ind w:firstLine="174"/>
              <w:rPr>
                <w:rFonts w:ascii="Calibri" w:eastAsia="Calibri" w:hAnsi="Calibri" w:cs="Times New Roman"/>
                <w:lang w:val="nl-NL"/>
              </w:rPr>
            </w:pPr>
            <w:r w:rsidRPr="00D51C11">
              <w:rPr>
                <w:rFonts w:ascii="Calibri" w:eastAsia="Calibri" w:hAnsi="Calibri" w:cs="Times New Roman"/>
                <w:lang w:val="nl-NL"/>
              </w:rPr>
              <w:t>12 m</w:t>
            </w:r>
          </w:p>
        </w:tc>
        <w:tc>
          <w:tcPr>
            <w:tcW w:w="1677" w:type="dxa"/>
          </w:tcPr>
          <w:p w14:paraId="49C56F34" w14:textId="77777777" w:rsidR="00A435EA" w:rsidRPr="00D51C11" w:rsidRDefault="00A435EA">
            <w:pPr>
              <w:jc w:val="center"/>
              <w:rPr>
                <w:rFonts w:ascii="Calibri" w:eastAsia="Calibri" w:hAnsi="Calibri" w:cs="Times New Roman"/>
                <w:lang w:val="nl-NL"/>
              </w:rPr>
            </w:pPr>
            <w:r w:rsidRPr="00D51C11">
              <w:rPr>
                <w:rFonts w:ascii="Calibri" w:eastAsia="Calibri" w:hAnsi="Calibri" w:cs="Times New Roman"/>
                <w:lang w:val="nl-NL"/>
              </w:rPr>
              <w:t>57</w:t>
            </w:r>
          </w:p>
        </w:tc>
        <w:tc>
          <w:tcPr>
            <w:tcW w:w="1849" w:type="dxa"/>
          </w:tcPr>
          <w:p w14:paraId="364809B7" w14:textId="77777777" w:rsidR="00A435EA" w:rsidRPr="00D51C11" w:rsidRDefault="00A435EA">
            <w:pPr>
              <w:jc w:val="center"/>
              <w:rPr>
                <w:rFonts w:ascii="Calibri" w:eastAsia="Calibri" w:hAnsi="Calibri" w:cs="Times New Roman"/>
                <w:lang w:val="nl-NL"/>
              </w:rPr>
            </w:pPr>
            <w:r w:rsidRPr="00D51C11">
              <w:rPr>
                <w:rFonts w:ascii="Calibri" w:eastAsia="Calibri" w:hAnsi="Calibri" w:cs="Times New Roman"/>
                <w:lang w:val="nl-NL"/>
              </w:rPr>
              <w:t>NA</w:t>
            </w:r>
          </w:p>
        </w:tc>
        <w:tc>
          <w:tcPr>
            <w:tcW w:w="1843" w:type="dxa"/>
          </w:tcPr>
          <w:p w14:paraId="04A97392" w14:textId="77777777" w:rsidR="00A435EA" w:rsidRPr="00D51C11" w:rsidRDefault="00A435EA">
            <w:pPr>
              <w:jc w:val="center"/>
              <w:rPr>
                <w:rFonts w:ascii="Calibri" w:eastAsia="Calibri" w:hAnsi="Calibri" w:cs="Times New Roman"/>
                <w:lang w:val="nl-NL"/>
              </w:rPr>
            </w:pPr>
            <w:r w:rsidRPr="00D51C11">
              <w:rPr>
                <w:rFonts w:ascii="Calibri" w:eastAsia="Calibri" w:hAnsi="Calibri" w:cs="Times New Roman"/>
                <w:lang w:val="nl-NL"/>
              </w:rPr>
              <w:t>54.5</w:t>
            </w:r>
          </w:p>
        </w:tc>
        <w:tc>
          <w:tcPr>
            <w:tcW w:w="2835" w:type="dxa"/>
          </w:tcPr>
          <w:p w14:paraId="73C36374" w14:textId="06BD9AEB" w:rsidR="00A435EA" w:rsidRPr="00D51C11" w:rsidRDefault="00A435EA">
            <w:pPr>
              <w:jc w:val="center"/>
              <w:rPr>
                <w:rFonts w:ascii="Calibri" w:eastAsia="Calibri" w:hAnsi="Calibri" w:cs="Times New Roman"/>
                <w:lang w:val="nl-NL"/>
              </w:rPr>
            </w:pPr>
            <w:r w:rsidRPr="00D51C11">
              <w:rPr>
                <w:rFonts w:ascii="Calibri" w:eastAsia="Calibri" w:hAnsi="Calibri" w:cs="Times New Roman"/>
                <w:lang w:val="nl-NL"/>
              </w:rPr>
              <w:t>NA</w:t>
            </w:r>
          </w:p>
        </w:tc>
        <w:tc>
          <w:tcPr>
            <w:tcW w:w="1559" w:type="dxa"/>
          </w:tcPr>
          <w:p w14:paraId="29CB5AEB" w14:textId="77777777" w:rsidR="00A435EA" w:rsidRPr="00D51C11" w:rsidRDefault="00A435EA">
            <w:pPr>
              <w:jc w:val="center"/>
              <w:rPr>
                <w:rFonts w:ascii="Calibri" w:eastAsia="Calibri" w:hAnsi="Calibri" w:cs="Times New Roman"/>
                <w:lang w:val="nl-NL"/>
              </w:rPr>
            </w:pPr>
            <w:r w:rsidRPr="00D51C11">
              <w:rPr>
                <w:rFonts w:ascii="Calibri" w:eastAsia="Calibri" w:hAnsi="Calibri" w:cs="Times New Roman"/>
                <w:lang w:val="nl-NL"/>
              </w:rPr>
              <w:t>53.8</w:t>
            </w:r>
          </w:p>
        </w:tc>
        <w:tc>
          <w:tcPr>
            <w:tcW w:w="1560" w:type="dxa"/>
          </w:tcPr>
          <w:p w14:paraId="796BB3EC" w14:textId="77777777" w:rsidR="00A435EA" w:rsidRPr="00D51C11" w:rsidRDefault="00A435EA">
            <w:pPr>
              <w:jc w:val="center"/>
              <w:rPr>
                <w:rFonts w:ascii="Calibri" w:eastAsia="Calibri" w:hAnsi="Calibri" w:cs="Times New Roman"/>
                <w:lang w:val="nl-NL"/>
              </w:rPr>
            </w:pPr>
            <w:r w:rsidRPr="00D51C11">
              <w:rPr>
                <w:rFonts w:ascii="Calibri" w:eastAsia="Calibri" w:hAnsi="Calibri" w:cs="Times New Roman"/>
                <w:lang w:val="nl-NL"/>
              </w:rPr>
              <w:t>52.3</w:t>
            </w:r>
          </w:p>
        </w:tc>
      </w:tr>
      <w:tr w:rsidR="00A435EA" w:rsidRPr="00357FBE" w14:paraId="486F35E9" w14:textId="77777777" w:rsidTr="00370359">
        <w:tc>
          <w:tcPr>
            <w:tcW w:w="1572" w:type="dxa"/>
          </w:tcPr>
          <w:p w14:paraId="0DBD4EBB" w14:textId="77777777" w:rsidR="00A435EA" w:rsidRPr="00D51C11" w:rsidRDefault="00A435EA" w:rsidP="00D17ED2">
            <w:pPr>
              <w:ind w:firstLine="174"/>
              <w:rPr>
                <w:rFonts w:ascii="Calibri" w:eastAsia="Calibri" w:hAnsi="Calibri" w:cs="Times New Roman"/>
                <w:lang w:val="nl-NL"/>
              </w:rPr>
            </w:pPr>
            <w:r w:rsidRPr="00D51C11">
              <w:rPr>
                <w:rFonts w:ascii="Calibri" w:eastAsia="Calibri" w:hAnsi="Calibri" w:cs="Times New Roman"/>
                <w:lang w:val="nl-NL"/>
              </w:rPr>
              <w:t>24 m</w:t>
            </w:r>
          </w:p>
        </w:tc>
        <w:tc>
          <w:tcPr>
            <w:tcW w:w="1677" w:type="dxa"/>
          </w:tcPr>
          <w:p w14:paraId="32821208" w14:textId="77777777" w:rsidR="00A435EA" w:rsidRPr="00D51C11" w:rsidRDefault="00A435EA">
            <w:pPr>
              <w:jc w:val="center"/>
              <w:rPr>
                <w:rFonts w:ascii="Calibri" w:eastAsia="Calibri" w:hAnsi="Calibri" w:cs="Times New Roman"/>
                <w:lang w:val="nl-NL"/>
              </w:rPr>
            </w:pPr>
            <w:r w:rsidRPr="00D51C11">
              <w:rPr>
                <w:rFonts w:ascii="Calibri" w:eastAsia="Calibri" w:hAnsi="Calibri" w:cs="Times New Roman"/>
                <w:lang w:val="nl-NL"/>
              </w:rPr>
              <w:t>NA</w:t>
            </w:r>
          </w:p>
        </w:tc>
        <w:tc>
          <w:tcPr>
            <w:tcW w:w="1849" w:type="dxa"/>
          </w:tcPr>
          <w:p w14:paraId="42FA9C4A" w14:textId="77777777" w:rsidR="00A435EA" w:rsidRPr="00D51C11" w:rsidRDefault="00A435EA">
            <w:pPr>
              <w:jc w:val="center"/>
              <w:rPr>
                <w:rFonts w:ascii="Calibri" w:eastAsia="Calibri" w:hAnsi="Calibri" w:cs="Times New Roman"/>
                <w:lang w:val="nl-NL"/>
              </w:rPr>
            </w:pPr>
            <w:r w:rsidRPr="00D51C11">
              <w:rPr>
                <w:rFonts w:ascii="Calibri" w:eastAsia="Calibri" w:hAnsi="Calibri" w:cs="Times New Roman"/>
                <w:lang w:val="nl-NL"/>
              </w:rPr>
              <w:t>NA</w:t>
            </w:r>
          </w:p>
        </w:tc>
        <w:tc>
          <w:tcPr>
            <w:tcW w:w="1843" w:type="dxa"/>
          </w:tcPr>
          <w:p w14:paraId="234AA57E" w14:textId="77777777" w:rsidR="00A435EA" w:rsidRPr="00D51C11" w:rsidRDefault="00A435EA">
            <w:pPr>
              <w:jc w:val="center"/>
              <w:rPr>
                <w:rFonts w:ascii="Calibri" w:eastAsia="Calibri" w:hAnsi="Calibri" w:cs="Times New Roman"/>
                <w:lang w:val="nl-NL"/>
              </w:rPr>
            </w:pPr>
            <w:r w:rsidRPr="00D51C11">
              <w:rPr>
                <w:rFonts w:ascii="Calibri" w:eastAsia="Calibri" w:hAnsi="Calibri" w:cs="Times New Roman"/>
                <w:lang w:val="nl-NL"/>
              </w:rPr>
              <w:t>39.6</w:t>
            </w:r>
          </w:p>
        </w:tc>
        <w:tc>
          <w:tcPr>
            <w:tcW w:w="2835" w:type="dxa"/>
          </w:tcPr>
          <w:p w14:paraId="01BB87C0" w14:textId="32ECCCE3" w:rsidR="00A435EA" w:rsidRPr="00D51C11" w:rsidRDefault="00A435EA">
            <w:pPr>
              <w:jc w:val="center"/>
              <w:rPr>
                <w:rFonts w:ascii="Calibri" w:eastAsia="Calibri" w:hAnsi="Calibri" w:cs="Times New Roman"/>
                <w:lang w:val="nl-NL"/>
              </w:rPr>
            </w:pPr>
            <w:r w:rsidRPr="00D51C11">
              <w:rPr>
                <w:rFonts w:ascii="Calibri" w:eastAsia="Calibri" w:hAnsi="Calibri" w:cs="Times New Roman"/>
                <w:lang w:val="nl-NL"/>
              </w:rPr>
              <w:t>NA</w:t>
            </w:r>
          </w:p>
        </w:tc>
        <w:tc>
          <w:tcPr>
            <w:tcW w:w="1559" w:type="dxa"/>
          </w:tcPr>
          <w:p w14:paraId="12539457" w14:textId="77777777" w:rsidR="00A435EA" w:rsidRPr="00D51C11" w:rsidRDefault="00A435EA">
            <w:pPr>
              <w:jc w:val="center"/>
              <w:rPr>
                <w:rFonts w:ascii="Calibri" w:eastAsia="Calibri" w:hAnsi="Calibri" w:cs="Times New Roman"/>
                <w:lang w:val="nl-NL"/>
              </w:rPr>
            </w:pPr>
            <w:r w:rsidRPr="00D51C11">
              <w:rPr>
                <w:rFonts w:ascii="Calibri" w:eastAsia="Calibri" w:hAnsi="Calibri" w:cs="Times New Roman"/>
                <w:lang w:val="nl-NL"/>
              </w:rPr>
              <w:t>29.6</w:t>
            </w:r>
          </w:p>
        </w:tc>
        <w:tc>
          <w:tcPr>
            <w:tcW w:w="1560" w:type="dxa"/>
          </w:tcPr>
          <w:p w14:paraId="2B6E7AF1" w14:textId="77777777" w:rsidR="00A435EA" w:rsidRPr="00D51C11" w:rsidRDefault="00A435EA">
            <w:pPr>
              <w:jc w:val="center"/>
              <w:rPr>
                <w:rFonts w:ascii="Calibri" w:eastAsia="Calibri" w:hAnsi="Calibri" w:cs="Times New Roman"/>
                <w:lang w:val="nl-NL"/>
              </w:rPr>
            </w:pPr>
            <w:r w:rsidRPr="00D51C11">
              <w:rPr>
                <w:rFonts w:ascii="Calibri" w:eastAsia="Calibri" w:hAnsi="Calibri" w:cs="Times New Roman"/>
                <w:lang w:val="nl-NL"/>
              </w:rPr>
              <w:t>35.9</w:t>
            </w:r>
          </w:p>
        </w:tc>
      </w:tr>
      <w:tr w:rsidR="00A435EA" w:rsidRPr="00357FBE" w14:paraId="0BC52BDD" w14:textId="77777777" w:rsidTr="00370359">
        <w:tc>
          <w:tcPr>
            <w:tcW w:w="1572" w:type="dxa"/>
          </w:tcPr>
          <w:p w14:paraId="6D73F49F" w14:textId="77777777" w:rsidR="00A435EA" w:rsidRPr="00D51C11" w:rsidRDefault="00A435EA" w:rsidP="00D17ED2">
            <w:pPr>
              <w:ind w:firstLine="174"/>
              <w:rPr>
                <w:rFonts w:ascii="Calibri" w:eastAsia="Calibri" w:hAnsi="Calibri" w:cs="Times New Roman"/>
                <w:lang w:val="nl-NL"/>
              </w:rPr>
            </w:pPr>
            <w:r w:rsidRPr="00D51C11">
              <w:rPr>
                <w:rFonts w:ascii="Calibri" w:eastAsia="Calibri" w:hAnsi="Calibri" w:cs="Times New Roman"/>
                <w:lang w:val="nl-NL"/>
              </w:rPr>
              <w:t>36 m</w:t>
            </w:r>
          </w:p>
        </w:tc>
        <w:tc>
          <w:tcPr>
            <w:tcW w:w="1677" w:type="dxa"/>
          </w:tcPr>
          <w:p w14:paraId="147C74D2" w14:textId="77777777" w:rsidR="00A435EA" w:rsidRPr="00D51C11" w:rsidRDefault="00A435EA">
            <w:pPr>
              <w:jc w:val="center"/>
              <w:rPr>
                <w:rFonts w:ascii="Calibri" w:eastAsia="Calibri" w:hAnsi="Calibri" w:cs="Times New Roman"/>
                <w:lang w:val="nl-NL"/>
              </w:rPr>
            </w:pPr>
            <w:r w:rsidRPr="00D51C11">
              <w:rPr>
                <w:rFonts w:ascii="Calibri" w:eastAsia="Calibri" w:hAnsi="Calibri" w:cs="Times New Roman"/>
                <w:lang w:val="nl-NL"/>
              </w:rPr>
              <w:t>NA</w:t>
            </w:r>
          </w:p>
        </w:tc>
        <w:tc>
          <w:tcPr>
            <w:tcW w:w="1849" w:type="dxa"/>
          </w:tcPr>
          <w:p w14:paraId="059A55EA" w14:textId="77777777" w:rsidR="00A435EA" w:rsidRPr="00D51C11" w:rsidRDefault="00A435EA">
            <w:pPr>
              <w:jc w:val="center"/>
              <w:rPr>
                <w:rFonts w:ascii="Calibri" w:eastAsia="Calibri" w:hAnsi="Calibri" w:cs="Times New Roman"/>
                <w:lang w:val="nl-NL"/>
              </w:rPr>
            </w:pPr>
            <w:r w:rsidRPr="00D51C11">
              <w:rPr>
                <w:rFonts w:ascii="Calibri" w:eastAsia="Calibri" w:hAnsi="Calibri" w:cs="Times New Roman"/>
                <w:lang w:val="nl-NL"/>
              </w:rPr>
              <w:t>NA</w:t>
            </w:r>
          </w:p>
        </w:tc>
        <w:tc>
          <w:tcPr>
            <w:tcW w:w="1843" w:type="dxa"/>
          </w:tcPr>
          <w:p w14:paraId="0CDE9946" w14:textId="77777777" w:rsidR="00A435EA" w:rsidRPr="00D51C11" w:rsidRDefault="00A435EA">
            <w:pPr>
              <w:jc w:val="center"/>
              <w:rPr>
                <w:rFonts w:ascii="Calibri" w:eastAsia="Calibri" w:hAnsi="Calibri" w:cs="Times New Roman"/>
                <w:lang w:val="nl-NL"/>
              </w:rPr>
            </w:pPr>
            <w:r w:rsidRPr="00D51C11">
              <w:rPr>
                <w:rFonts w:ascii="Calibri" w:eastAsia="Calibri" w:hAnsi="Calibri" w:cs="Times New Roman"/>
                <w:lang w:val="nl-NL"/>
              </w:rPr>
              <w:t>31.6</w:t>
            </w:r>
          </w:p>
        </w:tc>
        <w:tc>
          <w:tcPr>
            <w:tcW w:w="2835" w:type="dxa"/>
          </w:tcPr>
          <w:p w14:paraId="52AACCCC" w14:textId="3D497FD5" w:rsidR="00A435EA" w:rsidRPr="00D51C11" w:rsidRDefault="00A435EA">
            <w:pPr>
              <w:jc w:val="center"/>
              <w:rPr>
                <w:rFonts w:ascii="Calibri" w:eastAsia="Calibri" w:hAnsi="Calibri" w:cs="Times New Roman"/>
                <w:lang w:val="nl-NL"/>
              </w:rPr>
            </w:pPr>
            <w:r>
              <w:rPr>
                <w:rFonts w:ascii="Calibri" w:eastAsia="Calibri" w:hAnsi="Calibri" w:cs="Times New Roman"/>
                <w:lang w:val="nl-NL"/>
              </w:rPr>
              <w:t>43.7</w:t>
            </w:r>
          </w:p>
        </w:tc>
        <w:tc>
          <w:tcPr>
            <w:tcW w:w="1559" w:type="dxa"/>
          </w:tcPr>
          <w:p w14:paraId="7D7F9B0D" w14:textId="77777777" w:rsidR="00A435EA" w:rsidRPr="00D51C11" w:rsidRDefault="00A435EA">
            <w:pPr>
              <w:jc w:val="center"/>
              <w:rPr>
                <w:rFonts w:ascii="Calibri" w:eastAsia="Calibri" w:hAnsi="Calibri" w:cs="Times New Roman"/>
                <w:lang w:val="nl-NL"/>
              </w:rPr>
            </w:pPr>
            <w:r w:rsidRPr="00D51C11">
              <w:rPr>
                <w:rFonts w:ascii="Calibri" w:eastAsia="Calibri" w:hAnsi="Calibri" w:cs="Times New Roman"/>
                <w:lang w:val="nl-NL"/>
              </w:rPr>
              <w:t>16.7</w:t>
            </w:r>
          </w:p>
        </w:tc>
        <w:tc>
          <w:tcPr>
            <w:tcW w:w="1560" w:type="dxa"/>
          </w:tcPr>
          <w:p w14:paraId="236C45F9" w14:textId="77777777" w:rsidR="00A435EA" w:rsidRPr="00D51C11" w:rsidRDefault="00A435EA">
            <w:pPr>
              <w:jc w:val="center"/>
              <w:rPr>
                <w:rFonts w:ascii="Calibri" w:eastAsia="Calibri" w:hAnsi="Calibri" w:cs="Times New Roman"/>
                <w:lang w:val="nl-NL"/>
              </w:rPr>
            </w:pPr>
            <w:r w:rsidRPr="00D51C11">
              <w:rPr>
                <w:rFonts w:ascii="Calibri" w:eastAsia="Calibri" w:hAnsi="Calibri" w:cs="Times New Roman"/>
                <w:lang w:val="nl-NL"/>
              </w:rPr>
              <w:t>28.2</w:t>
            </w:r>
          </w:p>
        </w:tc>
      </w:tr>
      <w:tr w:rsidR="00A435EA" w:rsidRPr="00357FBE" w14:paraId="675DDED5" w14:textId="77777777" w:rsidTr="00370359">
        <w:tc>
          <w:tcPr>
            <w:tcW w:w="1572" w:type="dxa"/>
          </w:tcPr>
          <w:p w14:paraId="26307EED" w14:textId="77777777" w:rsidR="00A435EA" w:rsidRPr="00D51C11" w:rsidRDefault="00A435EA" w:rsidP="00C62DFE">
            <w:pPr>
              <w:rPr>
                <w:rFonts w:ascii="Calibri" w:eastAsia="Calibri" w:hAnsi="Calibri" w:cs="Times New Roman"/>
                <w:lang w:val="nl-NL"/>
              </w:rPr>
            </w:pPr>
          </w:p>
        </w:tc>
        <w:tc>
          <w:tcPr>
            <w:tcW w:w="1677" w:type="dxa"/>
          </w:tcPr>
          <w:p w14:paraId="2D820212" w14:textId="77777777" w:rsidR="00A435EA" w:rsidRPr="00D51C11" w:rsidRDefault="00A435EA">
            <w:pPr>
              <w:rPr>
                <w:rFonts w:ascii="Calibri" w:eastAsia="Calibri" w:hAnsi="Calibri" w:cs="Times New Roman"/>
                <w:lang w:val="nl-NL"/>
              </w:rPr>
            </w:pPr>
          </w:p>
        </w:tc>
        <w:tc>
          <w:tcPr>
            <w:tcW w:w="1849" w:type="dxa"/>
          </w:tcPr>
          <w:p w14:paraId="6F963A50" w14:textId="77777777" w:rsidR="00A435EA" w:rsidRPr="00D51C11" w:rsidRDefault="00A435EA">
            <w:pPr>
              <w:rPr>
                <w:rFonts w:ascii="Calibri" w:eastAsia="Calibri" w:hAnsi="Calibri" w:cs="Times New Roman"/>
                <w:lang w:val="nl-NL"/>
              </w:rPr>
            </w:pPr>
          </w:p>
        </w:tc>
        <w:tc>
          <w:tcPr>
            <w:tcW w:w="1843" w:type="dxa"/>
          </w:tcPr>
          <w:p w14:paraId="7147FDBB" w14:textId="77777777" w:rsidR="00A435EA" w:rsidRPr="00D51C11" w:rsidRDefault="00A435EA">
            <w:pPr>
              <w:rPr>
                <w:rFonts w:ascii="Calibri" w:eastAsia="Calibri" w:hAnsi="Calibri" w:cs="Times New Roman"/>
                <w:lang w:val="nl-NL"/>
              </w:rPr>
            </w:pPr>
          </w:p>
        </w:tc>
        <w:tc>
          <w:tcPr>
            <w:tcW w:w="2835" w:type="dxa"/>
          </w:tcPr>
          <w:p w14:paraId="71DDD3B6" w14:textId="77777777" w:rsidR="00A435EA" w:rsidRPr="00D51C11" w:rsidRDefault="00A435EA">
            <w:pPr>
              <w:rPr>
                <w:rFonts w:ascii="Calibri" w:eastAsia="Calibri" w:hAnsi="Calibri" w:cs="Times New Roman"/>
                <w:lang w:val="nl-NL"/>
              </w:rPr>
            </w:pPr>
          </w:p>
        </w:tc>
        <w:tc>
          <w:tcPr>
            <w:tcW w:w="1559" w:type="dxa"/>
          </w:tcPr>
          <w:p w14:paraId="660FD2CB" w14:textId="77777777" w:rsidR="00A435EA" w:rsidRPr="00D51C11" w:rsidRDefault="00A435EA">
            <w:pPr>
              <w:jc w:val="center"/>
              <w:rPr>
                <w:rFonts w:ascii="Calibri" w:eastAsia="Calibri" w:hAnsi="Calibri" w:cs="Times New Roman"/>
                <w:lang w:val="nl-NL"/>
              </w:rPr>
            </w:pPr>
          </w:p>
        </w:tc>
        <w:tc>
          <w:tcPr>
            <w:tcW w:w="1560" w:type="dxa"/>
          </w:tcPr>
          <w:p w14:paraId="0816A252" w14:textId="77777777" w:rsidR="00A435EA" w:rsidRPr="00D51C11" w:rsidRDefault="00A435EA">
            <w:pPr>
              <w:jc w:val="center"/>
              <w:rPr>
                <w:rFonts w:ascii="Calibri" w:eastAsia="Calibri" w:hAnsi="Calibri" w:cs="Times New Roman"/>
                <w:lang w:val="nl-NL"/>
              </w:rPr>
            </w:pPr>
          </w:p>
        </w:tc>
      </w:tr>
      <w:tr w:rsidR="00A435EA" w:rsidRPr="00F40075" w14:paraId="18681D7D" w14:textId="77777777" w:rsidTr="00370359">
        <w:tc>
          <w:tcPr>
            <w:tcW w:w="5098" w:type="dxa"/>
            <w:gridSpan w:val="3"/>
          </w:tcPr>
          <w:p w14:paraId="173A7051" w14:textId="77777777" w:rsidR="00A435EA" w:rsidRPr="00D51C11" w:rsidRDefault="00A435EA" w:rsidP="00C62DFE">
            <w:pPr>
              <w:rPr>
                <w:rFonts w:ascii="Calibri" w:eastAsia="Calibri" w:hAnsi="Calibri" w:cs="Times New Roman"/>
                <w:b/>
                <w:bCs/>
                <w:lang w:val="nl-NL"/>
              </w:rPr>
            </w:pPr>
            <w:r w:rsidRPr="00D51C11">
              <w:rPr>
                <w:rFonts w:ascii="Calibri" w:eastAsia="Calibri" w:hAnsi="Calibri" w:cs="Times New Roman"/>
                <w:b/>
                <w:bCs/>
                <w:lang w:val="nl-NL"/>
              </w:rPr>
              <w:t xml:space="preserve">PD-L1 </w:t>
            </w:r>
            <w:r w:rsidRPr="00D51C11">
              <w:rPr>
                <w:rFonts w:ascii="Calibri" w:eastAsia="Calibri" w:hAnsi="Calibri" w:cs="Calibri"/>
                <w:b/>
                <w:bCs/>
                <w:lang w:val="nl-NL"/>
              </w:rPr>
              <w:t>≥</w:t>
            </w:r>
            <w:r w:rsidRPr="00D51C11">
              <w:rPr>
                <w:rFonts w:ascii="Calibri" w:eastAsia="Calibri" w:hAnsi="Calibri" w:cs="Times New Roman"/>
                <w:b/>
                <w:bCs/>
                <w:lang w:val="nl-NL"/>
              </w:rPr>
              <w:t xml:space="preserve"> 50; Pembrolizumab + PDCT</w:t>
            </w:r>
          </w:p>
        </w:tc>
        <w:tc>
          <w:tcPr>
            <w:tcW w:w="1843" w:type="dxa"/>
          </w:tcPr>
          <w:p w14:paraId="37F38C39" w14:textId="77777777" w:rsidR="00A435EA" w:rsidRPr="00D51C11" w:rsidRDefault="00A435EA">
            <w:pPr>
              <w:rPr>
                <w:rFonts w:ascii="Calibri" w:eastAsia="Calibri" w:hAnsi="Calibri" w:cs="Times New Roman"/>
                <w:lang w:val="nl-NL"/>
              </w:rPr>
            </w:pPr>
          </w:p>
        </w:tc>
        <w:tc>
          <w:tcPr>
            <w:tcW w:w="2835" w:type="dxa"/>
          </w:tcPr>
          <w:p w14:paraId="15573469" w14:textId="4C6A945C" w:rsidR="00A435EA" w:rsidRPr="00F40075" w:rsidRDefault="00A435EA">
            <w:pPr>
              <w:rPr>
                <w:rFonts w:ascii="Calibri" w:eastAsia="Calibri" w:hAnsi="Calibri" w:cs="Times New Roman"/>
                <w:lang w:val="en-GB"/>
              </w:rPr>
            </w:pPr>
            <w:r w:rsidRPr="00D51C11">
              <w:rPr>
                <w:rFonts w:ascii="Calibri" w:eastAsia="Calibri" w:hAnsi="Calibri" w:cs="Times New Roman"/>
                <w:lang w:val="nl-NL"/>
              </w:rPr>
              <w:t xml:space="preserve">3 </w:t>
            </w:r>
            <w:proofErr w:type="spellStart"/>
            <w:r w:rsidRPr="00D51C11">
              <w:rPr>
                <w:rFonts w:ascii="Calibri" w:eastAsia="Calibri" w:hAnsi="Calibri" w:cs="Times New Roman"/>
                <w:lang w:val="nl-NL"/>
              </w:rPr>
              <w:t>year</w:t>
            </w:r>
            <w:proofErr w:type="spellEnd"/>
            <w:r w:rsidRPr="00D51C11">
              <w:rPr>
                <w:rFonts w:ascii="Calibri" w:eastAsia="Calibri" w:hAnsi="Calibri" w:cs="Times New Roman"/>
                <w:lang w:val="nl-NL"/>
              </w:rPr>
              <w:t xml:space="preserve"> update keynote-189 </w:t>
            </w:r>
            <w:r w:rsidRPr="00F40075">
              <w:rPr>
                <w:rFonts w:ascii="Calibri" w:eastAsia="Calibri" w:hAnsi="Calibri" w:cs="Times New Roman"/>
                <w:lang w:val="en-GB"/>
              </w:rPr>
              <w:fldChar w:fldCharType="begin" w:fldLock="1"/>
            </w:r>
            <w:r w:rsidR="00315CD2">
              <w:rPr>
                <w:rFonts w:ascii="Calibri" w:eastAsia="Calibri" w:hAnsi="Calibri" w:cs="Times New Roman"/>
                <w:lang w:val="nl-NL"/>
              </w:rPr>
              <w:instrText>ADDIN CSL_CITATION {"citationItems":[{"id":"ITEM-1","itemData":{"DOI":"10.1200/JCO.19.03136","ISSN":"0732-183X","PMID":"32150489","abstract":"PURPOSE In KEYNOTE-189, first-line pembrolizumab plus pemetrexed-platinum significantly improved overall survival (OS) and progression-free survival (PFS) compared with placebo plus pemetrexed-platinum in patients with metastatic nonsquamous non‒small-cell lung cancer (NSCLC), irrespective of tumor programmed death-ligand 1 (PD-L1) expression. We report an updated analysis from KEYNOTE-189 (ClinicalTrials.gov: NCT02578680). METHODS Patients were randomly assigned (2:1) to receive pemetrexed and platinum plus pembrolizumab (n = 410) or placebo (n = 206) every 3 weeks for 4 cycles, then pemetrexed maintenance plus pembrolizumab or placebo for up to a total of 35 cycles. Eligible patients with disease progression in the placebo-combination group could cross over to pembrolizumab monotherapy. Response was assessed per RECIST (version 1.1) by central review. No alpha was assigned to this updated analysis. RESULTS As of September 21, 2018 (median follow-up, 23.1 months), the updated median (95% CI) OS was 22.0 (19.5 to 25.2) months in the pembrolizumab-combination group versus 10.7 (8.7 to 13.6) months in the placebo-combination group (hazard ratio [HR], 0.56; 95% CI, 0.45 to 0.70]). Median (95% CI) PFS was 9.0 (8.1 to 9.9) months and 4.9 (4.7 to 5.5) months, respectively (HR, 0.48; 95% CI, 0.40 to 0.58). Median (95% CI) time from randomization to objective tumor progression on next-line treatment or death from any cause, whichever occurred first (progression-free-survival-2; PFS-2) was 17.0 (15.1 to 19.4) months and 9.0 (7.6 to 10.4) months, respectively (HR, 0.49; 95% CI, 0.40 to 0.59). OS and PFS benefits with pembrolizumab were observed regardless of PD-L1 expression or presence of liver/brain metastases. Incidence of grade 3-5 adverse events was similar in the pembrolizumab-combination (71.9%) and placebo-combination (66.8%) groups. CONCLUSION First-line pembrolizumab plus pemetrexed-platinum continued to demonstrate substantially improved OS and PFS in metastatic nonsquamous NSCLC, regardless of PD-L1 expression or liver/brain metastases, with manageable safety and tolerability.","author":[{"dropping-particle":"","family":"Gadgeel","given":"Shirish","non-dropping-particle":"","parse-names":false,"suffix":""},{"dropping-particle":"","family":"Rodríguez-Abreu","given":"Delvys","non-dropping-particle":"","parse-names":false,"suffix":""},{"dropping-particle":"","family":"Speranza","given":"Giovanna","non-dropping-particle":"","parse-names":false,"suffix":""},{"dropping-particle":"","family":"Esteban","given":"Emilio","non-dropping-particle":"","parse-names":false,"suffix":""},{"dropping-particle":"","family":"Felip","given":"Enriqueta","non-dropping-particle":"","parse-names":false,"suffix":""},{"dropping-particle":"","family":"Dómine","given":"Manuel","non-dropping-particle":"","parse-names":false,"suffix":""},{"dropping-particle":"","family":"Hui","given":"Rina","non-dropping-particle":"","parse-names":false,"suffix":""},{"dropping-particle":"","family":"Hochmair","given":"Maximilian J.","non-dropping-particle":"","parse-names":false,"suffix":""},{"dropping-particle":"","family":"Clingan","given":"Philip","non-dropping-particle":"","parse-names":false,"suffix":""},{"dropping-particle":"","family":"Powell","given":"Steven F.","non-dropping-particle":"","parse-names":false,"suffix":""},{"dropping-particle":"","family":"Cheng","given":"Susanna Yee-Shan","non-dropping-particle":"","parse-names":false,"suffix":""},{"dropping-particle":"","family":"Bischoff","given":"Helge G.","non-dropping-particle":"","parse-names":false,"suffix":""},{"dropping-particle":"","family":"Peled","given":"Nir","non-dropping-particle":"","parse-names":false,"suffix":""},{"dropping-particle":"","family":"Grossi","given":"Francesco","non-dropping-particle":"","parse-names":false,"suffix":""},{"dropping-particle":"","family":"Jennens","given":"Ross R.","non-dropping-particle":"","parse-names":false,"suffix":""},{"dropping-particle":"","family":"Reck","given":"Martin","non-dropping-particle":"","parse-names":false,"suffix":""},{"dropping-particle":"","family":"Garon","given":"Edward B.","non-dropping-particle":"","parse-names":false,"suffix":""},{"dropping-particle":"","family":"Novello","given":"Silvia","non-dropping-particle":"","parse-names":false,"suffix":""},{"dropping-particle":"","family":"Rubio-Viqueira","given":"Belén","non-dropping-particle":"","parse-names":false,"suffix":""},{"dropping-particle":"","family":"Boyer","given":"Michael","non-dropping</w:instrText>
            </w:r>
            <w:r w:rsidR="00315CD2" w:rsidRPr="00357FBE">
              <w:rPr>
                <w:rFonts w:ascii="Calibri" w:eastAsia="Calibri" w:hAnsi="Calibri" w:cs="Times New Roman"/>
                <w:lang w:val="en-GB"/>
              </w:rPr>
              <w:instrText>-particle":"","parse-names":false,"suffix":""},{"dropping-particle":"","family":"Kurata","given":"Takayasu","non-dropping-particle":"","parse-names":false,"suffix":""},{"dropping-particle":"","family":"Gray","given":"Jhanelle E.","non-dropping-particle":"","parse-names":false,"suffix":""},{"dropping-particle":"","family":"Yang","given":"Jing","non-dropping-particle":"","parse-names":false,"suffix":""},{"dropping-particle":"","family":"Bas","given":"Tuba","non-dropping-particle":"","parse-names":false,"suffix":""},{"dropping-particle":"","family":"Pietanza","given":"M. Catherine","non-dropping-particle":"","parse-names":false,"suffix":""},{"dropping-particle":"","family":"Garassino","given":"Marina C.","non-dropping-particle":"","parse-names":false,"suffix":""}],"container-title":"Journal of Clinical Oncology","id":"ITEM-1","issue":"14","issued":{"date-parts":[["2020","5","10"]]},"page":"1505-1517","publisher":"American Society of Clinical Oncology","title":"Updated Analysis From KEYNOTE-189: Pembrolizumab or Placebo Plus Pemetrexed and Platinum for Previously Untreated Metastatic Nonsquamous Non–Small-Cell Lung Cancer","type":"article-journal","volume":"38"},"uris":["http://www.mendeley.com/documents/?uuid=a6cabec9-ebe6-318d-ace4-b7649d8ccc78"]}],"mendeley":{"formattedCitation":"[75]","plainTextFormattedCitation":"[75]","previouslyFormattedCitation":"[75]"},"properties":{"noteIndex":0},"schema":"https://github.com/citation-style-language/schema/raw/master/csl-citation.json"}</w:instrText>
            </w:r>
            <w:r w:rsidRPr="00F40075">
              <w:rPr>
                <w:rFonts w:ascii="Calibri" w:eastAsia="Calibri" w:hAnsi="Calibri" w:cs="Times New Roman"/>
                <w:lang w:val="en-GB"/>
              </w:rPr>
              <w:fldChar w:fldCharType="separate"/>
            </w:r>
            <w:r w:rsidR="009F237B" w:rsidRPr="009F237B">
              <w:rPr>
                <w:rFonts w:ascii="Calibri" w:eastAsia="Calibri" w:hAnsi="Calibri" w:cs="Times New Roman"/>
                <w:noProof/>
                <w:lang w:val="en-GB"/>
              </w:rPr>
              <w:t>[75]</w:t>
            </w:r>
            <w:r w:rsidRPr="00F40075">
              <w:rPr>
                <w:rFonts w:ascii="Calibri" w:eastAsia="Calibri" w:hAnsi="Calibri" w:cs="Times New Roman"/>
                <w:lang w:val="en-GB"/>
              </w:rPr>
              <w:fldChar w:fldCharType="end"/>
            </w:r>
          </w:p>
        </w:tc>
        <w:tc>
          <w:tcPr>
            <w:tcW w:w="1559" w:type="dxa"/>
          </w:tcPr>
          <w:p w14:paraId="4D82617B" w14:textId="77777777" w:rsidR="00A435EA" w:rsidRPr="00F40075" w:rsidRDefault="00A435EA">
            <w:pPr>
              <w:jc w:val="center"/>
              <w:rPr>
                <w:rFonts w:ascii="Calibri" w:eastAsia="Calibri" w:hAnsi="Calibri" w:cs="Times New Roman"/>
                <w:lang w:val="en-GB"/>
              </w:rPr>
            </w:pPr>
          </w:p>
        </w:tc>
        <w:tc>
          <w:tcPr>
            <w:tcW w:w="1560" w:type="dxa"/>
          </w:tcPr>
          <w:p w14:paraId="1DE29483" w14:textId="77777777" w:rsidR="00A435EA" w:rsidRPr="00F40075" w:rsidRDefault="00A435EA">
            <w:pPr>
              <w:jc w:val="center"/>
              <w:rPr>
                <w:rFonts w:ascii="Calibri" w:eastAsia="Calibri" w:hAnsi="Calibri" w:cs="Times New Roman"/>
                <w:lang w:val="en-GB"/>
              </w:rPr>
            </w:pPr>
          </w:p>
        </w:tc>
      </w:tr>
      <w:tr w:rsidR="00A435EA" w:rsidRPr="00F40075" w14:paraId="7FFAD62F" w14:textId="77777777" w:rsidTr="00370359">
        <w:tc>
          <w:tcPr>
            <w:tcW w:w="1572" w:type="dxa"/>
          </w:tcPr>
          <w:p w14:paraId="6D400B37" w14:textId="77777777" w:rsidR="00A435EA" w:rsidRPr="00F40075" w:rsidRDefault="00A435EA" w:rsidP="00C62DFE">
            <w:pPr>
              <w:rPr>
                <w:rFonts w:ascii="Calibri" w:eastAsia="Calibri" w:hAnsi="Calibri" w:cs="Times New Roman"/>
                <w:lang w:val="en-GB"/>
              </w:rPr>
            </w:pPr>
            <w:proofErr w:type="spellStart"/>
            <w:r w:rsidRPr="00F40075">
              <w:rPr>
                <w:rFonts w:ascii="Calibri" w:eastAsia="Calibri" w:hAnsi="Calibri" w:cs="Times New Roman"/>
                <w:lang w:val="en-GB"/>
              </w:rPr>
              <w:t>mPFS</w:t>
            </w:r>
            <w:proofErr w:type="spellEnd"/>
          </w:p>
        </w:tc>
        <w:tc>
          <w:tcPr>
            <w:tcW w:w="1677" w:type="dxa"/>
          </w:tcPr>
          <w:p w14:paraId="4CFB2FC5"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1849" w:type="dxa"/>
          </w:tcPr>
          <w:p w14:paraId="5B647CE5"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8.8 (7.2-11.6)</w:t>
            </w:r>
          </w:p>
        </w:tc>
        <w:tc>
          <w:tcPr>
            <w:tcW w:w="1843" w:type="dxa"/>
          </w:tcPr>
          <w:p w14:paraId="39183F59"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2835" w:type="dxa"/>
          </w:tcPr>
          <w:p w14:paraId="72431138"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11.1 (9.1-14.4)</w:t>
            </w:r>
          </w:p>
        </w:tc>
        <w:tc>
          <w:tcPr>
            <w:tcW w:w="1559" w:type="dxa"/>
          </w:tcPr>
          <w:p w14:paraId="11F89406"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16.6</w:t>
            </w:r>
          </w:p>
        </w:tc>
        <w:tc>
          <w:tcPr>
            <w:tcW w:w="1560" w:type="dxa"/>
          </w:tcPr>
          <w:p w14:paraId="08535544"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17.1</w:t>
            </w:r>
          </w:p>
        </w:tc>
      </w:tr>
      <w:tr w:rsidR="00A435EA" w:rsidRPr="00F40075" w14:paraId="35921A9E" w14:textId="77777777" w:rsidTr="00370359">
        <w:tc>
          <w:tcPr>
            <w:tcW w:w="1572" w:type="dxa"/>
          </w:tcPr>
          <w:p w14:paraId="54F7CA06" w14:textId="77777777" w:rsidR="00A435EA" w:rsidRPr="00F40075" w:rsidRDefault="00A435EA" w:rsidP="00C62DFE">
            <w:pPr>
              <w:rPr>
                <w:rFonts w:ascii="Calibri" w:eastAsia="Calibri" w:hAnsi="Calibri" w:cs="Times New Roman"/>
                <w:lang w:val="en-GB"/>
              </w:rPr>
            </w:pPr>
            <w:proofErr w:type="spellStart"/>
            <w:r w:rsidRPr="00F40075">
              <w:rPr>
                <w:rFonts w:ascii="Calibri" w:eastAsia="Calibri" w:hAnsi="Calibri" w:cs="Times New Roman"/>
                <w:lang w:val="en-GB"/>
              </w:rPr>
              <w:t>mOS</w:t>
            </w:r>
            <w:proofErr w:type="spellEnd"/>
          </w:p>
        </w:tc>
        <w:tc>
          <w:tcPr>
            <w:tcW w:w="1677" w:type="dxa"/>
          </w:tcPr>
          <w:p w14:paraId="410E393F"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1849" w:type="dxa"/>
          </w:tcPr>
          <w:p w14:paraId="59B70365"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20.6 (14.8-NR)</w:t>
            </w:r>
          </w:p>
        </w:tc>
        <w:tc>
          <w:tcPr>
            <w:tcW w:w="1843" w:type="dxa"/>
          </w:tcPr>
          <w:p w14:paraId="5D0A2DE7"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19.1 (15.5-22.1)</w:t>
            </w:r>
          </w:p>
        </w:tc>
        <w:tc>
          <w:tcPr>
            <w:tcW w:w="2835" w:type="dxa"/>
          </w:tcPr>
          <w:p w14:paraId="6A8FEC8E"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NR (20.4-NR)</w:t>
            </w:r>
          </w:p>
        </w:tc>
        <w:tc>
          <w:tcPr>
            <w:tcW w:w="1559" w:type="dxa"/>
          </w:tcPr>
          <w:p w14:paraId="2E72E42B"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18.9</w:t>
            </w:r>
          </w:p>
        </w:tc>
        <w:tc>
          <w:tcPr>
            <w:tcW w:w="1560" w:type="dxa"/>
          </w:tcPr>
          <w:p w14:paraId="08A824A2"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19.3</w:t>
            </w:r>
          </w:p>
        </w:tc>
      </w:tr>
      <w:tr w:rsidR="00A435EA" w:rsidRPr="00F40075" w14:paraId="1DB3DE19" w14:textId="77777777" w:rsidTr="00370359">
        <w:tc>
          <w:tcPr>
            <w:tcW w:w="1572" w:type="dxa"/>
          </w:tcPr>
          <w:p w14:paraId="4113E8FA" w14:textId="77777777" w:rsidR="00A435EA" w:rsidRPr="00F40075" w:rsidRDefault="00A435EA" w:rsidP="00C62DFE">
            <w:pPr>
              <w:rPr>
                <w:rFonts w:ascii="Calibri" w:eastAsia="Calibri" w:hAnsi="Calibri" w:cs="Times New Roman"/>
                <w:lang w:val="en-GB"/>
              </w:rPr>
            </w:pPr>
            <w:proofErr w:type="spellStart"/>
            <w:r w:rsidRPr="00F40075">
              <w:rPr>
                <w:rFonts w:ascii="Calibri" w:eastAsia="Calibri" w:hAnsi="Calibri" w:cs="Times New Roman"/>
                <w:lang w:val="en-GB"/>
              </w:rPr>
              <w:t>Surv</w:t>
            </w:r>
            <w:proofErr w:type="spellEnd"/>
            <w:r w:rsidRPr="00F40075">
              <w:rPr>
                <w:rFonts w:ascii="Calibri" w:eastAsia="Calibri" w:hAnsi="Calibri" w:cs="Times New Roman"/>
                <w:lang w:val="en-GB"/>
              </w:rPr>
              <w:t>. Rate (%)</w:t>
            </w:r>
          </w:p>
        </w:tc>
        <w:tc>
          <w:tcPr>
            <w:tcW w:w="1677" w:type="dxa"/>
          </w:tcPr>
          <w:p w14:paraId="33DDA6E6" w14:textId="77777777" w:rsidR="00A435EA" w:rsidRPr="00F40075" w:rsidRDefault="00A435EA">
            <w:pPr>
              <w:jc w:val="center"/>
              <w:rPr>
                <w:rFonts w:ascii="Calibri" w:eastAsia="Calibri" w:hAnsi="Calibri" w:cs="Times New Roman"/>
                <w:lang w:val="en-GB"/>
              </w:rPr>
            </w:pPr>
          </w:p>
        </w:tc>
        <w:tc>
          <w:tcPr>
            <w:tcW w:w="1849" w:type="dxa"/>
          </w:tcPr>
          <w:p w14:paraId="5958847E" w14:textId="77777777" w:rsidR="00A435EA" w:rsidRPr="00F40075" w:rsidRDefault="00A435EA">
            <w:pPr>
              <w:jc w:val="center"/>
              <w:rPr>
                <w:rFonts w:ascii="Calibri" w:eastAsia="Calibri" w:hAnsi="Calibri" w:cs="Times New Roman"/>
                <w:lang w:val="en-GB"/>
              </w:rPr>
            </w:pPr>
          </w:p>
        </w:tc>
        <w:tc>
          <w:tcPr>
            <w:tcW w:w="1843" w:type="dxa"/>
          </w:tcPr>
          <w:p w14:paraId="33DFC5CB" w14:textId="77777777" w:rsidR="00A435EA" w:rsidRPr="00F40075" w:rsidRDefault="00A435EA">
            <w:pPr>
              <w:jc w:val="center"/>
              <w:rPr>
                <w:rFonts w:ascii="Calibri" w:eastAsia="Calibri" w:hAnsi="Calibri" w:cs="Times New Roman"/>
                <w:lang w:val="en-GB"/>
              </w:rPr>
            </w:pPr>
          </w:p>
        </w:tc>
        <w:tc>
          <w:tcPr>
            <w:tcW w:w="2835" w:type="dxa"/>
          </w:tcPr>
          <w:p w14:paraId="2AB3C56E" w14:textId="77777777" w:rsidR="00A435EA" w:rsidRPr="00F40075" w:rsidRDefault="00A435EA">
            <w:pPr>
              <w:jc w:val="center"/>
              <w:rPr>
                <w:rFonts w:ascii="Calibri" w:eastAsia="Calibri" w:hAnsi="Calibri" w:cs="Times New Roman"/>
                <w:lang w:val="en-GB"/>
              </w:rPr>
            </w:pPr>
          </w:p>
        </w:tc>
        <w:tc>
          <w:tcPr>
            <w:tcW w:w="1559" w:type="dxa"/>
          </w:tcPr>
          <w:p w14:paraId="4DA9C7C7" w14:textId="77777777" w:rsidR="00A435EA" w:rsidRPr="00F40075" w:rsidRDefault="00A435EA">
            <w:pPr>
              <w:jc w:val="center"/>
              <w:rPr>
                <w:rFonts w:ascii="Calibri" w:eastAsia="Calibri" w:hAnsi="Calibri" w:cs="Times New Roman"/>
                <w:lang w:val="en-GB"/>
              </w:rPr>
            </w:pPr>
          </w:p>
        </w:tc>
        <w:tc>
          <w:tcPr>
            <w:tcW w:w="1560" w:type="dxa"/>
          </w:tcPr>
          <w:p w14:paraId="05620DB0" w14:textId="77777777" w:rsidR="00A435EA" w:rsidRPr="00F40075" w:rsidRDefault="00A435EA">
            <w:pPr>
              <w:jc w:val="center"/>
              <w:rPr>
                <w:rFonts w:ascii="Calibri" w:eastAsia="Calibri" w:hAnsi="Calibri" w:cs="Times New Roman"/>
                <w:lang w:val="en-GB"/>
              </w:rPr>
            </w:pPr>
          </w:p>
        </w:tc>
      </w:tr>
      <w:tr w:rsidR="00A435EA" w:rsidRPr="00F40075" w14:paraId="2D187B40" w14:textId="77777777" w:rsidTr="00370359">
        <w:tc>
          <w:tcPr>
            <w:tcW w:w="1572" w:type="dxa"/>
          </w:tcPr>
          <w:p w14:paraId="185C31A9" w14:textId="77777777" w:rsidR="00A435EA" w:rsidRPr="00F40075" w:rsidRDefault="00A435EA" w:rsidP="00D17ED2">
            <w:pPr>
              <w:ind w:firstLine="174"/>
              <w:rPr>
                <w:rFonts w:ascii="Calibri" w:eastAsia="Calibri" w:hAnsi="Calibri" w:cs="Times New Roman"/>
                <w:lang w:val="en-GB"/>
              </w:rPr>
            </w:pPr>
            <w:r w:rsidRPr="00F40075">
              <w:rPr>
                <w:rFonts w:ascii="Calibri" w:eastAsia="Calibri" w:hAnsi="Calibri" w:cs="Times New Roman"/>
                <w:lang w:val="en-GB"/>
              </w:rPr>
              <w:t>6 m</w:t>
            </w:r>
          </w:p>
        </w:tc>
        <w:tc>
          <w:tcPr>
            <w:tcW w:w="1677" w:type="dxa"/>
          </w:tcPr>
          <w:p w14:paraId="23E9EC4D"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1849" w:type="dxa"/>
          </w:tcPr>
          <w:p w14:paraId="601AF986"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80.7 (70.1-87.9)</w:t>
            </w:r>
          </w:p>
        </w:tc>
        <w:tc>
          <w:tcPr>
            <w:tcW w:w="1843" w:type="dxa"/>
          </w:tcPr>
          <w:p w14:paraId="05E36253"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2835" w:type="dxa"/>
          </w:tcPr>
          <w:p w14:paraId="7F3FB90E" w14:textId="77777777" w:rsidR="00A435EA" w:rsidRPr="00F40075" w:rsidRDefault="00A435EA">
            <w:pPr>
              <w:jc w:val="center"/>
              <w:rPr>
                <w:rFonts w:ascii="Calibri" w:eastAsia="Calibri" w:hAnsi="Calibri" w:cs="Times New Roman"/>
                <w:lang w:val="en-GB"/>
              </w:rPr>
            </w:pPr>
          </w:p>
        </w:tc>
        <w:tc>
          <w:tcPr>
            <w:tcW w:w="1559" w:type="dxa"/>
          </w:tcPr>
          <w:p w14:paraId="4AAB430C"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80.5</w:t>
            </w:r>
          </w:p>
        </w:tc>
        <w:tc>
          <w:tcPr>
            <w:tcW w:w="1560" w:type="dxa"/>
          </w:tcPr>
          <w:p w14:paraId="27381208"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78.4</w:t>
            </w:r>
          </w:p>
        </w:tc>
      </w:tr>
      <w:tr w:rsidR="00A435EA" w:rsidRPr="00F40075" w14:paraId="76FD4CC5" w14:textId="77777777" w:rsidTr="00370359">
        <w:tc>
          <w:tcPr>
            <w:tcW w:w="1572" w:type="dxa"/>
          </w:tcPr>
          <w:p w14:paraId="1F3CFE86" w14:textId="77777777" w:rsidR="00A435EA" w:rsidRPr="00F40075" w:rsidRDefault="00A435EA" w:rsidP="00D17ED2">
            <w:pPr>
              <w:ind w:firstLine="174"/>
              <w:rPr>
                <w:rFonts w:ascii="Calibri" w:eastAsia="Calibri" w:hAnsi="Calibri" w:cs="Times New Roman"/>
                <w:lang w:val="en-GB"/>
              </w:rPr>
            </w:pPr>
            <w:r w:rsidRPr="00F40075">
              <w:rPr>
                <w:rFonts w:ascii="Calibri" w:eastAsia="Calibri" w:hAnsi="Calibri" w:cs="Times New Roman"/>
                <w:lang w:val="en-GB"/>
              </w:rPr>
              <w:t>12 m</w:t>
            </w:r>
          </w:p>
        </w:tc>
        <w:tc>
          <w:tcPr>
            <w:tcW w:w="1677" w:type="dxa"/>
          </w:tcPr>
          <w:p w14:paraId="01FD1DF8"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1849" w:type="dxa"/>
          </w:tcPr>
          <w:p w14:paraId="66736AEA"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65.1 (53.3-74.5)</w:t>
            </w:r>
          </w:p>
        </w:tc>
        <w:tc>
          <w:tcPr>
            <w:tcW w:w="1843" w:type="dxa"/>
          </w:tcPr>
          <w:p w14:paraId="74D97936"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61.0</w:t>
            </w:r>
          </w:p>
        </w:tc>
        <w:tc>
          <w:tcPr>
            <w:tcW w:w="2835" w:type="dxa"/>
          </w:tcPr>
          <w:p w14:paraId="560BF42B"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73.3</w:t>
            </w:r>
          </w:p>
        </w:tc>
        <w:tc>
          <w:tcPr>
            <w:tcW w:w="1559" w:type="dxa"/>
          </w:tcPr>
          <w:p w14:paraId="23A2F0A9"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64.6</w:t>
            </w:r>
          </w:p>
        </w:tc>
        <w:tc>
          <w:tcPr>
            <w:tcW w:w="1560" w:type="dxa"/>
          </w:tcPr>
          <w:p w14:paraId="3CF75178"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62.9</w:t>
            </w:r>
          </w:p>
        </w:tc>
      </w:tr>
      <w:tr w:rsidR="00A435EA" w:rsidRPr="00F40075" w14:paraId="6770573D" w14:textId="77777777" w:rsidTr="00370359">
        <w:tc>
          <w:tcPr>
            <w:tcW w:w="1572" w:type="dxa"/>
          </w:tcPr>
          <w:p w14:paraId="6E771C26" w14:textId="77777777" w:rsidR="00A435EA" w:rsidRPr="00F40075" w:rsidRDefault="00A435EA" w:rsidP="00D17ED2">
            <w:pPr>
              <w:ind w:firstLine="174"/>
              <w:rPr>
                <w:rFonts w:ascii="Calibri" w:eastAsia="Calibri" w:hAnsi="Calibri" w:cs="Times New Roman"/>
                <w:lang w:val="en-GB"/>
              </w:rPr>
            </w:pPr>
            <w:r w:rsidRPr="00F40075">
              <w:rPr>
                <w:rFonts w:ascii="Calibri" w:eastAsia="Calibri" w:hAnsi="Calibri" w:cs="Times New Roman"/>
                <w:lang w:val="en-GB"/>
              </w:rPr>
              <w:t>18 m</w:t>
            </w:r>
          </w:p>
        </w:tc>
        <w:tc>
          <w:tcPr>
            <w:tcW w:w="1677" w:type="dxa"/>
          </w:tcPr>
          <w:p w14:paraId="6A7FBDEF"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1849" w:type="dxa"/>
          </w:tcPr>
          <w:p w14:paraId="41A67BD3"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54.6 (42.2-65.5)</w:t>
            </w:r>
          </w:p>
        </w:tc>
        <w:tc>
          <w:tcPr>
            <w:tcW w:w="1843" w:type="dxa"/>
          </w:tcPr>
          <w:p w14:paraId="2AE92D1D"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2835" w:type="dxa"/>
          </w:tcPr>
          <w:p w14:paraId="4E7474BF"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1559" w:type="dxa"/>
          </w:tcPr>
          <w:p w14:paraId="64AF9A9A"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51.7</w:t>
            </w:r>
          </w:p>
        </w:tc>
        <w:tc>
          <w:tcPr>
            <w:tcW w:w="1560" w:type="dxa"/>
          </w:tcPr>
          <w:p w14:paraId="3FCAF045"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52.1</w:t>
            </w:r>
          </w:p>
        </w:tc>
      </w:tr>
      <w:tr w:rsidR="00A435EA" w:rsidRPr="00F40075" w14:paraId="4F53AA69" w14:textId="77777777" w:rsidTr="00370359">
        <w:tc>
          <w:tcPr>
            <w:tcW w:w="1572" w:type="dxa"/>
          </w:tcPr>
          <w:p w14:paraId="5BCFA6A2" w14:textId="77777777" w:rsidR="00A435EA" w:rsidRPr="00F40075" w:rsidRDefault="00A435EA" w:rsidP="00D17ED2">
            <w:pPr>
              <w:ind w:firstLine="174"/>
              <w:rPr>
                <w:rFonts w:ascii="Calibri" w:eastAsia="Calibri" w:hAnsi="Calibri" w:cs="Times New Roman"/>
                <w:lang w:val="en-GB"/>
              </w:rPr>
            </w:pPr>
            <w:r w:rsidRPr="00F40075">
              <w:rPr>
                <w:rFonts w:ascii="Calibri" w:eastAsia="Calibri" w:hAnsi="Calibri" w:cs="Times New Roman"/>
                <w:lang w:val="en-GB"/>
              </w:rPr>
              <w:t>24 m</w:t>
            </w:r>
          </w:p>
        </w:tc>
        <w:tc>
          <w:tcPr>
            <w:tcW w:w="1677" w:type="dxa"/>
          </w:tcPr>
          <w:p w14:paraId="48388F22"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1849" w:type="dxa"/>
          </w:tcPr>
          <w:p w14:paraId="3CD7F5FA"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1843" w:type="dxa"/>
          </w:tcPr>
          <w:p w14:paraId="44043D81"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42.7</w:t>
            </w:r>
          </w:p>
        </w:tc>
        <w:tc>
          <w:tcPr>
            <w:tcW w:w="2835" w:type="dxa"/>
          </w:tcPr>
          <w:p w14:paraId="71B854DA"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51.9</w:t>
            </w:r>
          </w:p>
        </w:tc>
        <w:tc>
          <w:tcPr>
            <w:tcW w:w="1559" w:type="dxa"/>
          </w:tcPr>
          <w:p w14:paraId="479C2AFA"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41.1</w:t>
            </w:r>
          </w:p>
        </w:tc>
        <w:tc>
          <w:tcPr>
            <w:tcW w:w="1560" w:type="dxa"/>
          </w:tcPr>
          <w:p w14:paraId="4D29955B"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44.1</w:t>
            </w:r>
          </w:p>
        </w:tc>
      </w:tr>
      <w:tr w:rsidR="00A435EA" w:rsidRPr="00F40075" w14:paraId="026B0A64" w14:textId="77777777" w:rsidTr="00370359">
        <w:tc>
          <w:tcPr>
            <w:tcW w:w="1572" w:type="dxa"/>
          </w:tcPr>
          <w:p w14:paraId="57BD5CA1" w14:textId="77777777" w:rsidR="00A435EA" w:rsidRPr="00F40075" w:rsidRDefault="00A435EA" w:rsidP="00C62DFE">
            <w:pPr>
              <w:rPr>
                <w:rFonts w:ascii="Calibri" w:eastAsia="Calibri" w:hAnsi="Calibri" w:cs="Times New Roman"/>
                <w:lang w:val="en-GB"/>
              </w:rPr>
            </w:pPr>
          </w:p>
        </w:tc>
        <w:tc>
          <w:tcPr>
            <w:tcW w:w="1677" w:type="dxa"/>
          </w:tcPr>
          <w:p w14:paraId="16976834" w14:textId="77777777" w:rsidR="00A435EA" w:rsidRPr="00F40075" w:rsidRDefault="00A435EA">
            <w:pPr>
              <w:rPr>
                <w:rFonts w:ascii="Calibri" w:eastAsia="Calibri" w:hAnsi="Calibri" w:cs="Times New Roman"/>
                <w:lang w:val="en-GB"/>
              </w:rPr>
            </w:pPr>
          </w:p>
        </w:tc>
        <w:tc>
          <w:tcPr>
            <w:tcW w:w="1849" w:type="dxa"/>
          </w:tcPr>
          <w:p w14:paraId="498552F4" w14:textId="77777777" w:rsidR="00A435EA" w:rsidRPr="00F40075" w:rsidRDefault="00A435EA">
            <w:pPr>
              <w:rPr>
                <w:rFonts w:ascii="Calibri" w:eastAsia="Calibri" w:hAnsi="Calibri" w:cs="Times New Roman"/>
                <w:lang w:val="en-GB"/>
              </w:rPr>
            </w:pPr>
          </w:p>
        </w:tc>
        <w:tc>
          <w:tcPr>
            <w:tcW w:w="1843" w:type="dxa"/>
          </w:tcPr>
          <w:p w14:paraId="1ACC4019" w14:textId="77777777" w:rsidR="00A435EA" w:rsidRPr="00F40075" w:rsidRDefault="00A435EA">
            <w:pPr>
              <w:rPr>
                <w:rFonts w:ascii="Calibri" w:eastAsia="Calibri" w:hAnsi="Calibri" w:cs="Times New Roman"/>
                <w:lang w:val="en-GB"/>
              </w:rPr>
            </w:pPr>
          </w:p>
        </w:tc>
        <w:tc>
          <w:tcPr>
            <w:tcW w:w="2835" w:type="dxa"/>
          </w:tcPr>
          <w:p w14:paraId="28C3B050" w14:textId="77777777" w:rsidR="00A435EA" w:rsidRPr="00F40075" w:rsidRDefault="00A435EA">
            <w:pPr>
              <w:rPr>
                <w:rFonts w:ascii="Calibri" w:eastAsia="Calibri" w:hAnsi="Calibri" w:cs="Times New Roman"/>
                <w:lang w:val="en-GB"/>
              </w:rPr>
            </w:pPr>
          </w:p>
        </w:tc>
        <w:tc>
          <w:tcPr>
            <w:tcW w:w="1559" w:type="dxa"/>
          </w:tcPr>
          <w:p w14:paraId="764FAD7F" w14:textId="77777777" w:rsidR="00A435EA" w:rsidRPr="00F40075" w:rsidRDefault="00A435EA">
            <w:pPr>
              <w:jc w:val="center"/>
              <w:rPr>
                <w:rFonts w:ascii="Calibri" w:eastAsia="Calibri" w:hAnsi="Calibri" w:cs="Times New Roman"/>
                <w:lang w:val="en-GB"/>
              </w:rPr>
            </w:pPr>
          </w:p>
        </w:tc>
        <w:tc>
          <w:tcPr>
            <w:tcW w:w="1560" w:type="dxa"/>
          </w:tcPr>
          <w:p w14:paraId="69BFE96E" w14:textId="77777777" w:rsidR="00A435EA" w:rsidRPr="00F40075" w:rsidRDefault="00A435EA">
            <w:pPr>
              <w:jc w:val="center"/>
              <w:rPr>
                <w:rFonts w:ascii="Calibri" w:eastAsia="Calibri" w:hAnsi="Calibri" w:cs="Times New Roman"/>
                <w:lang w:val="en-GB"/>
              </w:rPr>
            </w:pPr>
          </w:p>
        </w:tc>
      </w:tr>
      <w:tr w:rsidR="00A435EA" w:rsidRPr="00F40075" w14:paraId="6036AE67" w14:textId="77777777" w:rsidTr="00370359">
        <w:tc>
          <w:tcPr>
            <w:tcW w:w="5098" w:type="dxa"/>
            <w:gridSpan w:val="3"/>
          </w:tcPr>
          <w:p w14:paraId="5F7A413E" w14:textId="0D16D217" w:rsidR="00A435EA" w:rsidRPr="00F40075" w:rsidRDefault="00A435EA" w:rsidP="00C62DFE">
            <w:pPr>
              <w:rPr>
                <w:rFonts w:ascii="Calibri" w:eastAsia="Calibri" w:hAnsi="Calibri" w:cs="Times New Roman"/>
                <w:b/>
                <w:bCs/>
                <w:lang w:val="en-GB"/>
              </w:rPr>
            </w:pPr>
            <w:r w:rsidRPr="00F40075">
              <w:rPr>
                <w:rFonts w:ascii="Calibri" w:eastAsia="Calibri" w:hAnsi="Calibri" w:cs="Times New Roman"/>
                <w:b/>
                <w:bCs/>
                <w:lang w:val="en-GB"/>
              </w:rPr>
              <w:t>PD-L1 1-49%; Pembrolizumab + PDCT</w:t>
            </w:r>
          </w:p>
        </w:tc>
        <w:tc>
          <w:tcPr>
            <w:tcW w:w="1843" w:type="dxa"/>
          </w:tcPr>
          <w:p w14:paraId="7025DA17" w14:textId="77777777" w:rsidR="00A435EA" w:rsidRPr="00F40075" w:rsidRDefault="00A435EA">
            <w:pPr>
              <w:rPr>
                <w:rFonts w:ascii="Calibri" w:eastAsia="Calibri" w:hAnsi="Calibri" w:cs="Times New Roman"/>
                <w:lang w:val="en-GB"/>
              </w:rPr>
            </w:pPr>
          </w:p>
        </w:tc>
        <w:tc>
          <w:tcPr>
            <w:tcW w:w="2835" w:type="dxa"/>
          </w:tcPr>
          <w:p w14:paraId="772C8AC8" w14:textId="77777777" w:rsidR="00A435EA" w:rsidRPr="00F40075" w:rsidRDefault="00A435EA">
            <w:pPr>
              <w:rPr>
                <w:rFonts w:ascii="Calibri" w:eastAsia="Calibri" w:hAnsi="Calibri" w:cs="Times New Roman"/>
                <w:lang w:val="en-GB"/>
              </w:rPr>
            </w:pPr>
          </w:p>
        </w:tc>
        <w:tc>
          <w:tcPr>
            <w:tcW w:w="1559" w:type="dxa"/>
          </w:tcPr>
          <w:p w14:paraId="02D50030" w14:textId="77777777" w:rsidR="00A435EA" w:rsidRPr="00F40075" w:rsidRDefault="00A435EA">
            <w:pPr>
              <w:jc w:val="center"/>
              <w:rPr>
                <w:rFonts w:ascii="Calibri" w:eastAsia="Calibri" w:hAnsi="Calibri" w:cs="Times New Roman"/>
                <w:lang w:val="en-GB"/>
              </w:rPr>
            </w:pPr>
          </w:p>
        </w:tc>
        <w:tc>
          <w:tcPr>
            <w:tcW w:w="1560" w:type="dxa"/>
          </w:tcPr>
          <w:p w14:paraId="4074E9B5" w14:textId="77777777" w:rsidR="00A435EA" w:rsidRPr="00F40075" w:rsidRDefault="00A435EA">
            <w:pPr>
              <w:jc w:val="center"/>
              <w:rPr>
                <w:rFonts w:ascii="Calibri" w:eastAsia="Calibri" w:hAnsi="Calibri" w:cs="Times New Roman"/>
                <w:lang w:val="en-GB"/>
              </w:rPr>
            </w:pPr>
          </w:p>
        </w:tc>
      </w:tr>
      <w:tr w:rsidR="00A435EA" w:rsidRPr="00F40075" w14:paraId="296A88C1" w14:textId="77777777" w:rsidTr="00370359">
        <w:tc>
          <w:tcPr>
            <w:tcW w:w="1572" w:type="dxa"/>
          </w:tcPr>
          <w:p w14:paraId="2CCD9A9B" w14:textId="77777777" w:rsidR="00A435EA" w:rsidRPr="00F40075" w:rsidRDefault="00A435EA" w:rsidP="00C62DFE">
            <w:pPr>
              <w:rPr>
                <w:rFonts w:ascii="Calibri" w:eastAsia="Calibri" w:hAnsi="Calibri" w:cs="Times New Roman"/>
                <w:lang w:val="en-GB"/>
              </w:rPr>
            </w:pPr>
            <w:proofErr w:type="spellStart"/>
            <w:r w:rsidRPr="00F40075">
              <w:rPr>
                <w:rFonts w:ascii="Calibri" w:eastAsia="Calibri" w:hAnsi="Calibri" w:cs="Times New Roman"/>
                <w:lang w:val="en-GB"/>
              </w:rPr>
              <w:t>mPFS</w:t>
            </w:r>
            <w:proofErr w:type="spellEnd"/>
          </w:p>
        </w:tc>
        <w:tc>
          <w:tcPr>
            <w:tcW w:w="1677" w:type="dxa"/>
          </w:tcPr>
          <w:p w14:paraId="66B10971"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1849" w:type="dxa"/>
          </w:tcPr>
          <w:p w14:paraId="30C42BCA"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5.9 (4.6-8.1)</w:t>
            </w:r>
          </w:p>
        </w:tc>
        <w:tc>
          <w:tcPr>
            <w:tcW w:w="1843" w:type="dxa"/>
          </w:tcPr>
          <w:p w14:paraId="70D0A1E5"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2835" w:type="dxa"/>
          </w:tcPr>
          <w:p w14:paraId="0EDFD344"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9.2 (7.8-13.1)</w:t>
            </w:r>
          </w:p>
        </w:tc>
        <w:tc>
          <w:tcPr>
            <w:tcW w:w="1559" w:type="dxa"/>
          </w:tcPr>
          <w:p w14:paraId="3BB8A1F5"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10.4</w:t>
            </w:r>
          </w:p>
        </w:tc>
        <w:tc>
          <w:tcPr>
            <w:tcW w:w="1560" w:type="dxa"/>
          </w:tcPr>
          <w:p w14:paraId="352A0E12"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9.3</w:t>
            </w:r>
          </w:p>
        </w:tc>
      </w:tr>
      <w:tr w:rsidR="00A435EA" w:rsidRPr="00F40075" w14:paraId="68B99FE1" w14:textId="77777777" w:rsidTr="00370359">
        <w:tc>
          <w:tcPr>
            <w:tcW w:w="1572" w:type="dxa"/>
          </w:tcPr>
          <w:p w14:paraId="770D2123" w14:textId="77777777" w:rsidR="00A435EA" w:rsidRPr="00F40075" w:rsidRDefault="00A435EA" w:rsidP="00C62DFE">
            <w:pPr>
              <w:rPr>
                <w:rFonts w:ascii="Calibri" w:eastAsia="Calibri" w:hAnsi="Calibri" w:cs="Times New Roman"/>
                <w:lang w:val="en-GB"/>
              </w:rPr>
            </w:pPr>
            <w:proofErr w:type="spellStart"/>
            <w:r w:rsidRPr="00F40075">
              <w:rPr>
                <w:rFonts w:ascii="Calibri" w:eastAsia="Calibri" w:hAnsi="Calibri" w:cs="Times New Roman"/>
                <w:lang w:val="en-GB"/>
              </w:rPr>
              <w:t>mOS</w:t>
            </w:r>
            <w:proofErr w:type="spellEnd"/>
          </w:p>
        </w:tc>
        <w:tc>
          <w:tcPr>
            <w:tcW w:w="1677" w:type="dxa"/>
          </w:tcPr>
          <w:p w14:paraId="4DBD316D"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1849" w:type="dxa"/>
          </w:tcPr>
          <w:p w14:paraId="6E1E0A39"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16.3 (11.6-22.4)</w:t>
            </w:r>
          </w:p>
        </w:tc>
        <w:tc>
          <w:tcPr>
            <w:tcW w:w="1843" w:type="dxa"/>
          </w:tcPr>
          <w:p w14:paraId="117B0E91"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11.8 (10.5-13.5)</w:t>
            </w:r>
          </w:p>
        </w:tc>
        <w:tc>
          <w:tcPr>
            <w:tcW w:w="2835" w:type="dxa"/>
          </w:tcPr>
          <w:p w14:paraId="38EA8CD8"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21.8 (17.7-25.9)</w:t>
            </w:r>
          </w:p>
        </w:tc>
        <w:tc>
          <w:tcPr>
            <w:tcW w:w="1559" w:type="dxa"/>
          </w:tcPr>
          <w:p w14:paraId="192A0ED7"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12.3</w:t>
            </w:r>
          </w:p>
        </w:tc>
        <w:tc>
          <w:tcPr>
            <w:tcW w:w="1560" w:type="dxa"/>
          </w:tcPr>
          <w:p w14:paraId="7D8815CF"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11.5</w:t>
            </w:r>
          </w:p>
        </w:tc>
      </w:tr>
      <w:tr w:rsidR="00A435EA" w:rsidRPr="00F40075" w14:paraId="7A703ADD" w14:textId="77777777" w:rsidTr="00370359">
        <w:tc>
          <w:tcPr>
            <w:tcW w:w="1572" w:type="dxa"/>
          </w:tcPr>
          <w:p w14:paraId="34377A58" w14:textId="77777777" w:rsidR="00A435EA" w:rsidRPr="00F40075" w:rsidRDefault="00A435EA" w:rsidP="00C62DFE">
            <w:pPr>
              <w:rPr>
                <w:rFonts w:ascii="Calibri" w:eastAsia="Calibri" w:hAnsi="Calibri" w:cs="Times New Roman"/>
                <w:lang w:val="en-GB"/>
              </w:rPr>
            </w:pPr>
            <w:proofErr w:type="spellStart"/>
            <w:r w:rsidRPr="00F40075">
              <w:rPr>
                <w:rFonts w:ascii="Calibri" w:eastAsia="Calibri" w:hAnsi="Calibri" w:cs="Times New Roman"/>
                <w:lang w:val="en-GB"/>
              </w:rPr>
              <w:t>Surv</w:t>
            </w:r>
            <w:proofErr w:type="spellEnd"/>
            <w:r w:rsidRPr="00F40075">
              <w:rPr>
                <w:rFonts w:ascii="Calibri" w:eastAsia="Calibri" w:hAnsi="Calibri" w:cs="Times New Roman"/>
                <w:lang w:val="en-GB"/>
              </w:rPr>
              <w:t>. Rate (%)</w:t>
            </w:r>
          </w:p>
        </w:tc>
        <w:tc>
          <w:tcPr>
            <w:tcW w:w="1677" w:type="dxa"/>
          </w:tcPr>
          <w:p w14:paraId="4F5D4242" w14:textId="77777777" w:rsidR="00A435EA" w:rsidRPr="00F40075" w:rsidRDefault="00A435EA">
            <w:pPr>
              <w:jc w:val="center"/>
              <w:rPr>
                <w:rFonts w:ascii="Calibri" w:eastAsia="Calibri" w:hAnsi="Calibri" w:cs="Times New Roman"/>
                <w:lang w:val="en-GB"/>
              </w:rPr>
            </w:pPr>
          </w:p>
        </w:tc>
        <w:tc>
          <w:tcPr>
            <w:tcW w:w="1849" w:type="dxa"/>
          </w:tcPr>
          <w:p w14:paraId="47C3B1F9" w14:textId="77777777" w:rsidR="00A435EA" w:rsidRPr="00F40075" w:rsidRDefault="00A435EA">
            <w:pPr>
              <w:jc w:val="center"/>
              <w:rPr>
                <w:rFonts w:ascii="Calibri" w:eastAsia="Calibri" w:hAnsi="Calibri" w:cs="Times New Roman"/>
                <w:lang w:val="en-GB"/>
              </w:rPr>
            </w:pPr>
          </w:p>
        </w:tc>
        <w:tc>
          <w:tcPr>
            <w:tcW w:w="1843" w:type="dxa"/>
          </w:tcPr>
          <w:p w14:paraId="398F68B0" w14:textId="77777777" w:rsidR="00A435EA" w:rsidRPr="00F40075" w:rsidRDefault="00A435EA">
            <w:pPr>
              <w:jc w:val="center"/>
              <w:rPr>
                <w:rFonts w:ascii="Calibri" w:eastAsia="Calibri" w:hAnsi="Calibri" w:cs="Times New Roman"/>
                <w:lang w:val="en-GB"/>
              </w:rPr>
            </w:pPr>
          </w:p>
        </w:tc>
        <w:tc>
          <w:tcPr>
            <w:tcW w:w="2835" w:type="dxa"/>
          </w:tcPr>
          <w:p w14:paraId="4DAFE980" w14:textId="77777777" w:rsidR="00A435EA" w:rsidRPr="00F40075" w:rsidRDefault="00A435EA">
            <w:pPr>
              <w:jc w:val="center"/>
              <w:rPr>
                <w:rFonts w:ascii="Calibri" w:eastAsia="Calibri" w:hAnsi="Calibri" w:cs="Times New Roman"/>
                <w:lang w:val="en-GB"/>
              </w:rPr>
            </w:pPr>
          </w:p>
        </w:tc>
        <w:tc>
          <w:tcPr>
            <w:tcW w:w="1559" w:type="dxa"/>
          </w:tcPr>
          <w:p w14:paraId="709DAADD" w14:textId="77777777" w:rsidR="00A435EA" w:rsidRPr="00F40075" w:rsidRDefault="00A435EA">
            <w:pPr>
              <w:jc w:val="center"/>
              <w:rPr>
                <w:rFonts w:ascii="Calibri" w:eastAsia="Calibri" w:hAnsi="Calibri" w:cs="Times New Roman"/>
                <w:lang w:val="en-GB"/>
              </w:rPr>
            </w:pPr>
          </w:p>
        </w:tc>
        <w:tc>
          <w:tcPr>
            <w:tcW w:w="1560" w:type="dxa"/>
          </w:tcPr>
          <w:p w14:paraId="6BB0D88B" w14:textId="77777777" w:rsidR="00A435EA" w:rsidRPr="00F40075" w:rsidRDefault="00A435EA">
            <w:pPr>
              <w:jc w:val="center"/>
              <w:rPr>
                <w:rFonts w:ascii="Calibri" w:eastAsia="Calibri" w:hAnsi="Calibri" w:cs="Times New Roman"/>
                <w:lang w:val="en-GB"/>
              </w:rPr>
            </w:pPr>
          </w:p>
        </w:tc>
      </w:tr>
      <w:tr w:rsidR="00A435EA" w:rsidRPr="00F40075" w14:paraId="29B5E223" w14:textId="77777777" w:rsidTr="00370359">
        <w:tc>
          <w:tcPr>
            <w:tcW w:w="1572" w:type="dxa"/>
          </w:tcPr>
          <w:p w14:paraId="3E8F1F8E" w14:textId="77777777" w:rsidR="00A435EA" w:rsidRPr="00F40075" w:rsidRDefault="00A435EA" w:rsidP="00D17ED2">
            <w:pPr>
              <w:ind w:firstLine="174"/>
              <w:rPr>
                <w:rFonts w:ascii="Calibri" w:eastAsia="Calibri" w:hAnsi="Calibri" w:cs="Times New Roman"/>
                <w:lang w:val="en-GB"/>
              </w:rPr>
            </w:pPr>
            <w:r w:rsidRPr="00F40075">
              <w:rPr>
                <w:rFonts w:ascii="Calibri" w:eastAsia="Calibri" w:hAnsi="Calibri" w:cs="Times New Roman"/>
                <w:lang w:val="en-GB"/>
              </w:rPr>
              <w:t>6 m</w:t>
            </w:r>
          </w:p>
        </w:tc>
        <w:tc>
          <w:tcPr>
            <w:tcW w:w="1677" w:type="dxa"/>
          </w:tcPr>
          <w:p w14:paraId="13BA5A63"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1849" w:type="dxa"/>
          </w:tcPr>
          <w:p w14:paraId="6F2A4C99"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76.0 (64.6-84.1)</w:t>
            </w:r>
          </w:p>
        </w:tc>
        <w:tc>
          <w:tcPr>
            <w:tcW w:w="1843" w:type="dxa"/>
          </w:tcPr>
          <w:p w14:paraId="44C9721B"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2835" w:type="dxa"/>
          </w:tcPr>
          <w:p w14:paraId="7F2B5EA1"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1559" w:type="dxa"/>
          </w:tcPr>
          <w:p w14:paraId="3DDA4B1D"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71.6</w:t>
            </w:r>
          </w:p>
        </w:tc>
        <w:tc>
          <w:tcPr>
            <w:tcW w:w="1560" w:type="dxa"/>
          </w:tcPr>
          <w:p w14:paraId="7A805E7D"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67.0</w:t>
            </w:r>
          </w:p>
        </w:tc>
      </w:tr>
      <w:tr w:rsidR="00A435EA" w:rsidRPr="00F40075" w14:paraId="1179BF08" w14:textId="77777777" w:rsidTr="00370359">
        <w:tc>
          <w:tcPr>
            <w:tcW w:w="1572" w:type="dxa"/>
          </w:tcPr>
          <w:p w14:paraId="41B134F4" w14:textId="77777777" w:rsidR="00A435EA" w:rsidRPr="00F40075" w:rsidRDefault="00A435EA" w:rsidP="00D17ED2">
            <w:pPr>
              <w:ind w:firstLine="174"/>
              <w:rPr>
                <w:rFonts w:ascii="Calibri" w:eastAsia="Calibri" w:hAnsi="Calibri" w:cs="Times New Roman"/>
                <w:lang w:val="en-GB"/>
              </w:rPr>
            </w:pPr>
            <w:r w:rsidRPr="00F40075">
              <w:rPr>
                <w:rFonts w:ascii="Calibri" w:eastAsia="Calibri" w:hAnsi="Calibri" w:cs="Times New Roman"/>
                <w:lang w:val="en-GB"/>
              </w:rPr>
              <w:t>12 m</w:t>
            </w:r>
          </w:p>
        </w:tc>
        <w:tc>
          <w:tcPr>
            <w:tcW w:w="1677" w:type="dxa"/>
          </w:tcPr>
          <w:p w14:paraId="46493F1F"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1849" w:type="dxa"/>
          </w:tcPr>
          <w:p w14:paraId="030750DF"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59.6 (47.5-69.8)</w:t>
            </w:r>
          </w:p>
        </w:tc>
        <w:tc>
          <w:tcPr>
            <w:tcW w:w="1843" w:type="dxa"/>
          </w:tcPr>
          <w:p w14:paraId="4AB62EDD"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49.1</w:t>
            </w:r>
          </w:p>
        </w:tc>
        <w:tc>
          <w:tcPr>
            <w:tcW w:w="2835" w:type="dxa"/>
          </w:tcPr>
          <w:p w14:paraId="4A30A270"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71.7</w:t>
            </w:r>
          </w:p>
        </w:tc>
        <w:tc>
          <w:tcPr>
            <w:tcW w:w="1559" w:type="dxa"/>
          </w:tcPr>
          <w:p w14:paraId="46D47E79"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50.6</w:t>
            </w:r>
          </w:p>
        </w:tc>
        <w:tc>
          <w:tcPr>
            <w:tcW w:w="1560" w:type="dxa"/>
          </w:tcPr>
          <w:p w14:paraId="6104D55A"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48.9</w:t>
            </w:r>
          </w:p>
        </w:tc>
      </w:tr>
      <w:tr w:rsidR="00A435EA" w:rsidRPr="00F40075" w14:paraId="0BD005AB" w14:textId="77777777" w:rsidTr="00370359">
        <w:tc>
          <w:tcPr>
            <w:tcW w:w="1572" w:type="dxa"/>
          </w:tcPr>
          <w:p w14:paraId="06A24783" w14:textId="77777777" w:rsidR="00A435EA" w:rsidRPr="00F40075" w:rsidRDefault="00A435EA" w:rsidP="00D17ED2">
            <w:pPr>
              <w:ind w:firstLine="174"/>
              <w:rPr>
                <w:rFonts w:ascii="Calibri" w:eastAsia="Calibri" w:hAnsi="Calibri" w:cs="Times New Roman"/>
                <w:lang w:val="en-GB"/>
              </w:rPr>
            </w:pPr>
            <w:r w:rsidRPr="00F40075">
              <w:rPr>
                <w:rFonts w:ascii="Calibri" w:eastAsia="Calibri" w:hAnsi="Calibri" w:cs="Times New Roman"/>
                <w:lang w:val="en-GB"/>
              </w:rPr>
              <w:t>18 m</w:t>
            </w:r>
          </w:p>
        </w:tc>
        <w:tc>
          <w:tcPr>
            <w:tcW w:w="1677" w:type="dxa"/>
          </w:tcPr>
          <w:p w14:paraId="1A9E2982"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1849" w:type="dxa"/>
          </w:tcPr>
          <w:p w14:paraId="40AB2D8E"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47.5 (35.6-58.6)</w:t>
            </w:r>
          </w:p>
        </w:tc>
        <w:tc>
          <w:tcPr>
            <w:tcW w:w="1843" w:type="dxa"/>
          </w:tcPr>
          <w:p w14:paraId="01FF6573"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2835" w:type="dxa"/>
          </w:tcPr>
          <w:p w14:paraId="3DE39D7B"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1559" w:type="dxa"/>
          </w:tcPr>
          <w:p w14:paraId="601D5412"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36.9</w:t>
            </w:r>
          </w:p>
        </w:tc>
        <w:tc>
          <w:tcPr>
            <w:tcW w:w="1560" w:type="dxa"/>
          </w:tcPr>
          <w:p w14:paraId="602F25F5"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38.7</w:t>
            </w:r>
          </w:p>
        </w:tc>
      </w:tr>
      <w:tr w:rsidR="00A435EA" w:rsidRPr="00F40075" w14:paraId="0403F509" w14:textId="77777777" w:rsidTr="00370359">
        <w:tc>
          <w:tcPr>
            <w:tcW w:w="1572" w:type="dxa"/>
          </w:tcPr>
          <w:p w14:paraId="4676268B" w14:textId="77777777" w:rsidR="00A435EA" w:rsidRPr="00F40075" w:rsidRDefault="00A435EA" w:rsidP="00D17ED2">
            <w:pPr>
              <w:ind w:firstLine="174"/>
              <w:rPr>
                <w:rFonts w:ascii="Calibri" w:eastAsia="Calibri" w:hAnsi="Calibri" w:cs="Times New Roman"/>
                <w:lang w:val="en-GB"/>
              </w:rPr>
            </w:pPr>
            <w:r w:rsidRPr="00F40075">
              <w:rPr>
                <w:rFonts w:ascii="Calibri" w:eastAsia="Calibri" w:hAnsi="Calibri" w:cs="Times New Roman"/>
                <w:lang w:val="en-GB"/>
              </w:rPr>
              <w:lastRenderedPageBreak/>
              <w:t>24 m</w:t>
            </w:r>
          </w:p>
        </w:tc>
        <w:tc>
          <w:tcPr>
            <w:tcW w:w="1677" w:type="dxa"/>
          </w:tcPr>
          <w:p w14:paraId="3DB18FE4" w14:textId="77777777" w:rsidR="00A435EA" w:rsidRPr="00F40075" w:rsidRDefault="00A435EA" w:rsidP="00C62DFE">
            <w:pPr>
              <w:jc w:val="center"/>
              <w:rPr>
                <w:rFonts w:ascii="Calibri" w:eastAsia="Calibri" w:hAnsi="Calibri" w:cs="Times New Roman"/>
                <w:lang w:val="en-GB"/>
              </w:rPr>
            </w:pPr>
            <w:r w:rsidRPr="00F40075">
              <w:rPr>
                <w:rFonts w:ascii="Calibri" w:eastAsia="Calibri" w:hAnsi="Calibri" w:cs="Times New Roman"/>
                <w:lang w:val="en-GB"/>
              </w:rPr>
              <w:t>NA</w:t>
            </w:r>
          </w:p>
        </w:tc>
        <w:tc>
          <w:tcPr>
            <w:tcW w:w="1849" w:type="dxa"/>
          </w:tcPr>
          <w:p w14:paraId="5FE9FF29"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NA</w:t>
            </w:r>
          </w:p>
        </w:tc>
        <w:tc>
          <w:tcPr>
            <w:tcW w:w="1843" w:type="dxa"/>
          </w:tcPr>
          <w:p w14:paraId="2EEE9FDD"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29.5</w:t>
            </w:r>
          </w:p>
        </w:tc>
        <w:tc>
          <w:tcPr>
            <w:tcW w:w="2835" w:type="dxa"/>
          </w:tcPr>
          <w:p w14:paraId="13779E34"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44.3</w:t>
            </w:r>
          </w:p>
        </w:tc>
        <w:tc>
          <w:tcPr>
            <w:tcW w:w="1559" w:type="dxa"/>
          </w:tcPr>
          <w:p w14:paraId="6EFCFE37"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27.2</w:t>
            </w:r>
          </w:p>
        </w:tc>
        <w:tc>
          <w:tcPr>
            <w:tcW w:w="1560" w:type="dxa"/>
          </w:tcPr>
          <w:p w14:paraId="7AB16F33" w14:textId="77777777" w:rsidR="00A435EA" w:rsidRPr="00F40075" w:rsidRDefault="00A435EA">
            <w:pPr>
              <w:jc w:val="center"/>
              <w:rPr>
                <w:rFonts w:ascii="Calibri" w:eastAsia="Calibri" w:hAnsi="Calibri" w:cs="Times New Roman"/>
                <w:lang w:val="en-GB"/>
              </w:rPr>
            </w:pPr>
            <w:r w:rsidRPr="00F40075">
              <w:rPr>
                <w:rFonts w:ascii="Calibri" w:eastAsia="Calibri" w:hAnsi="Calibri" w:cs="Times New Roman"/>
                <w:lang w:val="en-GB"/>
              </w:rPr>
              <w:t>32.6</w:t>
            </w:r>
          </w:p>
        </w:tc>
      </w:tr>
    </w:tbl>
    <w:p w14:paraId="129F18F6" w14:textId="77777777" w:rsidR="00536FCE" w:rsidRDefault="00536FCE" w:rsidP="00536FCE">
      <w:pPr>
        <w:spacing w:after="0" w:line="480" w:lineRule="auto"/>
        <w:ind w:right="1200"/>
        <w:jc w:val="both"/>
        <w:rPr>
          <w:rFonts w:ascii="Calibri" w:eastAsia="Calibri" w:hAnsi="Calibri" w:cs="Times New Roman"/>
          <w:sz w:val="18"/>
          <w:szCs w:val="18"/>
          <w:lang w:val="en-GB"/>
        </w:rPr>
      </w:pPr>
      <w:r>
        <w:rPr>
          <w:rFonts w:ascii="Calibri" w:eastAsia="Calibri" w:hAnsi="Calibri" w:cs="Times New Roman"/>
          <w:sz w:val="18"/>
          <w:szCs w:val="18"/>
          <w:vertAlign w:val="superscript"/>
          <w:lang w:val="en-GB"/>
        </w:rPr>
        <w:t>a</w:t>
      </w:r>
      <w:r w:rsidR="00B76F98" w:rsidRPr="00E70A58">
        <w:rPr>
          <w:rFonts w:ascii="Calibri" w:eastAsia="Calibri" w:hAnsi="Calibri" w:cs="Times New Roman"/>
          <w:sz w:val="18"/>
          <w:szCs w:val="18"/>
          <w:lang w:val="en-GB"/>
        </w:rPr>
        <w:t xml:space="preserve"> Contains patient</w:t>
      </w:r>
      <w:r w:rsidR="00B76F98">
        <w:rPr>
          <w:rFonts w:ascii="Calibri" w:eastAsia="Calibri" w:hAnsi="Calibri" w:cs="Times New Roman"/>
          <w:sz w:val="18"/>
          <w:szCs w:val="18"/>
          <w:lang w:val="en-GB"/>
        </w:rPr>
        <w:t>s</w:t>
      </w:r>
      <w:r w:rsidR="00B76F98" w:rsidRPr="00E70A58">
        <w:rPr>
          <w:rFonts w:ascii="Calibri" w:eastAsia="Calibri" w:hAnsi="Calibri" w:cs="Times New Roman"/>
          <w:sz w:val="18"/>
          <w:szCs w:val="18"/>
          <w:lang w:val="en-GB"/>
        </w:rPr>
        <w:t xml:space="preserve"> with only good performance status i.e., ECOG PS 0 - 1; </w:t>
      </w:r>
    </w:p>
    <w:p w14:paraId="09EAD71A" w14:textId="77777777" w:rsidR="00536FCE" w:rsidRDefault="00536FCE" w:rsidP="00536FCE">
      <w:pPr>
        <w:spacing w:after="0" w:line="480" w:lineRule="auto"/>
        <w:ind w:right="1200"/>
        <w:jc w:val="both"/>
        <w:rPr>
          <w:rFonts w:ascii="Calibri" w:eastAsia="Calibri" w:hAnsi="Calibri" w:cs="Times New Roman"/>
          <w:sz w:val="18"/>
          <w:szCs w:val="18"/>
          <w:lang w:val="en-GB"/>
        </w:rPr>
      </w:pPr>
      <w:r w:rsidRPr="00536FCE">
        <w:rPr>
          <w:rFonts w:ascii="Calibri" w:eastAsia="Calibri" w:hAnsi="Calibri" w:cs="Times New Roman"/>
          <w:sz w:val="18"/>
          <w:szCs w:val="18"/>
          <w:vertAlign w:val="superscript"/>
          <w:lang w:val="en-GB"/>
        </w:rPr>
        <w:t>b</w:t>
      </w:r>
      <w:r w:rsidR="00B76F98" w:rsidRPr="00E70A58">
        <w:rPr>
          <w:rFonts w:ascii="Calibri" w:eastAsia="Calibri" w:hAnsi="Calibri" w:cs="Times New Roman"/>
          <w:sz w:val="18"/>
          <w:szCs w:val="18"/>
          <w:lang w:val="en-GB"/>
        </w:rPr>
        <w:t xml:space="preserve"> Study contains different type of Immuno-oncology therapies (I-O), for I-O monotherapy, 95% of patients had Pembrolizumab, and for I-O plus PDCT, 97% of patients had Pembrolizumab plus PDCT/CT; PDCT, platinum-based doublet chemotherapy; </w:t>
      </w:r>
    </w:p>
    <w:p w14:paraId="37E1DB99" w14:textId="27051B08" w:rsidR="00FE17C2" w:rsidRPr="007542F4" w:rsidRDefault="00B76F98" w:rsidP="00536FCE">
      <w:pPr>
        <w:spacing w:after="0" w:line="480" w:lineRule="auto"/>
        <w:ind w:right="1200"/>
        <w:jc w:val="both"/>
        <w:rPr>
          <w:sz w:val="18"/>
          <w:szCs w:val="18"/>
        </w:rPr>
        <w:sectPr w:rsidR="00FE17C2" w:rsidRPr="007542F4" w:rsidSect="007542F4">
          <w:pgSz w:w="16838" w:h="11906" w:orient="landscape"/>
          <w:pgMar w:top="1440" w:right="1440" w:bottom="1440" w:left="1440" w:header="708" w:footer="708" w:gutter="0"/>
          <w:lnNumType w:countBy="1" w:restart="continuous"/>
          <w:cols w:space="708"/>
          <w:docGrid w:linePitch="360"/>
        </w:sectPr>
      </w:pPr>
      <w:r w:rsidRPr="00E70A58">
        <w:rPr>
          <w:rFonts w:ascii="Calibri" w:eastAsia="Calibri" w:hAnsi="Calibri" w:cs="Times New Roman"/>
          <w:sz w:val="18"/>
          <w:szCs w:val="18"/>
          <w:lang w:val="en-GB"/>
        </w:rPr>
        <w:t xml:space="preserve">CT, </w:t>
      </w:r>
      <w:proofErr w:type="spellStart"/>
      <w:r w:rsidRPr="00E70A58">
        <w:rPr>
          <w:rFonts w:ascii="Calibri" w:eastAsia="Calibri" w:hAnsi="Calibri" w:cs="Times New Roman"/>
          <w:sz w:val="18"/>
          <w:szCs w:val="18"/>
          <w:lang w:val="en-GB"/>
        </w:rPr>
        <w:t>pemetrexed</w:t>
      </w:r>
      <w:proofErr w:type="spellEnd"/>
      <w:r w:rsidRPr="00E70A58">
        <w:rPr>
          <w:rFonts w:ascii="Calibri" w:eastAsia="Calibri" w:hAnsi="Calibri" w:cs="Times New Roman"/>
          <w:sz w:val="18"/>
          <w:szCs w:val="18"/>
          <w:lang w:val="en-GB"/>
        </w:rPr>
        <w:t xml:space="preserve">; </w:t>
      </w:r>
      <w:proofErr w:type="spellStart"/>
      <w:r w:rsidRPr="00E70A58">
        <w:rPr>
          <w:rFonts w:ascii="Calibri" w:eastAsia="Calibri" w:hAnsi="Calibri" w:cs="Times New Roman"/>
          <w:sz w:val="18"/>
          <w:szCs w:val="18"/>
          <w:lang w:val="en-GB"/>
        </w:rPr>
        <w:t>Surv</w:t>
      </w:r>
      <w:proofErr w:type="spellEnd"/>
      <w:r w:rsidRPr="00E70A58">
        <w:rPr>
          <w:rFonts w:ascii="Calibri" w:eastAsia="Calibri" w:hAnsi="Calibri" w:cs="Times New Roman"/>
          <w:sz w:val="18"/>
          <w:szCs w:val="18"/>
          <w:lang w:val="en-GB"/>
        </w:rPr>
        <w:t xml:space="preserve">. rate, overall survival rate; </w:t>
      </w:r>
      <w:proofErr w:type="spellStart"/>
      <w:r w:rsidRPr="00E70A58">
        <w:rPr>
          <w:rFonts w:ascii="Calibri" w:eastAsia="Calibri" w:hAnsi="Calibri" w:cs="Times New Roman"/>
          <w:sz w:val="18"/>
          <w:szCs w:val="18"/>
          <w:lang w:val="en-GB"/>
        </w:rPr>
        <w:t>mPFS</w:t>
      </w:r>
      <w:proofErr w:type="spellEnd"/>
      <w:r w:rsidRPr="00E70A58">
        <w:rPr>
          <w:rFonts w:ascii="Calibri" w:eastAsia="Calibri" w:hAnsi="Calibri" w:cs="Times New Roman"/>
          <w:sz w:val="18"/>
          <w:szCs w:val="18"/>
          <w:lang w:val="en-GB"/>
        </w:rPr>
        <w:t xml:space="preserve">, median progression-free survival time; </w:t>
      </w:r>
      <w:proofErr w:type="spellStart"/>
      <w:r w:rsidRPr="00E70A58">
        <w:rPr>
          <w:rFonts w:ascii="Calibri" w:eastAsia="Calibri" w:hAnsi="Calibri" w:cs="Times New Roman"/>
          <w:sz w:val="18"/>
          <w:szCs w:val="18"/>
          <w:lang w:val="en-GB"/>
        </w:rPr>
        <w:t>mOS</w:t>
      </w:r>
      <w:proofErr w:type="spellEnd"/>
      <w:r w:rsidRPr="00E70A58">
        <w:rPr>
          <w:rFonts w:ascii="Calibri" w:eastAsia="Calibri" w:hAnsi="Calibri" w:cs="Times New Roman"/>
          <w:sz w:val="18"/>
          <w:szCs w:val="18"/>
          <w:lang w:val="en-GB"/>
        </w:rPr>
        <w:t>, median overall survival time; m, months. NA, not available; NR, not reached; US, United States of America; RCT, randomized control trial.</w:t>
      </w:r>
    </w:p>
    <w:p w14:paraId="2238FD4A" w14:textId="77777777" w:rsidR="00BA1A2B" w:rsidRPr="00F21B54" w:rsidRDefault="00BA1A2B" w:rsidP="007542F4">
      <w:pPr>
        <w:spacing w:after="200" w:line="480" w:lineRule="auto"/>
      </w:pPr>
      <w:r w:rsidRPr="00F21B54">
        <w:lastRenderedPageBreak/>
        <w:t xml:space="preserve">A.3 Figures </w:t>
      </w:r>
    </w:p>
    <w:p w14:paraId="7F59C989" w14:textId="77777777" w:rsidR="00BA1A2B" w:rsidRDefault="00BA1A2B" w:rsidP="007542F4">
      <w:pPr>
        <w:spacing w:line="480" w:lineRule="auto"/>
      </w:pPr>
      <w:r>
        <w:rPr>
          <w:noProof/>
          <w:lang w:val="en-GB" w:eastAsia="en-GB"/>
        </w:rPr>
        <w:drawing>
          <wp:inline distT="0" distB="0" distL="0" distR="0" wp14:anchorId="0FA08999" wp14:editId="1CCB61CA">
            <wp:extent cx="2559600" cy="2512809"/>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59600" cy="2512809"/>
                    </a:xfrm>
                    <a:prstGeom prst="rect">
                      <a:avLst/>
                    </a:prstGeom>
                    <a:noFill/>
                    <a:ln>
                      <a:noFill/>
                    </a:ln>
                  </pic:spPr>
                </pic:pic>
              </a:graphicData>
            </a:graphic>
          </wp:inline>
        </w:drawing>
      </w:r>
      <w:r>
        <w:tab/>
        <w:t xml:space="preserve"> </w:t>
      </w:r>
      <w:r>
        <w:rPr>
          <w:noProof/>
          <w:lang w:val="en-GB" w:eastAsia="en-GB"/>
        </w:rPr>
        <w:drawing>
          <wp:inline distT="0" distB="0" distL="0" distR="0" wp14:anchorId="4173467E" wp14:editId="7E642DE1">
            <wp:extent cx="2559600" cy="2512809"/>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9600" cy="2512809"/>
                    </a:xfrm>
                    <a:prstGeom prst="rect">
                      <a:avLst/>
                    </a:prstGeom>
                    <a:noFill/>
                    <a:ln>
                      <a:noFill/>
                    </a:ln>
                  </pic:spPr>
                </pic:pic>
              </a:graphicData>
            </a:graphic>
          </wp:inline>
        </w:drawing>
      </w:r>
    </w:p>
    <w:p w14:paraId="32957BD0" w14:textId="77777777" w:rsidR="00BA1A2B" w:rsidRDefault="00BA1A2B" w:rsidP="007542F4">
      <w:pPr>
        <w:spacing w:line="480" w:lineRule="auto"/>
      </w:pPr>
      <w:r>
        <w:rPr>
          <w:noProof/>
          <w:lang w:val="en-GB" w:eastAsia="en-GB"/>
        </w:rPr>
        <w:drawing>
          <wp:inline distT="0" distB="0" distL="0" distR="0" wp14:anchorId="64411655" wp14:editId="3002B5FD">
            <wp:extent cx="2559600" cy="2512809"/>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59600" cy="2512809"/>
                    </a:xfrm>
                    <a:prstGeom prst="rect">
                      <a:avLst/>
                    </a:prstGeom>
                    <a:noFill/>
                    <a:ln>
                      <a:noFill/>
                    </a:ln>
                  </pic:spPr>
                </pic:pic>
              </a:graphicData>
            </a:graphic>
          </wp:inline>
        </w:drawing>
      </w:r>
      <w:r>
        <w:tab/>
      </w:r>
      <w:r>
        <w:rPr>
          <w:noProof/>
          <w:lang w:val="en-GB" w:eastAsia="en-GB"/>
        </w:rPr>
        <w:drawing>
          <wp:inline distT="0" distB="0" distL="0" distR="0" wp14:anchorId="730C6F18" wp14:editId="3F0ED0CC">
            <wp:extent cx="2556000" cy="250927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56000" cy="2509275"/>
                    </a:xfrm>
                    <a:prstGeom prst="rect">
                      <a:avLst/>
                    </a:prstGeom>
                    <a:noFill/>
                    <a:ln>
                      <a:noFill/>
                    </a:ln>
                  </pic:spPr>
                </pic:pic>
              </a:graphicData>
            </a:graphic>
          </wp:inline>
        </w:drawing>
      </w:r>
    </w:p>
    <w:p w14:paraId="2BBBBBE5" w14:textId="77777777" w:rsidR="00BA1A2B" w:rsidRDefault="00BA1A2B" w:rsidP="007542F4">
      <w:pPr>
        <w:spacing w:after="0" w:line="480" w:lineRule="auto"/>
        <w:ind w:right="662"/>
        <w:jc w:val="both"/>
      </w:pPr>
      <w:r>
        <w:t>Figure A1. Comparison of modelled and observed bivariate association of baseline characteristics and treatment for advanced (inoperable) NSCLC.</w:t>
      </w:r>
    </w:p>
    <w:p w14:paraId="5C241828" w14:textId="35031822" w:rsidR="00BA1A2B" w:rsidRDefault="00BA1A2B" w:rsidP="007542F4">
      <w:pPr>
        <w:spacing w:after="0" w:line="480" w:lineRule="auto"/>
        <w:ind w:right="662"/>
        <w:jc w:val="both"/>
      </w:pPr>
      <w:r w:rsidRPr="00E70A58">
        <w:rPr>
          <w:sz w:val="18"/>
          <w:szCs w:val="18"/>
        </w:rPr>
        <w:t xml:space="preserve">Large dot, value observed from template dataset; points, values from 1000 runs of a model each with 2196 patients (sample size of template data). PS, Eastern Cooperative Oncology Group performance status; CCI, </w:t>
      </w:r>
      <w:proofErr w:type="spellStart"/>
      <w:r w:rsidRPr="00E70A58">
        <w:rPr>
          <w:sz w:val="18"/>
          <w:szCs w:val="18"/>
        </w:rPr>
        <w:t>Charlson</w:t>
      </w:r>
      <w:proofErr w:type="spellEnd"/>
      <w:r w:rsidRPr="00E70A58">
        <w:rPr>
          <w:sz w:val="18"/>
          <w:szCs w:val="18"/>
        </w:rPr>
        <w:t xml:space="preserve"> comorbidity index; BSC, best supportive care; </w:t>
      </w:r>
      <w:proofErr w:type="spellStart"/>
      <w:r w:rsidRPr="00E70A58">
        <w:rPr>
          <w:sz w:val="18"/>
          <w:szCs w:val="18"/>
        </w:rPr>
        <w:t>Syst</w:t>
      </w:r>
      <w:proofErr w:type="spellEnd"/>
      <w:r w:rsidRPr="00E70A58">
        <w:rPr>
          <w:sz w:val="18"/>
          <w:szCs w:val="18"/>
        </w:rPr>
        <w:t xml:space="preserve">, systemic chemotherapy; </w:t>
      </w:r>
      <w:proofErr w:type="spellStart"/>
      <w:r w:rsidRPr="00E70A58">
        <w:rPr>
          <w:sz w:val="18"/>
          <w:szCs w:val="18"/>
        </w:rPr>
        <w:t>Cisp</w:t>
      </w:r>
      <w:proofErr w:type="spellEnd"/>
      <w:r w:rsidRPr="00E70A58">
        <w:rPr>
          <w:sz w:val="18"/>
          <w:szCs w:val="18"/>
        </w:rPr>
        <w:t xml:space="preserve">. D, Cisplatin doublet chemotherapy; Carbo. D, Carboplatin doublet chemotherapy. N.B., Statistical test results are reported on </w:t>
      </w:r>
      <w:r w:rsidR="00CF7538">
        <w:rPr>
          <w:sz w:val="18"/>
          <w:szCs w:val="18"/>
        </w:rPr>
        <w:t>ESM</w:t>
      </w:r>
      <w:r w:rsidRPr="00E70A58">
        <w:rPr>
          <w:sz w:val="18"/>
          <w:szCs w:val="18"/>
        </w:rPr>
        <w:t xml:space="preserve"> Table 2 on column “% sim. </w:t>
      </w:r>
      <w:proofErr w:type="spellStart"/>
      <w:r w:rsidRPr="00E70A58">
        <w:rPr>
          <w:sz w:val="18"/>
          <w:szCs w:val="18"/>
        </w:rPr>
        <w:t>pv</w:t>
      </w:r>
      <w:proofErr w:type="spellEnd"/>
      <w:r w:rsidRPr="00E70A58">
        <w:rPr>
          <w:sz w:val="18"/>
          <w:szCs w:val="18"/>
        </w:rPr>
        <w:t xml:space="preserve"> &lt;0.05</w:t>
      </w:r>
      <w:r w:rsidRPr="00AF16D4">
        <w:t>”.</w:t>
      </w:r>
      <w:r>
        <w:br w:type="page"/>
      </w:r>
    </w:p>
    <w:p w14:paraId="6FBF99CF" w14:textId="77777777" w:rsidR="00BA1A2B" w:rsidRDefault="00BA1A2B" w:rsidP="007542F4">
      <w:pPr>
        <w:spacing w:line="480" w:lineRule="auto"/>
        <w:jc w:val="both"/>
      </w:pPr>
      <w:r>
        <w:rPr>
          <w:noProof/>
          <w:lang w:val="en-GB" w:eastAsia="en-GB"/>
        </w:rPr>
        <w:lastRenderedPageBreak/>
        <w:drawing>
          <wp:inline distT="0" distB="0" distL="0" distR="0" wp14:anchorId="366CFD4C" wp14:editId="0E3E28A0">
            <wp:extent cx="2559600" cy="2511675"/>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59600" cy="2511675"/>
                    </a:xfrm>
                    <a:prstGeom prst="rect">
                      <a:avLst/>
                    </a:prstGeom>
                    <a:noFill/>
                    <a:ln>
                      <a:noFill/>
                    </a:ln>
                  </pic:spPr>
                </pic:pic>
              </a:graphicData>
            </a:graphic>
          </wp:inline>
        </w:drawing>
      </w:r>
      <w:r>
        <w:tab/>
      </w:r>
      <w:r>
        <w:rPr>
          <w:noProof/>
          <w:lang w:val="en-GB" w:eastAsia="en-GB"/>
        </w:rPr>
        <w:drawing>
          <wp:inline distT="0" distB="0" distL="0" distR="0" wp14:anchorId="01A937B4" wp14:editId="53CAA2FF">
            <wp:extent cx="2559600" cy="2511675"/>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59600" cy="2511675"/>
                    </a:xfrm>
                    <a:prstGeom prst="rect">
                      <a:avLst/>
                    </a:prstGeom>
                    <a:noFill/>
                    <a:ln>
                      <a:noFill/>
                    </a:ln>
                  </pic:spPr>
                </pic:pic>
              </a:graphicData>
            </a:graphic>
          </wp:inline>
        </w:drawing>
      </w:r>
    </w:p>
    <w:p w14:paraId="247C8DE4" w14:textId="77777777" w:rsidR="00BA1A2B" w:rsidRDefault="00BA1A2B" w:rsidP="007542F4">
      <w:pPr>
        <w:spacing w:line="480" w:lineRule="auto"/>
        <w:jc w:val="both"/>
      </w:pPr>
      <w:r>
        <w:rPr>
          <w:noProof/>
          <w:lang w:val="en-GB" w:eastAsia="en-GB"/>
        </w:rPr>
        <w:drawing>
          <wp:inline distT="0" distB="0" distL="0" distR="0" wp14:anchorId="1FDBE9BB" wp14:editId="52A268C0">
            <wp:extent cx="2559600" cy="143491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59600" cy="1434919"/>
                    </a:xfrm>
                    <a:prstGeom prst="rect">
                      <a:avLst/>
                    </a:prstGeom>
                    <a:noFill/>
                    <a:ln>
                      <a:noFill/>
                    </a:ln>
                  </pic:spPr>
                </pic:pic>
              </a:graphicData>
            </a:graphic>
          </wp:inline>
        </w:drawing>
      </w:r>
      <w:r>
        <w:tab/>
      </w:r>
      <w:r>
        <w:rPr>
          <w:noProof/>
          <w:lang w:val="en-GB" w:eastAsia="en-GB"/>
        </w:rPr>
        <w:drawing>
          <wp:inline distT="0" distB="0" distL="0" distR="0" wp14:anchorId="3B9961F8" wp14:editId="0650473B">
            <wp:extent cx="2559600" cy="2511675"/>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59600" cy="2511675"/>
                    </a:xfrm>
                    <a:prstGeom prst="rect">
                      <a:avLst/>
                    </a:prstGeom>
                    <a:noFill/>
                    <a:ln>
                      <a:noFill/>
                    </a:ln>
                  </pic:spPr>
                </pic:pic>
              </a:graphicData>
            </a:graphic>
          </wp:inline>
        </w:drawing>
      </w:r>
    </w:p>
    <w:p w14:paraId="595C28B0" w14:textId="77777777" w:rsidR="00BA1A2B" w:rsidRDefault="00BA1A2B" w:rsidP="007542F4">
      <w:pPr>
        <w:spacing w:line="480" w:lineRule="auto"/>
        <w:jc w:val="both"/>
      </w:pPr>
      <w:r>
        <w:rPr>
          <w:noProof/>
          <w:lang w:val="en-GB" w:eastAsia="en-GB"/>
        </w:rPr>
        <w:drawing>
          <wp:inline distT="0" distB="0" distL="0" distR="0" wp14:anchorId="50C957A2" wp14:editId="5733BA57">
            <wp:extent cx="2559600" cy="2511675"/>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59600" cy="2511675"/>
                    </a:xfrm>
                    <a:prstGeom prst="rect">
                      <a:avLst/>
                    </a:prstGeom>
                    <a:noFill/>
                    <a:ln>
                      <a:noFill/>
                    </a:ln>
                  </pic:spPr>
                </pic:pic>
              </a:graphicData>
            </a:graphic>
          </wp:inline>
        </w:drawing>
      </w:r>
      <w:r>
        <w:tab/>
      </w:r>
      <w:r>
        <w:rPr>
          <w:noProof/>
          <w:lang w:val="en-GB" w:eastAsia="en-GB"/>
        </w:rPr>
        <w:drawing>
          <wp:inline distT="0" distB="0" distL="0" distR="0" wp14:anchorId="7680894C" wp14:editId="3C2025D1">
            <wp:extent cx="2559600" cy="251167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59600" cy="2511675"/>
                    </a:xfrm>
                    <a:prstGeom prst="rect">
                      <a:avLst/>
                    </a:prstGeom>
                    <a:noFill/>
                    <a:ln>
                      <a:noFill/>
                    </a:ln>
                  </pic:spPr>
                </pic:pic>
              </a:graphicData>
            </a:graphic>
          </wp:inline>
        </w:drawing>
      </w:r>
    </w:p>
    <w:p w14:paraId="3F91BF01" w14:textId="77777777" w:rsidR="00BA1A2B" w:rsidRDefault="00BA1A2B" w:rsidP="007542F4">
      <w:pPr>
        <w:spacing w:after="0" w:line="480" w:lineRule="auto"/>
        <w:ind w:right="804"/>
        <w:jc w:val="both"/>
      </w:pPr>
      <w:r>
        <w:lastRenderedPageBreak/>
        <w:t xml:space="preserve">Figure A2. Distribution of parameters of regression models used to simulate baseline characteristics and treatment decision of base-case model. </w:t>
      </w:r>
    </w:p>
    <w:p w14:paraId="555965C0" w14:textId="77777777" w:rsidR="00BA1A2B" w:rsidRPr="00463CDF" w:rsidRDefault="00BA1A2B" w:rsidP="007542F4">
      <w:pPr>
        <w:spacing w:after="0" w:line="480" w:lineRule="auto"/>
        <w:ind w:right="804"/>
        <w:jc w:val="both"/>
        <w:rPr>
          <w:sz w:val="18"/>
          <w:szCs w:val="18"/>
        </w:rPr>
      </w:pPr>
      <w:r w:rsidRPr="00463CDF">
        <w:rPr>
          <w:sz w:val="18"/>
          <w:szCs w:val="18"/>
        </w:rPr>
        <w:t>The model equation is given on top of each panel</w:t>
      </w:r>
      <w:r>
        <w:rPr>
          <w:sz w:val="18"/>
          <w:szCs w:val="18"/>
        </w:rPr>
        <w:t xml:space="preserve">; </w:t>
      </w:r>
      <w:r w:rsidRPr="00463CDF">
        <w:rPr>
          <w:sz w:val="18"/>
          <w:szCs w:val="18"/>
        </w:rPr>
        <w:t xml:space="preserve">B0, intercept; error, random error with standard normal distribution; </w:t>
      </w:r>
      <w:bookmarkStart w:id="8" w:name="_Hlk74134913"/>
      <w:r w:rsidRPr="00463CDF">
        <w:rPr>
          <w:sz w:val="18"/>
          <w:szCs w:val="18"/>
        </w:rPr>
        <w:t xml:space="preserve">PS, Eastern Cooperative Oncology Group performance status; CCI, </w:t>
      </w:r>
      <w:proofErr w:type="spellStart"/>
      <w:r w:rsidRPr="00463CDF">
        <w:rPr>
          <w:sz w:val="18"/>
          <w:szCs w:val="18"/>
        </w:rPr>
        <w:t>Charlson</w:t>
      </w:r>
      <w:proofErr w:type="spellEnd"/>
      <w:r w:rsidRPr="00463CDF">
        <w:rPr>
          <w:sz w:val="18"/>
          <w:szCs w:val="18"/>
        </w:rPr>
        <w:t xml:space="preserve"> comorbidity index; Year, year of diagnosis; Age, age at diagnosis; BSC, best supportive care; </w:t>
      </w:r>
      <w:proofErr w:type="spellStart"/>
      <w:r w:rsidRPr="00463CDF">
        <w:rPr>
          <w:sz w:val="18"/>
          <w:szCs w:val="18"/>
        </w:rPr>
        <w:t>Syst</w:t>
      </w:r>
      <w:proofErr w:type="spellEnd"/>
      <w:r w:rsidRPr="00463CDF">
        <w:rPr>
          <w:sz w:val="18"/>
          <w:szCs w:val="18"/>
        </w:rPr>
        <w:t xml:space="preserve">, systemic chemotherapy; </w:t>
      </w:r>
      <w:proofErr w:type="spellStart"/>
      <w:r w:rsidRPr="00463CDF">
        <w:rPr>
          <w:sz w:val="18"/>
          <w:szCs w:val="18"/>
        </w:rPr>
        <w:t>Cisp</w:t>
      </w:r>
      <w:proofErr w:type="spellEnd"/>
      <w:r w:rsidRPr="00463CDF">
        <w:rPr>
          <w:sz w:val="18"/>
          <w:szCs w:val="18"/>
        </w:rPr>
        <w:t xml:space="preserve">. D, Cisplatin doublet chemotherapy; Carbo. D, Carboplatin doublet chemotherapy. </w:t>
      </w:r>
      <w:bookmarkEnd w:id="8"/>
      <w:r w:rsidRPr="00463CDF">
        <w:rPr>
          <w:sz w:val="18"/>
          <w:szCs w:val="18"/>
        </w:rPr>
        <w:t xml:space="preserve">Observed, parameter values obtained by fitting regression model on template dataset. </w:t>
      </w:r>
    </w:p>
    <w:p w14:paraId="61A14F2A" w14:textId="77777777" w:rsidR="00BA1A2B" w:rsidRDefault="00BA1A2B" w:rsidP="007542F4">
      <w:pPr>
        <w:spacing w:line="480" w:lineRule="auto"/>
        <w:jc w:val="both"/>
      </w:pPr>
      <w:r>
        <w:tab/>
      </w:r>
    </w:p>
    <w:p w14:paraId="0466E4FD" w14:textId="77777777" w:rsidR="00BA1A2B" w:rsidRDefault="00BA1A2B" w:rsidP="007542F4">
      <w:pPr>
        <w:tabs>
          <w:tab w:val="left" w:pos="142"/>
        </w:tabs>
        <w:spacing w:line="480" w:lineRule="auto"/>
        <w:jc w:val="both"/>
      </w:pPr>
      <w:r>
        <w:tab/>
      </w:r>
      <w:r>
        <w:rPr>
          <w:noProof/>
          <w:lang w:val="en-GB" w:eastAsia="en-GB"/>
        </w:rPr>
        <w:drawing>
          <wp:inline distT="0" distB="0" distL="0" distR="0" wp14:anchorId="38578A7C" wp14:editId="11687C6F">
            <wp:extent cx="2556000" cy="24769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56000" cy="2476992"/>
                    </a:xfrm>
                    <a:prstGeom prst="rect">
                      <a:avLst/>
                    </a:prstGeom>
                    <a:noFill/>
                    <a:ln>
                      <a:noFill/>
                    </a:ln>
                  </pic:spPr>
                </pic:pic>
              </a:graphicData>
            </a:graphic>
          </wp:inline>
        </w:drawing>
      </w:r>
      <w:r>
        <w:t xml:space="preserve">    </w:t>
      </w:r>
      <w:r>
        <w:rPr>
          <w:noProof/>
          <w:lang w:val="en-GB" w:eastAsia="en-GB"/>
        </w:rPr>
        <w:drawing>
          <wp:inline distT="0" distB="0" distL="0" distR="0" wp14:anchorId="707A6971" wp14:editId="232BF9F5">
            <wp:extent cx="2556000" cy="247699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56000" cy="2476992"/>
                    </a:xfrm>
                    <a:prstGeom prst="rect">
                      <a:avLst/>
                    </a:prstGeom>
                    <a:noFill/>
                    <a:ln>
                      <a:noFill/>
                    </a:ln>
                  </pic:spPr>
                </pic:pic>
              </a:graphicData>
            </a:graphic>
          </wp:inline>
        </w:drawing>
      </w:r>
    </w:p>
    <w:p w14:paraId="7A6B7282" w14:textId="77777777" w:rsidR="00BA1A2B" w:rsidRDefault="00BA1A2B" w:rsidP="007542F4">
      <w:pPr>
        <w:tabs>
          <w:tab w:val="left" w:pos="284"/>
        </w:tabs>
        <w:spacing w:line="480" w:lineRule="auto"/>
        <w:jc w:val="both"/>
      </w:pPr>
      <w:r>
        <w:rPr>
          <w:noProof/>
          <w:lang w:val="en-GB" w:eastAsia="en-GB"/>
        </w:rPr>
        <w:drawing>
          <wp:inline distT="0" distB="0" distL="0" distR="0" wp14:anchorId="6920E0AD" wp14:editId="2D58414A">
            <wp:extent cx="2556000" cy="247699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56000" cy="2476992"/>
                    </a:xfrm>
                    <a:prstGeom prst="rect">
                      <a:avLst/>
                    </a:prstGeom>
                    <a:noFill/>
                    <a:ln>
                      <a:noFill/>
                    </a:ln>
                  </pic:spPr>
                </pic:pic>
              </a:graphicData>
            </a:graphic>
          </wp:inline>
        </w:drawing>
      </w:r>
      <w:r>
        <w:t xml:space="preserve">   </w:t>
      </w:r>
      <w:r>
        <w:rPr>
          <w:noProof/>
          <w:lang w:val="en-GB" w:eastAsia="en-GB"/>
        </w:rPr>
        <w:drawing>
          <wp:inline distT="0" distB="0" distL="0" distR="0" wp14:anchorId="2DCD71B3" wp14:editId="3D8FB43F">
            <wp:extent cx="2556000" cy="247699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56000" cy="2476992"/>
                    </a:xfrm>
                    <a:prstGeom prst="rect">
                      <a:avLst/>
                    </a:prstGeom>
                    <a:noFill/>
                    <a:ln>
                      <a:noFill/>
                    </a:ln>
                  </pic:spPr>
                </pic:pic>
              </a:graphicData>
            </a:graphic>
          </wp:inline>
        </w:drawing>
      </w:r>
    </w:p>
    <w:p w14:paraId="0714D2B3" w14:textId="77777777" w:rsidR="00BA1A2B" w:rsidRDefault="00BA1A2B" w:rsidP="007542F4">
      <w:pPr>
        <w:spacing w:after="0" w:line="480" w:lineRule="auto"/>
        <w:ind w:right="804"/>
        <w:jc w:val="both"/>
      </w:pPr>
      <w:r>
        <w:t xml:space="preserve">Figure A3. Comparison of modelled and observed event time summary under non-personalized strategy. </w:t>
      </w:r>
    </w:p>
    <w:p w14:paraId="44E3DF0A" w14:textId="77777777" w:rsidR="00BA1A2B" w:rsidRPr="00463CDF" w:rsidRDefault="00BA1A2B" w:rsidP="007542F4">
      <w:pPr>
        <w:spacing w:after="0" w:line="480" w:lineRule="auto"/>
        <w:ind w:right="804"/>
        <w:jc w:val="both"/>
        <w:rPr>
          <w:sz w:val="18"/>
          <w:szCs w:val="18"/>
        </w:rPr>
      </w:pPr>
      <w:r w:rsidRPr="00463CDF">
        <w:rPr>
          <w:sz w:val="18"/>
          <w:szCs w:val="18"/>
        </w:rPr>
        <w:lastRenderedPageBreak/>
        <w:t xml:space="preserve">Modelled median, mean, restricted mean and proportion in L2T and L3T were assessed from 1000 runs of the non-personalized strategy; L1T, L2T, L3T, and D, are first-line, second-line, third-line treatment, and death, respectively. </w:t>
      </w:r>
    </w:p>
    <w:p w14:paraId="74F05D71" w14:textId="77777777" w:rsidR="00BA1A2B" w:rsidRDefault="00BA1A2B" w:rsidP="007542F4">
      <w:pPr>
        <w:spacing w:after="0" w:line="480" w:lineRule="auto"/>
        <w:ind w:right="804"/>
        <w:jc w:val="both"/>
      </w:pPr>
      <w:r w:rsidRPr="00463CDF">
        <w:rPr>
          <w:sz w:val="18"/>
          <w:szCs w:val="18"/>
        </w:rPr>
        <w:t>C.I, confidence interval; PFS, first-line progression-free survival; OS, overall survival from first-line treatment. NA, not reached.</w:t>
      </w:r>
      <w:r>
        <w:t xml:space="preserve"> </w:t>
      </w:r>
      <w:r>
        <w:br w:type="page"/>
      </w:r>
    </w:p>
    <w:p w14:paraId="443DBDF3" w14:textId="77777777" w:rsidR="00BA1A2B" w:rsidRDefault="00BA1A2B" w:rsidP="007542F4">
      <w:pPr>
        <w:spacing w:line="480" w:lineRule="auto"/>
        <w:rPr>
          <w:noProof/>
          <w:lang w:val="nl-NL" w:eastAsia="nl-NL"/>
        </w:rPr>
      </w:pPr>
      <w:r>
        <w:rPr>
          <w:noProof/>
          <w:lang w:val="en-GB" w:eastAsia="en-GB"/>
        </w:rPr>
        <w:lastRenderedPageBreak/>
        <w:drawing>
          <wp:inline distT="0" distB="0" distL="0" distR="0" wp14:anchorId="4D02B505" wp14:editId="7BE75C60">
            <wp:extent cx="5731510" cy="343535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3435350"/>
                    </a:xfrm>
                    <a:prstGeom prst="rect">
                      <a:avLst/>
                    </a:prstGeom>
                    <a:noFill/>
                    <a:ln>
                      <a:noFill/>
                    </a:ln>
                  </pic:spPr>
                </pic:pic>
              </a:graphicData>
            </a:graphic>
          </wp:inline>
        </w:drawing>
      </w:r>
    </w:p>
    <w:p w14:paraId="0FACDD89" w14:textId="77777777" w:rsidR="00BA1A2B" w:rsidRDefault="00BA1A2B" w:rsidP="007542F4">
      <w:pPr>
        <w:spacing w:after="0" w:line="480" w:lineRule="auto"/>
        <w:ind w:right="379"/>
        <w:jc w:val="both"/>
      </w:pPr>
      <w:r w:rsidRPr="00D51C11">
        <w:rPr>
          <w:noProof/>
          <w:lang w:eastAsia="nl-NL"/>
        </w:rPr>
        <w:t>Fig</w:t>
      </w:r>
      <w:r>
        <w:rPr>
          <w:noProof/>
          <w:lang w:eastAsia="nl-NL"/>
        </w:rPr>
        <w:t>ure</w:t>
      </w:r>
      <w:r w:rsidRPr="00D51C11">
        <w:rPr>
          <w:noProof/>
          <w:lang w:eastAsia="nl-NL"/>
        </w:rPr>
        <w:t xml:space="preserve"> A4. </w:t>
      </w:r>
      <w:r w:rsidRPr="007303B5">
        <w:t>Compari</w:t>
      </w:r>
      <w:r>
        <w:t xml:space="preserve">son of modelled and </w:t>
      </w:r>
      <w:r w:rsidRPr="007303B5">
        <w:t>real-world</w:t>
      </w:r>
      <w:r>
        <w:t xml:space="preserve"> survival curves </w:t>
      </w:r>
      <w:r w:rsidRPr="007303B5">
        <w:t xml:space="preserve">for patients with </w:t>
      </w:r>
      <w:r w:rsidRPr="009C75B4">
        <w:t xml:space="preserve">epidermal growth factor receptor (EGFR) </w:t>
      </w:r>
      <w:r>
        <w:t>mutation who had fist-line</w:t>
      </w:r>
      <w:r w:rsidRPr="009C75B4">
        <w:t xml:space="preserve"> EGFR tyrosine kinase inhibitor (EGFR-TKI)</w:t>
      </w:r>
      <w:r>
        <w:t xml:space="preserve">. </w:t>
      </w:r>
    </w:p>
    <w:p w14:paraId="75BB8478" w14:textId="77777777" w:rsidR="00BA1A2B" w:rsidRDefault="00BA1A2B" w:rsidP="007542F4">
      <w:pPr>
        <w:spacing w:after="0" w:line="480" w:lineRule="auto"/>
        <w:ind w:right="379"/>
        <w:jc w:val="both"/>
      </w:pPr>
      <w:r>
        <w:t xml:space="preserve">Durable benefit, EGFR-TKI benefit last until progression; limited benefit, EGFR-TKI benefit last up to 15 months. </w:t>
      </w:r>
    </w:p>
    <w:p w14:paraId="35D5D62C" w14:textId="77777777" w:rsidR="00BA1A2B" w:rsidRPr="00DE361F" w:rsidRDefault="00BA1A2B" w:rsidP="007542F4">
      <w:pPr>
        <w:spacing w:after="0" w:line="480" w:lineRule="auto"/>
        <w:ind w:right="379"/>
        <w:jc w:val="both"/>
        <w:rPr>
          <w:sz w:val="18"/>
          <w:szCs w:val="18"/>
        </w:rPr>
      </w:pPr>
      <w:r w:rsidRPr="00DE361F">
        <w:rPr>
          <w:sz w:val="18"/>
          <w:szCs w:val="18"/>
        </w:rPr>
        <w:t>EGFR-TKI were gefitinib or erlotinib;</w:t>
      </w:r>
    </w:p>
    <w:p w14:paraId="67862315" w14:textId="4C3ACA32" w:rsidR="00BA1A2B" w:rsidRPr="00DE361F" w:rsidRDefault="00BA1A2B" w:rsidP="007542F4">
      <w:pPr>
        <w:spacing w:after="0" w:line="480" w:lineRule="auto"/>
        <w:ind w:right="379"/>
        <w:jc w:val="both"/>
        <w:rPr>
          <w:rFonts w:cs="AdvOT1c339561"/>
          <w:bCs/>
          <w:sz w:val="18"/>
          <w:szCs w:val="18"/>
        </w:rPr>
      </w:pPr>
      <w:r w:rsidRPr="00DE361F">
        <w:rPr>
          <w:sz w:val="18"/>
          <w:szCs w:val="18"/>
        </w:rPr>
        <w:t>Real-world included 52 Santeon patient’s level data diagnosed and treated between 2008 – 2014 (blue)</w:t>
      </w:r>
      <w:r w:rsidRPr="00DE361F">
        <w:rPr>
          <w:b/>
          <w:bCs/>
          <w:sz w:val="18"/>
          <w:szCs w:val="18"/>
        </w:rPr>
        <w:t xml:space="preserve"> </w:t>
      </w:r>
      <w:r w:rsidRPr="00DE361F">
        <w:rPr>
          <w:b/>
          <w:bCs/>
          <w:sz w:val="18"/>
          <w:szCs w:val="18"/>
        </w:rPr>
        <w:fldChar w:fldCharType="begin" w:fldLock="1"/>
      </w:r>
      <w:r w:rsidR="00315CD2">
        <w:rPr>
          <w:b/>
          <w:bCs/>
          <w:sz w:val="18"/>
          <w:szCs w:val="18"/>
        </w:rPr>
        <w:instrText>ADDIN CSL_CITATION {"citationItems":[{"id":"ITEM-1","itemData":{"DOI":"10.21873/anticanres.12235","ISSN":"02507005","PMID":"29277800","abstract":"Background/Aim: Epidermal growth factor receptor (EGFR) mutation testing is standard-of-care for advanced non-small cell lung cancer (NSCLC). Outcomes of second-/third-line compared to first-line tyrosine kinase inhibitors (TKIs) have shown conflicting results. We investigated utilization of molecular diagnostics and the outcomes of treatment with first-/second-line TKIs in patients with advanced NSCLC. Materials and Methods: Retrospective analysis was carried out of 2,206 patients with stage IIIb/IV NSCLC treated between 2008 and 2014 in four hospitals in the Netherlands. Results: The rate of performing molecular diagnostics increased from 20.8% to 74.4% in the study period. The median overall survival of EGFR mutation-positive patients treated with TKIs was superior compared to EGFR mutation-negative patients treated with chemotherapy (720 vs. 274 days, p&lt;0.0001). No difference in overall survival was found between EGFR mutation-positive patients treated only with TKIs compared to those treated with chemotherapy prior to TKIs, or upon progression under TKIs. Conclusion: The rate of EGFR testing has improved, increasing the number of patients eligible for targeted therapy. Chemotherapy, prior or subsequent to TKIs, for the treatment of EGFR mutation-positive patients, did not result in significantly better overall survival compared to that achieved with TKIs alone.","author":[{"dropping-particle":"","family":"Sluga","given":"Romina","non-dropping-particle":"","parse-names":false,"suffix":""},{"dropping-particle":"","family":"Borne","given":"Ben E.E.M.","non-dropping-particle":"Van Den","parse-names":false,"suffix":""},{"dropping-particle":"","family":"Roepman","given":"Paul","non-dropping-particle":"","parse-names":false,"suffix":""},{"dropping-particle":"","family":"Peters","given":"Bas J.M.","non-dropping-particle":"","parse-names":false,"suffix":""},{"dropping-particle":"","family":"Kastelijn","given":"Elisabeth A.","non-dropping-particle":"","parse-names":false,"suffix":""},{"dropping-particle":"","family":"Schramel","given":"Franz M.N.H.","non-dropping-particle":"","parse-names":false,"suffix":""}],"container-title":"Anticancer Research","id":"ITEM-1","issue":"1","issued":{"date-parts":[["2018","1","2"]]},"page":"393-400","title":"Utilization of Molecular Testing and Survival Outcomes of Treatment with First- or Second-line Tyrosine Kinase Inhibitors in Advanced Non-small Cell Lung Cancer in a Dutch Population","type":"article-journal","volume":"38"},"uris":["http://www.mendeley.com/documents/?uuid=4cd87e59-d966-462b-abec-73f693aa49ae"]}],"mendeley":{"formattedCitation":"[40]","plainTextFormattedCitation":"[40]","previouslyFormattedCitation":"[40]"},"properties":{"noteIndex":0},"schema":"https://github.com/citation-style-language/schema/raw/master/csl-citation.json"}</w:instrText>
      </w:r>
      <w:r w:rsidRPr="00DE361F">
        <w:rPr>
          <w:b/>
          <w:bCs/>
          <w:sz w:val="18"/>
          <w:szCs w:val="18"/>
        </w:rPr>
        <w:fldChar w:fldCharType="separate"/>
      </w:r>
      <w:r w:rsidR="009F237B" w:rsidRPr="009F237B">
        <w:rPr>
          <w:bCs/>
          <w:noProof/>
          <w:sz w:val="18"/>
          <w:szCs w:val="18"/>
        </w:rPr>
        <w:t>[40]</w:t>
      </w:r>
      <w:r w:rsidRPr="00DE361F">
        <w:rPr>
          <w:b/>
          <w:bCs/>
          <w:sz w:val="18"/>
          <w:szCs w:val="18"/>
        </w:rPr>
        <w:fldChar w:fldCharType="end"/>
      </w:r>
      <w:r w:rsidRPr="00DE361F">
        <w:rPr>
          <w:sz w:val="18"/>
          <w:szCs w:val="18"/>
        </w:rPr>
        <w:t xml:space="preserve">, and a digitized OS curve of 147 overall survival curve of Santeon patients diagnosed and treated between 2015 – 2018 (Orange) </w:t>
      </w:r>
      <w:r w:rsidRPr="00DE361F">
        <w:rPr>
          <w:sz w:val="18"/>
          <w:szCs w:val="18"/>
        </w:rPr>
        <w:fldChar w:fldCharType="begin" w:fldLock="1"/>
      </w:r>
      <w:r w:rsidR="00315CD2">
        <w:rPr>
          <w:sz w:val="18"/>
          <w:szCs w:val="18"/>
        </w:rPr>
        <w:instrText>ADDIN CSL_CITATION {"citationItems":[{"id":"ITEM-1","itemData":{"DOI":"10.1038/s41598-021-85696-3","ISSN":"2045-2322","abstract":"This study aims to assess how clinical outcomes of immunotherapy in real-world (effectiveness) correspond to outcomes in clinical trials (efficacy) and to look into factors that might explain an efficacy-effectiveness (EE) gap. All patients diagnosed with stage IV non-small cell lung cancer (NSCLC) in 2015–2018 in six Dutch large teaching hospitals (Santeon network) were identified and followed-up from date of diagnosis until death or end of data collection. Progression-free survival (PFS) and overall survival (OS) from first-line (1L) pembrolizumab and second-line (2L) nivolumab were compared with clinical trial data by calculating hazard ratios (HRs). From 1950 diagnosed patients, 1005 (52%) started with any 1L treatment, of which 83 received pembrolizumab. Nivolumab was started as 2L treatment in 141 patients. For both settings, PFS times were comparable between real-world and trials (HR 1.08 (95% CI 0.75–1.55), and HR 0.91 (95% CI 0.74–1.14), respectively). OS was significantly shorter in real-world for 1L pembrolizumab (HR 1.55; 95% CI 1.07–2.25). Receiving subsequent lines of treatment was less frequent in real-world compared to trials. There is no EE gap for PFS from immunotherapy in patients with stage IV NSCLC. However, there is a gap in OS for 1L pembrolizumab. Fewer patients proceeding to a subsequent line of treatment in real-world could partly explain this.","author":[{"dropping-particle":"","family":"Cramer-van der Welle","given":"Christine M.","non-dropping-particle":"","parse-names":false,"suffix":""},{"dropping-particle":"V.","family":"Verschueren","given":"Marjon","non-dropping-particle":"","parse-names":false,"suffix":""},{"dropping-particle":"","family":"Tonn","given":"Merel","non-dropping-particle":"","parse-names":false,"suffix":""},{"dropping-particle":"","family":"Peters","given":"Bas J. M.","non-dropping-particle":"","parse-names":false,"suffix":""},{"dropping-particle":"","family":"Schramel","given":"Franz M. N. H.","non-dropping-particle":"","parse-names":false,"suffix":""},{"dropping-particle":"","family":"Klungel","given":"Olaf H.","non-dropping-particle":"","parse-names":false,"suffix":""},{"dropping-particle":"","family":"Groen","given":"Harry J. M.","non-dropping-particle":"","parse-names":false,"suffix":""},{"dropping-particle":"","family":"Garde","given":"Ewoudt M. W.","non-dropping-particle":"van de","parse-names":false,"suffix":""}],"container-title":"Scientific Reports","id":"ITEM-1","issue":"1","issued":{"date-parts":[["2021","12","18"]]},"page":"6306","title":"Real-world outcomes versus clinical trial results of immunotherapy in stage IV non-small cell lung cancer (NSCLC) in the Netherlands","type":"article-journal","volume":"11"},"uris":["http://www.mendeley.com/documents/?uuid=26c94cd8-f844-3a68-9129-dfdc84abd40a"]}],"mendeley":{"formattedCitation":"[16]","plainTextFormattedCitation":"[16]","previouslyFormattedCitation":"[16]"},"properties":{"noteIndex":0},"schema":"https://github.com/citation-style-language/schema/raw/master/csl-citation.json"}</w:instrText>
      </w:r>
      <w:r w:rsidRPr="00DE361F">
        <w:rPr>
          <w:sz w:val="18"/>
          <w:szCs w:val="18"/>
        </w:rPr>
        <w:fldChar w:fldCharType="separate"/>
      </w:r>
      <w:r w:rsidR="009F237B" w:rsidRPr="009F237B">
        <w:rPr>
          <w:noProof/>
          <w:sz w:val="18"/>
          <w:szCs w:val="18"/>
        </w:rPr>
        <w:t>[16]</w:t>
      </w:r>
      <w:r w:rsidRPr="00DE361F">
        <w:rPr>
          <w:sz w:val="18"/>
          <w:szCs w:val="18"/>
        </w:rPr>
        <w:fldChar w:fldCharType="end"/>
      </w:r>
      <w:r w:rsidRPr="00DE361F">
        <w:rPr>
          <w:rFonts w:cs="AdvOT1c339561"/>
          <w:b/>
          <w:sz w:val="18"/>
          <w:szCs w:val="18"/>
        </w:rPr>
        <w:t xml:space="preserve">; </w:t>
      </w:r>
      <w:r w:rsidRPr="00DE361F">
        <w:rPr>
          <w:rFonts w:cs="AdvOT1c339561"/>
          <w:bCs/>
          <w:sz w:val="18"/>
          <w:szCs w:val="18"/>
        </w:rPr>
        <w:t xml:space="preserve">1L, start date of first-line systemic treatment; </w:t>
      </w:r>
    </w:p>
    <w:p w14:paraId="1FFCD950" w14:textId="12CDE81C" w:rsidR="00BA1A2B" w:rsidRPr="00D51C11" w:rsidRDefault="00BA1A2B" w:rsidP="007542F4">
      <w:pPr>
        <w:spacing w:line="480" w:lineRule="auto"/>
        <w:ind w:right="379"/>
        <w:rPr>
          <w:noProof/>
          <w:lang w:eastAsia="nl-NL"/>
        </w:rPr>
      </w:pPr>
      <w:r w:rsidRPr="00DE361F">
        <w:rPr>
          <w:rFonts w:cs="AdvOT1c339561"/>
          <w:bCs/>
          <w:sz w:val="18"/>
          <w:szCs w:val="18"/>
          <w:lang w:val="en-GB"/>
        </w:rPr>
        <w:t xml:space="preserve">Modelled was simulated such that, </w:t>
      </w:r>
      <w:proofErr w:type="spellStart"/>
      <w:r w:rsidRPr="00DE361F">
        <w:rPr>
          <w:rFonts w:cs="AdvOT1c339561"/>
          <w:bCs/>
          <w:sz w:val="18"/>
          <w:szCs w:val="18"/>
          <w:lang w:val="en-GB"/>
        </w:rPr>
        <w:t>outHR</w:t>
      </w:r>
      <w:proofErr w:type="spellEnd"/>
      <w:r w:rsidRPr="00DE361F">
        <w:rPr>
          <w:rFonts w:cs="AdvOT1c339561"/>
          <w:bCs/>
          <w:sz w:val="18"/>
          <w:szCs w:val="18"/>
          <w:lang w:val="en-GB"/>
        </w:rPr>
        <w:t xml:space="preserve"> for </w:t>
      </w:r>
      <w:proofErr w:type="spellStart"/>
      <w:r w:rsidRPr="00DE361F">
        <w:rPr>
          <w:rFonts w:cs="AdvOT1c339561"/>
          <w:bCs/>
          <w:sz w:val="18"/>
          <w:szCs w:val="18"/>
          <w:lang w:val="en-GB"/>
        </w:rPr>
        <w:t>gefitinib</w:t>
      </w:r>
      <w:proofErr w:type="spellEnd"/>
      <w:r w:rsidRPr="00DE361F">
        <w:rPr>
          <w:rFonts w:cs="AdvOT1c339561"/>
          <w:bCs/>
          <w:sz w:val="18"/>
          <w:szCs w:val="18"/>
          <w:lang w:val="en-GB"/>
        </w:rPr>
        <w:t xml:space="preserve"> was 0.43, erlotinib is 0.36 (NMA, </w:t>
      </w:r>
      <w:r w:rsidRPr="00DE361F">
        <w:rPr>
          <w:rFonts w:cs="AdvOT1c339561"/>
          <w:bCs/>
          <w:sz w:val="18"/>
          <w:szCs w:val="18"/>
          <w:lang w:val="en-GB"/>
        </w:rPr>
        <w:fldChar w:fldCharType="begin" w:fldLock="1"/>
      </w:r>
      <w:r w:rsidR="007C7543">
        <w:rPr>
          <w:rFonts w:cs="AdvOT1c339561"/>
          <w:bCs/>
          <w:sz w:val="18"/>
          <w:szCs w:val="18"/>
          <w:lang w:val="en-GB"/>
        </w:rPr>
        <w:instrText>ADDIN CSL_CITATION {"citationItems":[{"id":"ITEM-1","itemData":{"DOI":"10.2147/OTT.S189438","ISSN":"1178-6930","PMID":"31541309","abstract":"OBJECTIVES To compare the cost-effectiveness of first-line gefitinib, erlotinib, afatinib, and osimertinib in patients with non-small cell lung cancer (NSCLC) harbouring epidermal growth factor receptor (EGFR) mutations. METHODS A systematic review and network meta-analysis (NMA) were conducted to compare the relative efficacy of gefitinib, erlotinib, afatinib, and osimertinib in EGFR-mutated NSCLC. To assess the cost-effectiveness of these treatments, a Markov model was developed from Dutch societal perspective. The model was based on the clinical studies included in the NMA. Incremental costs per life-year (LY) and per quality-adjusted life-year (QALY) gained were estimated. Deterministic and probabilistic sensitivity analyses (PSA) were conducted. RESULTS Total discounted per patient costs for gefitinib, erlotinib, afatinib, and osimertinib were €65,889, €64,035, €69,418, and €131,997, and mean QALYs were 1.36, 1.39, 1.52, and 2.01 per patient, respectively. Erlotinib dominated gefitinib. Afatinib versus erlotinib yielded incremental costs of €27,058/LY and €41,504/QALY gained. Osimertinib resulted in €91,726/LY and €128,343/QALY gained compared to afatinib. PSA showed that gefitinib, erlotinib, afatinib, and osimertinib had 13%, 19%, 43%, and 26% probability to be cost-effective at a threshold of €80,000/QALY. A price reduction of osimertinib of 30% is required for osimertinib to be cost-effective at a threshold of €80,000/QALY. CONCLUSIONS Osimertinib has a better effectiveness compared to all other TKIs. However, at a Dutch threshold of €80,000/QALY, osimertinib appears not to be cost-effective.","author":[{"dropping-particle":"","family":"Holleman","given":"Marscha S","non-dropping-particle":"","parse-names":false,"suffix":""},{"dropping-particle":"","family":"Tinteren","given":"Harm","non-dropping-particle":"van","parse-names":false,"suffix":""},{"dropping-particle":"","family":"Groen","given":"Harry J M","non-dropping-particle":"","parse-names":false,"suffix":""},{"dropping-particle":"","family":"Al","given":"Maiwenn J","non-dropping-particle":"","parse-names":false,"suffix":""},{"dropping-particle":"","family":"Uyl-de Groot","given":"Carin A","non-dropping-particle":"","parse-names":false,"suffix":""}],"container-title":"OncoTargets and Therapy","id":"ITEM-1","issue":"1","issued":{"date-parts":[["2019","2"]]},"page":"1413-1421","title":"First-line tyrosine kinase inhibitors in EGFR mutation-positive non-small-cell lung cancer: a network meta-analysis","type":"article-journal","volume":"Volume 12"},"uris":["http://www.mendeley.com/documents/?uuid=54672bd8-056e-4e6d-9aab-018e47a8a92c"]}],"mendeley":{"formattedCitation":"[37]","plainTextFormattedCitation":"[37]","previouslyFormattedCitation":"[37]"},"properties":{"noteIndex":0},"schema":"https://github.com/citation-style-language/schema/raw/master/csl-citation.json"}</w:instrText>
      </w:r>
      <w:r w:rsidRPr="00DE361F">
        <w:rPr>
          <w:rFonts w:cs="AdvOT1c339561"/>
          <w:bCs/>
          <w:sz w:val="18"/>
          <w:szCs w:val="18"/>
          <w:lang w:val="en-GB"/>
        </w:rPr>
        <w:fldChar w:fldCharType="separate"/>
      </w:r>
      <w:r w:rsidR="00EF573D" w:rsidRPr="00EF573D">
        <w:rPr>
          <w:rFonts w:cs="AdvOT1c339561"/>
          <w:bCs/>
          <w:noProof/>
          <w:sz w:val="18"/>
          <w:szCs w:val="18"/>
          <w:lang w:val="en-GB"/>
        </w:rPr>
        <w:t>[37]</w:t>
      </w:r>
      <w:r w:rsidRPr="00DE361F">
        <w:rPr>
          <w:rFonts w:cs="AdvOT1c339561"/>
          <w:bCs/>
          <w:sz w:val="18"/>
          <w:szCs w:val="18"/>
          <w:lang w:val="en-GB"/>
        </w:rPr>
        <w:fldChar w:fldCharType="end"/>
      </w:r>
      <w:r w:rsidR="00EF573D">
        <w:rPr>
          <w:rFonts w:cs="AdvOT1c339561"/>
          <w:bCs/>
          <w:sz w:val="18"/>
          <w:szCs w:val="18"/>
          <w:lang w:val="en-GB"/>
        </w:rPr>
        <w:t>)</w:t>
      </w:r>
      <w:r w:rsidRPr="00DE361F">
        <w:rPr>
          <w:rFonts w:cs="AdvOT1c339561"/>
          <w:bCs/>
          <w:sz w:val="18"/>
          <w:szCs w:val="18"/>
          <w:lang w:val="en-GB"/>
        </w:rPr>
        <w:t xml:space="preserve">, and prognostic value of EGFR was 0.82 (pooled, </w:t>
      </w:r>
      <w:r w:rsidRPr="00DE361F">
        <w:rPr>
          <w:rFonts w:cs="AdvOT1c339561"/>
          <w:bCs/>
          <w:sz w:val="18"/>
          <w:szCs w:val="18"/>
          <w:lang w:val="en-GB"/>
        </w:rPr>
        <w:fldChar w:fldCharType="begin" w:fldLock="1"/>
      </w:r>
      <w:r w:rsidR="007C7543">
        <w:rPr>
          <w:rFonts w:cs="AdvOT1c339561"/>
          <w:bCs/>
          <w:sz w:val="18"/>
          <w:szCs w:val="18"/>
          <w:lang w:val="en-GB"/>
        </w:rPr>
        <w:instrText>ADDIN CSL_CITATION {"citationItems":[{"id":"ITEM-1","itemData":{"DOI":"10.1016/j.critrevonc.2020.103035","ISSN":"10408428","abstract":"Outcomes used for the effectiveness (median) and cost-effectiveness (mean) on overall survival (OS) are different and can vary from one another. Therefore, we compared median and mean OS gains of targeted therapies and immunotherapies for stage IIIB/IV Non-small cell lung cancer and explored underlying aspect. Eligible trials were searched in PubMed, survival curves were digitized, and parametric survival models fitted to model the mean OS. Twenty-seven trials were found for targeted therapies (n = 17) and immunotherapies (n = 10). Differences between median and mean OS gains in months ranged from −2.8 to 6.8 and −4.9 to 0.3 for two different subgroups of targeted therapies, and −2.4 to 11.4 for immunotherapies. The mean OS gain was substantially larger for most immunotherapy trials, due to relatively long survival. Median and mean OS gains did not differ for targeted therapies. Our findings imply a potential discrepancy between the estimates of effectiveness and cost-effectiveness of cancer treatments.","author":[{"dropping-particle":"","family":"Simons","given":"Martijn","non-dropping-particle":"","parse-names":false,"suffix":""},{"dropping-particle":"","family":"Ramaekers","given":"Bram","non-dropping-particle":"","parse-names":false,"suffix":""},{"dropping-particle":"","family":"Peeters","given":"Andrea","non-dropping-particle":"","parse-names":false,"suffix":""},{"dropping-particle":"","family":"Mankor","given":"Joanne","non-dropping-particle":"","parse-names":false,"suffix":""},{"dropping-particle":"","family":"Paats","given":"Marthe","non-dropping-particle":"","parse-names":false,"suffix":""},{"dropping-particle":"","family":"Aerts","given":"Joachim","non-dropping-particle":"","parse-names":false,"suffix":""},{"dropping-particle":"","family":"Harten","given":"Wim","non-dropping-particle":"van","parse-names":false,"suffix":""},{"dropping-particle":"","family":"Retèl","given":"Valesca","non-dropping-particle":"","parse-names":false,"suffix":""},{"dropping-particle":"","family":"Joore","given":"Manuela","non-dropping-particle":"","parse-names":false,"suffix":""}],"container-title":"Critical Reviews in Oncology/Hematology","id":"ITEM-1","issue":"June","issued":{"date-parts":[["2020","9"]]},"page":"103035","publisher":"Elsevier","title":"Observed versus modelled lifetime overall survival of targeted therapies and immunotherapies for advanced non-small cell lung cancer patients – A systematic review","type":"article-journal","volume":"153"},"uris":["http://www.mendeley.com/documents/?uuid=0720c12c-2d7c-46fe-9a8d-a3f6fc3c7672"]}],"mendeley":{"formattedCitation":"[38]"},"properties":{"noteIndex":0},"schema":"https://github.com/citation-style-language/schema/raw/master/csl-citation.json"}</w:instrText>
      </w:r>
      <w:r w:rsidRPr="00DE361F">
        <w:rPr>
          <w:rFonts w:cs="AdvOT1c339561"/>
          <w:bCs/>
          <w:sz w:val="18"/>
          <w:szCs w:val="18"/>
          <w:lang w:val="en-GB"/>
        </w:rPr>
        <w:fldChar w:fldCharType="separate"/>
      </w:r>
      <w:r w:rsidR="007C7543" w:rsidRPr="007C7543">
        <w:rPr>
          <w:rFonts w:cs="AdvOT1c339561"/>
          <w:bCs/>
          <w:noProof/>
          <w:sz w:val="18"/>
          <w:szCs w:val="18"/>
          <w:lang w:val="en-GB"/>
        </w:rPr>
        <w:t>[38]</w:t>
      </w:r>
      <w:r w:rsidRPr="00DE361F">
        <w:rPr>
          <w:rFonts w:cs="AdvOT1c339561"/>
          <w:bCs/>
          <w:sz w:val="18"/>
          <w:szCs w:val="18"/>
          <w:lang w:val="en-GB"/>
        </w:rPr>
        <w:fldChar w:fldCharType="end"/>
      </w:r>
      <w:r w:rsidR="007C7543">
        <w:rPr>
          <w:rFonts w:cs="AdvOT1c339561"/>
          <w:bCs/>
          <w:sz w:val="18"/>
          <w:szCs w:val="18"/>
          <w:lang w:val="en-GB"/>
        </w:rPr>
        <w:t>)</w:t>
      </w:r>
      <w:r w:rsidRPr="00DE361F">
        <w:rPr>
          <w:rFonts w:cs="AdvOT1c339561"/>
          <w:bCs/>
          <w:sz w:val="18"/>
          <w:szCs w:val="18"/>
          <w:lang w:val="en-GB"/>
        </w:rPr>
        <w:t xml:space="preserve">; </w:t>
      </w:r>
      <w:proofErr w:type="spellStart"/>
      <w:r w:rsidRPr="00DE361F">
        <w:rPr>
          <w:rFonts w:cs="AdvOT1c339561"/>
          <w:bCs/>
          <w:sz w:val="18"/>
          <w:szCs w:val="18"/>
          <w:lang w:val="en-GB"/>
        </w:rPr>
        <w:t>outHR</w:t>
      </w:r>
      <w:proofErr w:type="spellEnd"/>
      <w:r w:rsidRPr="00DE361F">
        <w:rPr>
          <w:rFonts w:cs="AdvOT1c339561"/>
          <w:bCs/>
          <w:sz w:val="18"/>
          <w:szCs w:val="18"/>
          <w:lang w:val="en-GB"/>
        </w:rPr>
        <w:t xml:space="preserve"> was estimated by censoring simulated time at 20 months; </w:t>
      </w:r>
      <w:proofErr w:type="spellStart"/>
      <w:r w:rsidRPr="00DE361F">
        <w:rPr>
          <w:rFonts w:cs="AdvOT1c339561"/>
          <w:bCs/>
          <w:sz w:val="18"/>
          <w:szCs w:val="18"/>
          <w:lang w:val="en-GB"/>
        </w:rPr>
        <w:t>inHR</w:t>
      </w:r>
      <w:proofErr w:type="spellEnd"/>
      <w:r w:rsidRPr="00DE361F">
        <w:rPr>
          <w:rFonts w:cs="AdvOT1c339561"/>
          <w:bCs/>
          <w:sz w:val="18"/>
          <w:szCs w:val="18"/>
          <w:lang w:val="en-GB"/>
        </w:rPr>
        <w:t xml:space="preserve"> was 0.38, 0.25, and 0.80 for gefitinib, erlotinib, and prognostic value of EGFR, respectively; EGFR-TKI benefit was assumed to wear out after 15 months.</w:t>
      </w:r>
    </w:p>
    <w:p w14:paraId="42298F21" w14:textId="5EDA79CF" w:rsidR="00BA1A2B" w:rsidRDefault="000D1D3D" w:rsidP="007542F4">
      <w:pPr>
        <w:spacing w:line="480" w:lineRule="auto"/>
      </w:pPr>
      <w:r>
        <w:rPr>
          <w:noProof/>
          <w:lang w:val="en-GB" w:eastAsia="en-GB"/>
        </w:rPr>
        <w:lastRenderedPageBreak/>
        <w:drawing>
          <wp:inline distT="0" distB="0" distL="0" distR="0" wp14:anchorId="3E85F8B4" wp14:editId="16997D81">
            <wp:extent cx="5731510" cy="2868295"/>
            <wp:effectExtent l="0" t="0" r="254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2868295"/>
                    </a:xfrm>
                    <a:prstGeom prst="rect">
                      <a:avLst/>
                    </a:prstGeom>
                    <a:noFill/>
                    <a:ln>
                      <a:noFill/>
                    </a:ln>
                  </pic:spPr>
                </pic:pic>
              </a:graphicData>
            </a:graphic>
          </wp:inline>
        </w:drawing>
      </w:r>
    </w:p>
    <w:p w14:paraId="4F64C040" w14:textId="77777777" w:rsidR="00BA1A2B" w:rsidRDefault="00BA1A2B" w:rsidP="007542F4">
      <w:pPr>
        <w:spacing w:after="0" w:line="480" w:lineRule="auto"/>
        <w:ind w:right="379"/>
        <w:jc w:val="both"/>
      </w:pPr>
      <w:r>
        <w:t>Figure A6. Deterministic sensitivity analysis, impact of cure rate on progression-free and overall survival for patients with PD-L1 50%, pembrolizumab monotherapy.</w:t>
      </w:r>
    </w:p>
    <w:p w14:paraId="67303A3A" w14:textId="48C8E4A4" w:rsidR="00BA1A2B" w:rsidRPr="00DE361F" w:rsidRDefault="00BA1A2B" w:rsidP="007542F4">
      <w:pPr>
        <w:spacing w:after="0" w:line="480" w:lineRule="auto"/>
        <w:ind w:right="379"/>
        <w:jc w:val="both"/>
        <w:rPr>
          <w:sz w:val="18"/>
          <w:szCs w:val="18"/>
        </w:rPr>
      </w:pPr>
      <w:r w:rsidRPr="00DE361F">
        <w:rPr>
          <w:sz w:val="18"/>
          <w:szCs w:val="18"/>
        </w:rPr>
        <w:t>fraction, long-term survivor fraction, it varied from 14</w:t>
      </w:r>
      <w:r w:rsidR="00AC04E9" w:rsidRPr="00DE361F">
        <w:rPr>
          <w:sz w:val="18"/>
          <w:szCs w:val="18"/>
        </w:rPr>
        <w:t xml:space="preserve"> percent</w:t>
      </w:r>
      <w:r w:rsidRPr="00DE361F">
        <w:rPr>
          <w:sz w:val="18"/>
          <w:szCs w:val="18"/>
        </w:rPr>
        <w:t xml:space="preserve"> to 35</w:t>
      </w:r>
      <w:r w:rsidR="00AC04E9" w:rsidRPr="00DE361F">
        <w:rPr>
          <w:sz w:val="18"/>
          <w:szCs w:val="18"/>
        </w:rPr>
        <w:t xml:space="preserve"> percent</w:t>
      </w:r>
      <w:r w:rsidRPr="00DE361F">
        <w:rPr>
          <w:sz w:val="18"/>
          <w:szCs w:val="18"/>
        </w:rPr>
        <w:t xml:space="preserve"> in interval of 5</w:t>
      </w:r>
      <w:r w:rsidR="00AC04E9" w:rsidRPr="00DE361F">
        <w:rPr>
          <w:sz w:val="18"/>
          <w:szCs w:val="18"/>
        </w:rPr>
        <w:t xml:space="preserve"> percent</w:t>
      </w:r>
      <w:r w:rsidRPr="00DE361F">
        <w:rPr>
          <w:sz w:val="18"/>
          <w:szCs w:val="18"/>
        </w:rPr>
        <w:t xml:space="preserve">. </w:t>
      </w:r>
      <w:proofErr w:type="spellStart"/>
      <w:r w:rsidRPr="00DE361F">
        <w:rPr>
          <w:sz w:val="18"/>
          <w:szCs w:val="18"/>
        </w:rPr>
        <w:t>inHR</w:t>
      </w:r>
      <w:proofErr w:type="spellEnd"/>
      <w:r w:rsidRPr="00DE361F">
        <w:rPr>
          <w:sz w:val="18"/>
          <w:szCs w:val="18"/>
        </w:rPr>
        <w:t xml:space="preserve"> was selected resulted </w:t>
      </w:r>
      <w:proofErr w:type="spellStart"/>
      <w:r w:rsidRPr="00DE361F">
        <w:rPr>
          <w:sz w:val="18"/>
          <w:szCs w:val="18"/>
        </w:rPr>
        <w:t>outHR</w:t>
      </w:r>
      <w:proofErr w:type="spellEnd"/>
      <w:r w:rsidRPr="00DE361F">
        <w:rPr>
          <w:sz w:val="18"/>
          <w:szCs w:val="18"/>
        </w:rPr>
        <w:t xml:space="preserve"> was 0.50 </w:t>
      </w:r>
      <w:r w:rsidRPr="00DE361F">
        <w:rPr>
          <w:sz w:val="18"/>
          <w:szCs w:val="18"/>
        </w:rPr>
        <w:fldChar w:fldCharType="begin" w:fldLock="1"/>
      </w:r>
      <w:r w:rsidR="00315CD2">
        <w:rPr>
          <w:sz w:val="18"/>
          <w:szCs w:val="18"/>
        </w:rPr>
        <w:instrText>ADDIN CSL_CITATION {"citationItems":[{"id":"ITEM-1","itemData":{"DOI":"c","ISSN":"0028-4793","PMID":"27718847","abstract":"BACKGROUND Pembrolizumab is a humanized monoclonal antibody against programmed death 1 (PD-1) that has antitumor activity in advanced non-small-cell lung cancer (NSCLC), with increased activity in tumors that express programmed death ligand 1 (PD-L1). METHODS In this open-label, phase 3 trial, we randomly assigned 305 patients who had previously untreated advanced NSCLC with PD-L1 expression on at least 50% of tumor cells and no sensitizing mutation of the epidermal growth factor receptor gene or translocation of the anaplastic lymphoma kinase gene to receive either pembrolizumab (at a fixed dose of 200 mg every 3 weeks) or the investigator's choice of platinum-based chemotherapy. Crossover from the chemotherapy group to the pembrolizumab group was permitted in the event of disease progression. The primary end point, progression-free survival, was assessed by means of blinded, independent, central radiologic review. Secondary end points were overall survival, objective response rate, and safety. RESULTS Median progression-free survival was 10.3 months (95% confidence interval [CI], 6.7 to not reached) in the pembrolizumab group versus 6.0 months (95% CI, 4.2 to 6.2) in the chemotherapy group (hazard ratio for disease progression or death, 0.50; 95% CI, 0.37 to 0.68; P&lt;0.001). The estimated rate of overall survival at 6 months was 80.2% in the pembrolizumab group versus 72.4% in the chemotherapy group (hazard ratio for death, 0.60; 95% CI, 0.41 to 0.89; P=0.005). The response rate was higher in the pembrolizumab group than in the chemotherapy group (44.8% vs. 27.8%), the median duration of response was longer (not reached [range, 1.9+ to 14.5+ months] vs. 6.3 months [range, 2.1+ to 12.6+]), and treatment-related adverse events of any grade were less frequent (occurring in 73.4% vs. 90.0% of patients), as were grade 3, 4, or 5 treatment-related adverse events (26.6% vs. 53.3%). CONCLUSIONS In patients with advanced NSCLC and PD-L1 expression on at least 50% of tumor cells, pembrolizumab was associated with significantly longer progression-free and overall survival and with fewer adverse events than was platinum-based chemotherapy. (Funded by Merck; KEYNOTE-024 ClinicalTrials.gov number, NCT02142738 .).","author":[{"dropping-particle":"","family":"Reck","given":"Martin","non-dropping-particle":"","parse-names":false,"suffix":""},{"dropping-particle":"","family":"Rodríguez-Abreu","given":"Delvys","non-dropping-particle":"","parse-names":false,"suffix":""},{"dropping-particle":"","family":"Robinson","given":"Andrew G.","non-dropping-particle":"","parse-names":false,"suffix":""},{"dropping-particle":"","family":"Hui","given":"Rina","non-dropping-particle":"","parse-names":false,"suffix":""},{"dropping-particle":"","family":"Csőszi","given":"Tibor","non-dropping-particle":"","parse-names":false,"suffix":""},{"dropping-particle":"","family":"Fülöp","given":"Andrea","non-dropping-particle":"","parse-names":false,"suffix":""},{"dropping-particle":"","family":"Gottfried","given":"Maya","non-dropping-particle":"","parse-names":false,"suffix":""},{"dropping-particle":"","family":"Peled","given":"Nir","non-dropping-particle":"","parse-names":false,"suffix":""},{"dropping-particle":"","family":"Tafreshi","given":"Ali","non-dropping-particle":"","parse-names":false,"suffix":""},{"dropping-particle":"","family":"Cuffe","given":"Sinead","non-dropping-particle":"","parse-names":false,"suffix":""},{"dropping-particle":"","family":"O’Brien","given":"Mary","non-dropping-particle":"","parse-names":false,"suffix":""},{"dropping-particle":"","family":"Rao","given":"Suman","non-dropping-particle":"","parse-names":false,"suffix":""},{"dropping-particle":"","family":"Hotta","given":"Katsuyuki","non-dropping-particle":"","parse-names":false,"suffix":""},{"dropping-particle":"","family":"Leiby","given":"Melanie A.","non-dropping-particle":"","parse-names":false,"suffix":""},{"dropping-particle":"","family":"Lubiniecki","given":"Gregory M.","non-dropping-particle":"","parse-names":false,"suffix":""},{"dropping-particle":"","family":"Shentu","given":"Yue","non-dropping-particle":"","parse-names":false,"suffix":""},{"dropping-particle":"","family":"Rangwala","given":"Reshma","non-dropping-particle":"","parse-names":false,"suffix":""},{"dropping-particle":"","family":"Brahmer","given":"Julie R.","non-dropping-particle":"","parse-names":false,"suffix":""}],"container-title":"New England Journal of Medicine","id":"ITEM-1","issue":"19","issued":{"date-parts":[["2016","11","10"]]},"page":"1823-1833","title":"Pembrolizumab versus Chemotherapy for PD-L1–Positive Non–Small-Cell Lung Cancer","type":"article-journal","volume":"375"},"uris":["http://www.mendeley.com/documents/?uuid=0c09ac4f-12e8-4ada-8a5e-399b7e3a9594"]}],"mendeley":{"formattedCitation":"[36]","plainTextFormattedCitation":"[36]","previouslyFormattedCitation":"[36]"},"properties":{"noteIndex":0},"schema":"https://github.com/citation-style-language/schema/raw/master/csl-citation.json"}</w:instrText>
      </w:r>
      <w:r w:rsidRPr="00DE361F">
        <w:rPr>
          <w:sz w:val="18"/>
          <w:szCs w:val="18"/>
        </w:rPr>
        <w:fldChar w:fldCharType="separate"/>
      </w:r>
      <w:r w:rsidR="009F237B" w:rsidRPr="009F237B">
        <w:rPr>
          <w:noProof/>
          <w:sz w:val="18"/>
          <w:szCs w:val="18"/>
        </w:rPr>
        <w:t>[36]</w:t>
      </w:r>
      <w:r w:rsidRPr="00DE361F">
        <w:rPr>
          <w:sz w:val="18"/>
          <w:szCs w:val="18"/>
        </w:rPr>
        <w:fldChar w:fldCharType="end"/>
      </w:r>
      <w:r w:rsidRPr="00DE361F">
        <w:rPr>
          <w:sz w:val="18"/>
          <w:szCs w:val="18"/>
        </w:rPr>
        <w:t xml:space="preserve">; </w:t>
      </w:r>
    </w:p>
    <w:p w14:paraId="26EC137A" w14:textId="72508FC3" w:rsidR="002E11C0" w:rsidRPr="007542F4" w:rsidRDefault="00BA1A2B" w:rsidP="007542F4">
      <w:pPr>
        <w:spacing w:after="0" w:line="480" w:lineRule="auto"/>
        <w:ind w:right="379"/>
        <w:jc w:val="both"/>
      </w:pPr>
      <w:r w:rsidRPr="00DE361F">
        <w:rPr>
          <w:sz w:val="18"/>
          <w:szCs w:val="18"/>
        </w:rPr>
        <w:t xml:space="preserve">* </w:t>
      </w:r>
      <w:proofErr w:type="spellStart"/>
      <w:r w:rsidRPr="00DE361F">
        <w:rPr>
          <w:sz w:val="18"/>
          <w:szCs w:val="18"/>
        </w:rPr>
        <w:t>outHR</w:t>
      </w:r>
      <w:proofErr w:type="spellEnd"/>
      <w:r w:rsidRPr="00DE361F">
        <w:rPr>
          <w:sz w:val="18"/>
          <w:szCs w:val="18"/>
        </w:rPr>
        <w:t xml:space="preserve"> was estimated with censoring of simulated time at 20 months. U.C.I, upper confidence interval; L.C.I, lower confidence interval; </w:t>
      </w:r>
      <w:proofErr w:type="spellStart"/>
      <w:r w:rsidRPr="00DE361F">
        <w:rPr>
          <w:sz w:val="18"/>
          <w:szCs w:val="18"/>
        </w:rPr>
        <w:t>yrs</w:t>
      </w:r>
      <w:proofErr w:type="spellEnd"/>
      <w:r w:rsidRPr="00DE361F">
        <w:rPr>
          <w:sz w:val="18"/>
          <w:szCs w:val="18"/>
        </w:rPr>
        <w:t xml:space="preserve">, years, 5 </w:t>
      </w:r>
      <w:proofErr w:type="spellStart"/>
      <w:r w:rsidRPr="00DE361F">
        <w:rPr>
          <w:sz w:val="18"/>
          <w:szCs w:val="18"/>
        </w:rPr>
        <w:t>yrs</w:t>
      </w:r>
      <w:proofErr w:type="spellEnd"/>
      <w:r w:rsidRPr="00DE361F">
        <w:rPr>
          <w:sz w:val="18"/>
          <w:szCs w:val="18"/>
        </w:rPr>
        <w:t xml:space="preserve"> OS RCT, five-year overall survival from randomize control trial taken from Five-year update of Keynote – 001 </w:t>
      </w:r>
      <w:r w:rsidRPr="00DE361F">
        <w:rPr>
          <w:sz w:val="18"/>
          <w:szCs w:val="18"/>
        </w:rPr>
        <w:fldChar w:fldCharType="begin" w:fldLock="1"/>
      </w:r>
      <w:r w:rsidR="00315CD2">
        <w:rPr>
          <w:sz w:val="18"/>
          <w:szCs w:val="18"/>
        </w:rPr>
        <w:instrText>ADDIN CSL_CITATION {"citationItems":[{"id":"ITEM-1","itemData":{"DOI":"10.1200/JCO.19.00934","ISSN":"0732-183X","abstract":"PURPOSE Pembrolizumab monotherapy has demonstrated durable antitumor activity in advanced programmed death ligand 1 (PD-L1)-expressing non-small-cell lung cancer (NSCLC). We report 5-year outcomes from the phase Ib KEYNOTE-001 study. These data provide the longest efficacy and safety follow-up for patients with NSCLC treated with pembrolizumab monotherapy. PATIENTS AND METHODS Eligible patients had confirmed locally advanced/metastatic NSCLC and provided a contemporaneous tumor sample for PD-L1 evaluation by immunohistochemistry using the 22C3 antibody. Patients received intravenous pembrolizumab 2 mg/kg every 3 weeks or 10 mg/kg every 2 or 3 weeks. Investigators assessed response per immune-related response criteria. The primary efficacy end point was objective response rate. Overall survival (OS) and duration of response were secondary end points. RESULTS We enrolled 101 treatment-naive and 449 previously treated patients. Median follow-up was 60.6 months (range, 51.8 to 77.9 months). At data cutoff-November 5, 2018-450 patients (82%) had died. Median OS was 22.3 months (95% CI, 17.1 to 32.3 months) in treatment-naive patients and 10.5 months (95% CI, 8.6 to 13.2 months) in previously treated patients. Estimated 5-year OS was 23.2% for treatment-naive patients and 15.5% for previously treated patients. In patients with a PD-L1 tumor proportion score of 50% or greater, 5-year OS was 29.6% and 25.0% in treatment-naive and previously treated patients, respectively. Compared with analysis at 3 years, only three new-onset treatment-related grade 3 adverse events occurred (hypertension, glucose intolerance, and hypersensitivity reaction, all resolved). No late-onset grade 4 or 5 treatment-related adverse events occurred. CONCLUSION Pembrolizumab monotherapy provided durable antitumor activity and high 5-year OS rates in patients with treatment-naive or previously treated advanced NSCLC. Of note, the 5-year OS rate exceeded 25% among patients with a PD-L1 tumor proportion score of 50% or greater. Pembrolizumab had a tolerable long-term safety profile with little evidence of late-onset or new toxicity.","author":[{"dropping-particle":"","family":"Garon","given":"Edward B.","non-dropping-particle":"","parse-names":false,"suffix":""},{"dropping-particle":"","family":"Hellmann","given":"Matthew D.","non-dropping-particle":"","parse-names":false,"suffix":""},{"dropping-particle":"","family":"Rizvi","given":"Naiyer A.","non-dropping-particle":"","parse-names":false,"suffix":""},{"dropping-particle":"","family":"Carcereny","given":"Enric","non-dropping-particle":"","parse-names":false,"suffix":""},{"dropping-particle":"","family":"Leighl","given":"Natasha B.","non-dropping-particle":"","parse-names":false,"suffix":""},{"dropping-particle":"","family":"Ahn","given":"Myung-Ju","non-dropping-particle":"","parse-names":false,"suffix":""},{"dropping-particle":"","family":"Eder","given":"Joseph Paul","non-dropping-particle":"","parse-names":false,"suffix":""},{"dropping-particle":"","family":"Balmanoukian","given":"Ani S.","non-dropping-particle":"","parse-names":false,"suffix":""},{"dropping-particle":"","family":"Aggarwal","given":"Charu","non-dropping-particle":"","parse-names":false,"suffix":""},{"dropping-particle":"","family":"Horn","given":"Leora","non-dropping-particle":"","parse-names":false,"suffix":""},{"dropping-particle":"","family":"Patnaik","given":"Amita","non-dropping-particle":"","parse-names":false,"suffix":""},{"dropping-particle":"","family":"Gubens","given":"Matthew","non-dropping-particle":"","parse-names":false,"suffix":""},{"dropping-particle":"","family":"Ramalingam","given":"Suresh S.","non-dropping-particle":"","parse-names":false,"suffix":""},{"dropping-particle":"","family":"Felip","given":"Enriqueta","non-dropping-particle":"","parse-names":false,"suffix":""},{"dropping-particle":"","family":"Goldman","given":"Jonathan W.","non-dropping-particle":"","parse-names":false,"suffix":""},{"dropping-particle":"","family":"Scalzo","given":"Cathie","non-dropping-particle":"","parse-names":false,"suffix":""},{"dropping-particle":"","family":"Jensen","given":"Erin","non-dropping-particle":"","parse-names":false,"suffix":""},{"dropping-particle":"","family":"Kush","given":"Debra A.","non-dropping-particle":"","parse-names":false,"suffix":""},{"dropping-particle":"","family":"Hui","given":"Rina","non-dropping-particle":"","parse-names":false,"suffix":""}],"container-title":"Journal of Clinical Oncology","id":"ITEM-1","issue":"28","issued":{"date-parts":[["2019","10","1"]]},"page":"2518-2527","title":"Five-Year Overall Survival for Patients With Advanced Non‒Small-Cell Lung Cancer Treated With Pembrolizumab: Results From the Phase I KEYNOTE-001 Study","type":"article-journal","volume":"37"},"uris":["http://www.mendeley.com/documents/?uuid=9fc65032-83d3-3ab8-bbf2-56c5f860b89a"]}],"mendeley":{"formattedCitation":"[54]","plainTextFormattedCitation":"[54]","previouslyFormattedCitation":"[54]"},"properties":{"noteIndex":0},"schema":"https://github.com/citation-style-language/schema/raw/master/csl-citation.json"}</w:instrText>
      </w:r>
      <w:r w:rsidRPr="00DE361F">
        <w:rPr>
          <w:sz w:val="18"/>
          <w:szCs w:val="18"/>
        </w:rPr>
        <w:fldChar w:fldCharType="separate"/>
      </w:r>
      <w:r w:rsidR="009F237B" w:rsidRPr="009F237B">
        <w:rPr>
          <w:noProof/>
          <w:sz w:val="18"/>
          <w:szCs w:val="18"/>
        </w:rPr>
        <w:t>[54]</w:t>
      </w:r>
      <w:r w:rsidRPr="00DE361F">
        <w:rPr>
          <w:sz w:val="18"/>
          <w:szCs w:val="18"/>
        </w:rPr>
        <w:fldChar w:fldCharType="end"/>
      </w:r>
      <w:r w:rsidRPr="00DE361F">
        <w:rPr>
          <w:sz w:val="18"/>
          <w:szCs w:val="18"/>
        </w:rPr>
        <w:t>.</w:t>
      </w:r>
      <w:r w:rsidR="002E11C0">
        <w:rPr>
          <w:rFonts w:ascii="Calibri" w:eastAsia="Calibri" w:hAnsi="Calibri" w:cs="Times New Roman"/>
          <w:sz w:val="18"/>
          <w:szCs w:val="18"/>
        </w:rPr>
        <w:br w:type="page"/>
      </w:r>
    </w:p>
    <w:p w14:paraId="082EFD09" w14:textId="4C2FE8B3" w:rsidR="00706FFC" w:rsidRPr="00BE7E49" w:rsidRDefault="001B285A" w:rsidP="00AB7D4E">
      <w:pPr>
        <w:pStyle w:val="ListParagraph"/>
        <w:numPr>
          <w:ilvl w:val="0"/>
          <w:numId w:val="42"/>
        </w:numPr>
        <w:spacing w:line="480" w:lineRule="auto"/>
        <w:ind w:left="851" w:hanging="425"/>
        <w:outlineLvl w:val="0"/>
        <w:rPr>
          <w:b/>
          <w:lang w:val="nl-NL"/>
        </w:rPr>
      </w:pPr>
      <w:r>
        <w:rPr>
          <w:b/>
          <w:lang w:val="nl-NL"/>
        </w:rPr>
        <w:lastRenderedPageBreak/>
        <w:t>REFERENCES</w:t>
      </w:r>
      <w:r w:rsidR="00706FFC" w:rsidRPr="00BE7E49">
        <w:rPr>
          <w:b/>
          <w:lang w:val="nl-NL"/>
        </w:rPr>
        <w:t xml:space="preserve"> </w:t>
      </w:r>
    </w:p>
    <w:p w14:paraId="29F4186E" w14:textId="3C1BED1C" w:rsidR="007C7543" w:rsidRPr="007C7543" w:rsidRDefault="006308E1" w:rsidP="007C7543">
      <w:pPr>
        <w:widowControl w:val="0"/>
        <w:autoSpaceDE w:val="0"/>
        <w:autoSpaceDN w:val="0"/>
        <w:adjustRightInd w:val="0"/>
        <w:spacing w:after="0" w:line="480" w:lineRule="auto"/>
        <w:ind w:left="640" w:hanging="640"/>
        <w:rPr>
          <w:rFonts w:ascii="Calibri" w:hAnsi="Calibri" w:cs="Calibri"/>
          <w:noProof/>
          <w:szCs w:val="24"/>
        </w:rPr>
      </w:pPr>
      <w:r w:rsidRPr="00A62CD9">
        <w:rPr>
          <w:b/>
        </w:rPr>
        <w:fldChar w:fldCharType="begin" w:fldLock="1"/>
      </w:r>
      <w:r w:rsidRPr="007D11A5">
        <w:rPr>
          <w:b/>
        </w:rPr>
        <w:instrText xml:space="preserve">ADDIN Mendeley Bibliography CSL_BIBLIOGRAPHY </w:instrText>
      </w:r>
      <w:r w:rsidRPr="00A62CD9">
        <w:rPr>
          <w:b/>
        </w:rPr>
        <w:fldChar w:fldCharType="separate"/>
      </w:r>
      <w:r w:rsidR="007C7543" w:rsidRPr="007C7543">
        <w:rPr>
          <w:rFonts w:ascii="Calibri" w:hAnsi="Calibri" w:cs="Calibri"/>
          <w:noProof/>
          <w:szCs w:val="24"/>
        </w:rPr>
        <w:t>[1]</w:t>
      </w:r>
      <w:r w:rsidR="007C7543" w:rsidRPr="007C7543">
        <w:rPr>
          <w:rFonts w:ascii="Calibri" w:hAnsi="Calibri" w:cs="Calibri"/>
          <w:noProof/>
          <w:szCs w:val="24"/>
        </w:rPr>
        <w:tab/>
        <w:t xml:space="preserve">D. Planchard </w:t>
      </w:r>
      <w:r w:rsidR="007C7543" w:rsidRPr="007C7543">
        <w:rPr>
          <w:rFonts w:ascii="Calibri" w:hAnsi="Calibri" w:cs="Calibri"/>
          <w:i/>
          <w:iCs/>
          <w:noProof/>
          <w:szCs w:val="24"/>
        </w:rPr>
        <w:t>et al.</w:t>
      </w:r>
      <w:r w:rsidR="007C7543" w:rsidRPr="007C7543">
        <w:rPr>
          <w:rFonts w:ascii="Calibri" w:hAnsi="Calibri" w:cs="Calibri"/>
          <w:noProof/>
          <w:szCs w:val="24"/>
        </w:rPr>
        <w:t xml:space="preserve">, “Metastatic non-small cell lung cancer: ESMO Clinical Practice Guidelines for diagnosis, treatment and follow-up.,” </w:t>
      </w:r>
      <w:r w:rsidR="007C7543" w:rsidRPr="007C7543">
        <w:rPr>
          <w:rFonts w:ascii="Calibri" w:hAnsi="Calibri" w:cs="Calibri"/>
          <w:i/>
          <w:iCs/>
          <w:noProof/>
          <w:szCs w:val="24"/>
        </w:rPr>
        <w:t>Ann. Oncol.  Off. J. Eur. Soc. Med. Oncol.</w:t>
      </w:r>
      <w:r w:rsidR="007C7543" w:rsidRPr="007C7543">
        <w:rPr>
          <w:rFonts w:ascii="Calibri" w:hAnsi="Calibri" w:cs="Calibri"/>
          <w:noProof/>
          <w:szCs w:val="24"/>
        </w:rPr>
        <w:t>, vol. 29, no. Suppl 4, pp. iv192–iv237, Oct. 2018, doi: 10.1093/annonc/mdy275.</w:t>
      </w:r>
    </w:p>
    <w:p w14:paraId="1459F587"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[2]</w:t>
      </w:r>
      <w:r w:rsidRPr="007C7543">
        <w:rPr>
          <w:rFonts w:ascii="Calibri" w:hAnsi="Calibri" w:cs="Calibri"/>
          <w:noProof/>
          <w:szCs w:val="24"/>
        </w:rPr>
        <w:tab/>
        <w:t>National Comprehensive Cancer Network, “Non-Small Cell Lung Cancer (version 3.2020),” 2020. https://www.nccn.org/professionals/physician_gls/pdf/nscl_blocks.pdf (accessed Mar. 05, 2020).</w:t>
      </w:r>
    </w:p>
    <w:p w14:paraId="5A2CED0B"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[3]</w:t>
      </w:r>
      <w:r w:rsidRPr="007C7543">
        <w:rPr>
          <w:rFonts w:ascii="Calibri" w:hAnsi="Calibri" w:cs="Calibri"/>
          <w:noProof/>
          <w:szCs w:val="24"/>
        </w:rPr>
        <w:tab/>
        <w:t xml:space="preserve">D. van den Broek </w:t>
      </w:r>
      <w:r w:rsidRPr="007C7543">
        <w:rPr>
          <w:rFonts w:ascii="Calibri" w:hAnsi="Calibri" w:cs="Calibri"/>
          <w:i/>
          <w:iCs/>
          <w:noProof/>
          <w:szCs w:val="24"/>
        </w:rPr>
        <w:t>et al.</w:t>
      </w:r>
      <w:r w:rsidRPr="007C7543">
        <w:rPr>
          <w:rFonts w:ascii="Calibri" w:hAnsi="Calibri" w:cs="Calibri"/>
          <w:noProof/>
          <w:szCs w:val="24"/>
        </w:rPr>
        <w:t xml:space="preserve">, “Implementation of Novel Molecular Biomarkers for Non-small Cell Lung Cancer in the Netherlands: How to Deal With Increasing Complexity,” </w:t>
      </w:r>
      <w:r w:rsidRPr="007C7543">
        <w:rPr>
          <w:rFonts w:ascii="Calibri" w:hAnsi="Calibri" w:cs="Calibri"/>
          <w:i/>
          <w:iCs/>
          <w:noProof/>
          <w:szCs w:val="24"/>
        </w:rPr>
        <w:t>Front. Oncol.</w:t>
      </w:r>
      <w:r w:rsidRPr="007C7543">
        <w:rPr>
          <w:rFonts w:ascii="Calibri" w:hAnsi="Calibri" w:cs="Calibri"/>
          <w:noProof/>
          <w:szCs w:val="24"/>
        </w:rPr>
        <w:t>, vol. 9, Jan. 2020, doi: 10.3389/fonc.2019.01521.</w:t>
      </w:r>
    </w:p>
    <w:p w14:paraId="088EB742"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[4]</w:t>
      </w:r>
      <w:r w:rsidRPr="007C7543">
        <w:rPr>
          <w:rFonts w:ascii="Calibri" w:hAnsi="Calibri" w:cs="Calibri"/>
          <w:noProof/>
          <w:szCs w:val="24"/>
        </w:rPr>
        <w:tab/>
        <w:t xml:space="preserve">K. C. Arbour and G. J. Riely, “Systemic Therapy for Locally Advanced and Metastatic Non–Small Cell Lung Cancer,” </w:t>
      </w:r>
      <w:r w:rsidRPr="007C7543">
        <w:rPr>
          <w:rFonts w:ascii="Calibri" w:hAnsi="Calibri" w:cs="Calibri"/>
          <w:i/>
          <w:iCs/>
          <w:noProof/>
          <w:szCs w:val="24"/>
        </w:rPr>
        <w:t>JAMA</w:t>
      </w:r>
      <w:r w:rsidRPr="007C7543">
        <w:rPr>
          <w:rFonts w:ascii="Calibri" w:hAnsi="Calibri" w:cs="Calibri"/>
          <w:noProof/>
          <w:szCs w:val="24"/>
        </w:rPr>
        <w:t>, vol. 322, no. 8, p. 764, Aug. 2019, doi: 10.1001/jama.2019.11058.</w:t>
      </w:r>
    </w:p>
    <w:p w14:paraId="661926E8"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[5]</w:t>
      </w:r>
      <w:r w:rsidRPr="007C7543">
        <w:rPr>
          <w:rFonts w:ascii="Calibri" w:hAnsi="Calibri" w:cs="Calibri"/>
          <w:noProof/>
          <w:szCs w:val="24"/>
        </w:rPr>
        <w:tab/>
        <w:t xml:space="preserve">M. K. Nesline, T. Knight, S. Colman, and K. Patel, “Economic Burden of Checkpoint Inhibitor Immunotherapy for the Treatment of Non–Small Cell Lung Cancer in US Clinical Practice,” </w:t>
      </w:r>
      <w:r w:rsidRPr="007C7543">
        <w:rPr>
          <w:rFonts w:ascii="Calibri" w:hAnsi="Calibri" w:cs="Calibri"/>
          <w:i/>
          <w:iCs/>
          <w:noProof/>
          <w:szCs w:val="24"/>
        </w:rPr>
        <w:t>Clin. Ther.</w:t>
      </w:r>
      <w:r w:rsidRPr="007C7543">
        <w:rPr>
          <w:rFonts w:ascii="Calibri" w:hAnsi="Calibri" w:cs="Calibri"/>
          <w:noProof/>
          <w:szCs w:val="24"/>
        </w:rPr>
        <w:t>, vol. 42, no. 9, pp. 1682-1698.e7, Sep. 2020, doi: 10.1016/j.clinthera.2020.06.018.</w:t>
      </w:r>
    </w:p>
    <w:p w14:paraId="6DF67A81"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[6]</w:t>
      </w:r>
      <w:r w:rsidRPr="007C7543">
        <w:rPr>
          <w:rFonts w:ascii="Calibri" w:hAnsi="Calibri" w:cs="Calibri"/>
          <w:noProof/>
          <w:szCs w:val="24"/>
        </w:rPr>
        <w:tab/>
        <w:t xml:space="preserve">J. J. Caro, A. H. Briggs, U. Siebert, and K. M. Kuntz, “Modeling Good Research Practices—Overview: A Report of the ISPOR-SMDM Modeling Good Research Practices Task Force-1,” </w:t>
      </w:r>
      <w:r w:rsidRPr="007C7543">
        <w:rPr>
          <w:rFonts w:ascii="Calibri" w:hAnsi="Calibri" w:cs="Calibri"/>
          <w:i/>
          <w:iCs/>
          <w:noProof/>
          <w:szCs w:val="24"/>
        </w:rPr>
        <w:t>Value Heal.</w:t>
      </w:r>
      <w:r w:rsidRPr="007C7543">
        <w:rPr>
          <w:rFonts w:ascii="Calibri" w:hAnsi="Calibri" w:cs="Calibri"/>
          <w:noProof/>
          <w:szCs w:val="24"/>
        </w:rPr>
        <w:t>, vol. 15, no. 6, pp. 796–803, Sep. 2012, doi: 10.1016/j.jval.2012.06.012.</w:t>
      </w:r>
    </w:p>
    <w:p w14:paraId="23C69A1B"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[7]</w:t>
      </w:r>
      <w:r w:rsidRPr="007C7543">
        <w:rPr>
          <w:rFonts w:ascii="Calibri" w:hAnsi="Calibri" w:cs="Calibri"/>
          <w:noProof/>
          <w:szCs w:val="24"/>
        </w:rPr>
        <w:tab/>
        <w:t>National Institute for Health and Care Excellence, “Guide to the methods of technology appraisal [NICE Guideline No. 9],” Apr. 2013. Accessed: Jul. 07, 2021. [Online]. Available: http://www.nice.org.uk/media/D45/1E/GuideToMethodsTechnologyAppraisal2013.pdf.</w:t>
      </w:r>
    </w:p>
    <w:p w14:paraId="1512BF60"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[8]</w:t>
      </w:r>
      <w:r w:rsidRPr="007C7543">
        <w:rPr>
          <w:rFonts w:ascii="Calibri" w:hAnsi="Calibri" w:cs="Calibri"/>
          <w:noProof/>
          <w:szCs w:val="24"/>
        </w:rPr>
        <w:tab/>
        <w:t xml:space="preserve">E. M. Krijkamp, F. Alarid-Escudero, E. A. Enns, H. J. Jalal, M. G. M. Hunink, and P. Pechlivanoglou, “Microsimulation Modeling for Health Decision Sciences Using R: A Tutorial,” </w:t>
      </w:r>
      <w:r w:rsidRPr="007C7543">
        <w:rPr>
          <w:rFonts w:ascii="Calibri" w:hAnsi="Calibri" w:cs="Calibri"/>
          <w:i/>
          <w:iCs/>
          <w:noProof/>
          <w:szCs w:val="24"/>
        </w:rPr>
        <w:t>Med. Decis. Mak.</w:t>
      </w:r>
      <w:r w:rsidRPr="007C7543">
        <w:rPr>
          <w:rFonts w:ascii="Calibri" w:hAnsi="Calibri" w:cs="Calibri"/>
          <w:noProof/>
          <w:szCs w:val="24"/>
        </w:rPr>
        <w:t>, vol. 38, no. 3, pp. 400–422, Apr. 2018, doi: 10.1177/0272989X18754513.</w:t>
      </w:r>
    </w:p>
    <w:p w14:paraId="0B4476E2"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[9]</w:t>
      </w:r>
      <w:r w:rsidRPr="007C7543">
        <w:rPr>
          <w:rFonts w:ascii="Calibri" w:hAnsi="Calibri" w:cs="Calibri"/>
          <w:noProof/>
          <w:szCs w:val="24"/>
        </w:rPr>
        <w:tab/>
        <w:t xml:space="preserve">M. C. Weinstein </w:t>
      </w:r>
      <w:r w:rsidRPr="007C7543">
        <w:rPr>
          <w:rFonts w:ascii="Calibri" w:hAnsi="Calibri" w:cs="Calibri"/>
          <w:i/>
          <w:iCs/>
          <w:noProof/>
          <w:szCs w:val="24"/>
        </w:rPr>
        <w:t>et al.</w:t>
      </w:r>
      <w:r w:rsidRPr="007C7543">
        <w:rPr>
          <w:rFonts w:ascii="Calibri" w:hAnsi="Calibri" w:cs="Calibri"/>
          <w:noProof/>
          <w:szCs w:val="24"/>
        </w:rPr>
        <w:t>, “Principles of good practice for decision analytic modeling in health-</w:t>
      </w:r>
      <w:r w:rsidRPr="007C7543">
        <w:rPr>
          <w:rFonts w:ascii="Calibri" w:hAnsi="Calibri" w:cs="Calibri"/>
          <w:noProof/>
          <w:szCs w:val="24"/>
        </w:rPr>
        <w:lastRenderedPageBreak/>
        <w:t xml:space="preserve">care evaluation: Report of the ISPOR task force on good research practices - Modeling studies,” </w:t>
      </w:r>
      <w:r w:rsidRPr="007C7543">
        <w:rPr>
          <w:rFonts w:ascii="Calibri" w:hAnsi="Calibri" w:cs="Calibri"/>
          <w:i/>
          <w:iCs/>
          <w:noProof/>
          <w:szCs w:val="24"/>
        </w:rPr>
        <w:t>Value Heal.</w:t>
      </w:r>
      <w:r w:rsidRPr="007C7543">
        <w:rPr>
          <w:rFonts w:ascii="Calibri" w:hAnsi="Calibri" w:cs="Calibri"/>
          <w:noProof/>
          <w:szCs w:val="24"/>
        </w:rPr>
        <w:t>, vol. 6, no. 1, pp. 9–17, 2003, doi: 10.1046/j.1524-4733.2003.00234.x.</w:t>
      </w:r>
    </w:p>
    <w:p w14:paraId="5C9167A2"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[10]</w:t>
      </w:r>
      <w:r w:rsidRPr="007C7543">
        <w:rPr>
          <w:rFonts w:ascii="Calibri" w:hAnsi="Calibri" w:cs="Calibri"/>
          <w:noProof/>
          <w:szCs w:val="24"/>
        </w:rPr>
        <w:tab/>
        <w:t xml:space="preserve">M. S. Holleman, M. J. Al, R. Zaim, H. J. M. Groen, and C. A. Uyl-de Groot, “Cost-effectiveness analysis of the first-line EGFR-TKIs in patients with non-small cell lung cancer harbouring EGFR mutations.,” </w:t>
      </w:r>
      <w:r w:rsidRPr="007C7543">
        <w:rPr>
          <w:rFonts w:ascii="Calibri" w:hAnsi="Calibri" w:cs="Calibri"/>
          <w:i/>
          <w:iCs/>
          <w:noProof/>
          <w:szCs w:val="24"/>
        </w:rPr>
        <w:t>Eur. J. Health Econ.</w:t>
      </w:r>
      <w:r w:rsidRPr="007C7543">
        <w:rPr>
          <w:rFonts w:ascii="Calibri" w:hAnsi="Calibri" w:cs="Calibri"/>
          <w:noProof/>
          <w:szCs w:val="24"/>
        </w:rPr>
        <w:t>, vol. 21, no. 1, pp. 153–164, Feb. 2020, doi: 10.1007/s10198-019-01117-3.</w:t>
      </w:r>
    </w:p>
    <w:p w14:paraId="5141A025"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[11]</w:t>
      </w:r>
      <w:r w:rsidRPr="007C7543">
        <w:rPr>
          <w:rFonts w:ascii="Calibri" w:hAnsi="Calibri" w:cs="Calibri"/>
          <w:noProof/>
          <w:szCs w:val="24"/>
        </w:rPr>
        <w:tab/>
        <w:t xml:space="preserve">C. Chouaid </w:t>
      </w:r>
      <w:r w:rsidRPr="007C7543">
        <w:rPr>
          <w:rFonts w:ascii="Calibri" w:hAnsi="Calibri" w:cs="Calibri"/>
          <w:i/>
          <w:iCs/>
          <w:noProof/>
          <w:szCs w:val="24"/>
        </w:rPr>
        <w:t>et al.</w:t>
      </w:r>
      <w:r w:rsidRPr="007C7543">
        <w:rPr>
          <w:rFonts w:ascii="Calibri" w:hAnsi="Calibri" w:cs="Calibri"/>
          <w:noProof/>
          <w:szCs w:val="24"/>
        </w:rPr>
        <w:t xml:space="preserve">, “Cost-effectiveness analysis of pembrolizumab versus standard-of-care chemotherapy for first-line treatment of PD-L1 positive (&amp;gt;50%) metastatic squamous and non-squamous non-small cell lung cancer in France,” </w:t>
      </w:r>
      <w:r w:rsidRPr="007C7543">
        <w:rPr>
          <w:rFonts w:ascii="Calibri" w:hAnsi="Calibri" w:cs="Calibri"/>
          <w:i/>
          <w:iCs/>
          <w:noProof/>
          <w:szCs w:val="24"/>
        </w:rPr>
        <w:t>Lung Cancer</w:t>
      </w:r>
      <w:r w:rsidRPr="007C7543">
        <w:rPr>
          <w:rFonts w:ascii="Calibri" w:hAnsi="Calibri" w:cs="Calibri"/>
          <w:noProof/>
          <w:szCs w:val="24"/>
        </w:rPr>
        <w:t>, vol. 127, pp. 44–52, Jan. 2019, doi: 10.1016/j.lungcan.2018.11.008.</w:t>
      </w:r>
    </w:p>
    <w:p w14:paraId="5DA993AA"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[12]</w:t>
      </w:r>
      <w:r w:rsidRPr="007C7543">
        <w:rPr>
          <w:rFonts w:ascii="Calibri" w:hAnsi="Calibri" w:cs="Calibri"/>
          <w:noProof/>
          <w:szCs w:val="24"/>
        </w:rPr>
        <w:tab/>
        <w:t xml:space="preserve">M. C. Barbier, E. Pardo, C. M. Panje, O. Gautschi, and J. E. Lupatsch, “A cost-effectiveness analysis of pembrolizumab with or without chemotherapy for the treatment of patients with metastatic, non-squamous non-small cell lung cancer and high PD-L1 expression in Switzerland,” </w:t>
      </w:r>
      <w:r w:rsidRPr="007C7543">
        <w:rPr>
          <w:rFonts w:ascii="Calibri" w:hAnsi="Calibri" w:cs="Calibri"/>
          <w:i/>
          <w:iCs/>
          <w:noProof/>
          <w:szCs w:val="24"/>
        </w:rPr>
        <w:t>Eur. J. Heal. Econ.</w:t>
      </w:r>
      <w:r w:rsidRPr="007C7543">
        <w:rPr>
          <w:rFonts w:ascii="Calibri" w:hAnsi="Calibri" w:cs="Calibri"/>
          <w:noProof/>
          <w:szCs w:val="24"/>
        </w:rPr>
        <w:t>, vol. 22, no. 5, pp. 669–677, Jul. 2021, doi: 10.1007/s10198-021-01282-4.</w:t>
      </w:r>
    </w:p>
    <w:p w14:paraId="4D92D3FF"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[13]</w:t>
      </w:r>
      <w:r w:rsidRPr="007C7543">
        <w:rPr>
          <w:rFonts w:ascii="Calibri" w:hAnsi="Calibri" w:cs="Calibri"/>
          <w:noProof/>
          <w:szCs w:val="24"/>
        </w:rPr>
        <w:tab/>
        <w:t xml:space="preserve">M. Westwood </w:t>
      </w:r>
      <w:r w:rsidRPr="007C7543">
        <w:rPr>
          <w:rFonts w:ascii="Calibri" w:hAnsi="Calibri" w:cs="Calibri"/>
          <w:i/>
          <w:iCs/>
          <w:noProof/>
          <w:szCs w:val="24"/>
        </w:rPr>
        <w:t>et al.</w:t>
      </w:r>
      <w:r w:rsidRPr="007C7543">
        <w:rPr>
          <w:rFonts w:ascii="Calibri" w:hAnsi="Calibri" w:cs="Calibri"/>
          <w:noProof/>
          <w:szCs w:val="24"/>
        </w:rPr>
        <w:t xml:space="preserve">, “Epidermal growth factor receptor tyrosine kinase (EGFR-TK) mutation testing in adults with locally advanced or metastatic non-small cell lung cancer: a systematic review and cost-effectiveness analysis,” </w:t>
      </w:r>
      <w:r w:rsidRPr="007C7543">
        <w:rPr>
          <w:rFonts w:ascii="Calibri" w:hAnsi="Calibri" w:cs="Calibri"/>
          <w:i/>
          <w:iCs/>
          <w:noProof/>
          <w:szCs w:val="24"/>
        </w:rPr>
        <w:t>Health Technol. Assess. (Rockv).</w:t>
      </w:r>
      <w:r w:rsidRPr="007C7543">
        <w:rPr>
          <w:rFonts w:ascii="Calibri" w:hAnsi="Calibri" w:cs="Calibri"/>
          <w:noProof/>
          <w:szCs w:val="24"/>
        </w:rPr>
        <w:t>, vol. 18, no. 32, pp. 1–166, May 2014, doi: 10.3310/hta18320.</w:t>
      </w:r>
    </w:p>
    <w:p w14:paraId="14DBC56A"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[14]</w:t>
      </w:r>
      <w:r w:rsidRPr="007C7543">
        <w:rPr>
          <w:rFonts w:ascii="Calibri" w:hAnsi="Calibri" w:cs="Calibri"/>
          <w:noProof/>
          <w:szCs w:val="24"/>
        </w:rPr>
        <w:tab/>
        <w:t xml:space="preserve">M. J. H. G. Simons </w:t>
      </w:r>
      <w:r w:rsidRPr="007C7543">
        <w:rPr>
          <w:rFonts w:ascii="Calibri" w:hAnsi="Calibri" w:cs="Calibri"/>
          <w:i/>
          <w:iCs/>
          <w:noProof/>
          <w:szCs w:val="24"/>
        </w:rPr>
        <w:t>et al.</w:t>
      </w:r>
      <w:r w:rsidRPr="007C7543">
        <w:rPr>
          <w:rFonts w:ascii="Calibri" w:hAnsi="Calibri" w:cs="Calibri"/>
          <w:noProof/>
          <w:szCs w:val="24"/>
        </w:rPr>
        <w:t xml:space="preserve">, “Early Cost Effectiveness of Whole-Genome Sequencing as a Clinical Diagnostic Test for Patients with Inoperable Stage IIIB,C/IV Non-squamous Non-small-Cell Lung Cancer,” </w:t>
      </w:r>
      <w:r w:rsidRPr="007C7543">
        <w:rPr>
          <w:rFonts w:ascii="Calibri" w:hAnsi="Calibri" w:cs="Calibri"/>
          <w:i/>
          <w:iCs/>
          <w:noProof/>
          <w:szCs w:val="24"/>
        </w:rPr>
        <w:t>Pharmacoeconomics</w:t>
      </w:r>
      <w:r w:rsidRPr="007C7543">
        <w:rPr>
          <w:rFonts w:ascii="Calibri" w:hAnsi="Calibri" w:cs="Calibri"/>
          <w:noProof/>
          <w:szCs w:val="24"/>
        </w:rPr>
        <w:t>, no. 0123456789, Aug. 2021, doi: 10.1007/s40273-021-01073-y.</w:t>
      </w:r>
    </w:p>
    <w:p w14:paraId="4E313CF0"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[15]</w:t>
      </w:r>
      <w:r w:rsidRPr="007C7543">
        <w:rPr>
          <w:rFonts w:ascii="Calibri" w:hAnsi="Calibri" w:cs="Calibri"/>
          <w:noProof/>
          <w:szCs w:val="24"/>
        </w:rPr>
        <w:tab/>
        <w:t xml:space="preserve">R. van Amerongen, V. p Retèl, V. M. H. Coupé, P. M. Nederlof, M. J. Vogel, and W. H. van Harten, “Next-generation sequencing in NSCLC and melanoma patients: a cost and budget impact analysis,” </w:t>
      </w:r>
      <w:r w:rsidRPr="007C7543">
        <w:rPr>
          <w:rFonts w:ascii="Calibri" w:hAnsi="Calibri" w:cs="Calibri"/>
          <w:i/>
          <w:iCs/>
          <w:noProof/>
          <w:szCs w:val="24"/>
        </w:rPr>
        <w:t>Ecancermedicalscience</w:t>
      </w:r>
      <w:r w:rsidRPr="007C7543">
        <w:rPr>
          <w:rFonts w:ascii="Calibri" w:hAnsi="Calibri" w:cs="Calibri"/>
          <w:noProof/>
          <w:szCs w:val="24"/>
        </w:rPr>
        <w:t xml:space="preserve">, vol. 10, pp. 1–16, Oct. 2016, doi: </w:t>
      </w:r>
      <w:r w:rsidRPr="007C7543">
        <w:rPr>
          <w:rFonts w:ascii="Calibri" w:hAnsi="Calibri" w:cs="Calibri"/>
          <w:noProof/>
          <w:szCs w:val="24"/>
        </w:rPr>
        <w:lastRenderedPageBreak/>
        <w:t>10.3332/ecancer.2016.684.</w:t>
      </w:r>
    </w:p>
    <w:p w14:paraId="51FB9D53"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[16]</w:t>
      </w:r>
      <w:r w:rsidRPr="007C7543">
        <w:rPr>
          <w:rFonts w:ascii="Calibri" w:hAnsi="Calibri" w:cs="Calibri"/>
          <w:noProof/>
          <w:szCs w:val="24"/>
        </w:rPr>
        <w:tab/>
        <w:t xml:space="preserve">C. M. Cramer-van der Welle </w:t>
      </w:r>
      <w:r w:rsidRPr="007C7543">
        <w:rPr>
          <w:rFonts w:ascii="Calibri" w:hAnsi="Calibri" w:cs="Calibri"/>
          <w:i/>
          <w:iCs/>
          <w:noProof/>
          <w:szCs w:val="24"/>
        </w:rPr>
        <w:t>et al.</w:t>
      </w:r>
      <w:r w:rsidRPr="007C7543">
        <w:rPr>
          <w:rFonts w:ascii="Calibri" w:hAnsi="Calibri" w:cs="Calibri"/>
          <w:noProof/>
          <w:szCs w:val="24"/>
        </w:rPr>
        <w:t xml:space="preserve">, “Real-world outcomes versus clinical trial results of immunotherapy in stage IV non-small cell lung cancer (NSCLC) in the Netherlands,” </w:t>
      </w:r>
      <w:r w:rsidRPr="007C7543">
        <w:rPr>
          <w:rFonts w:ascii="Calibri" w:hAnsi="Calibri" w:cs="Calibri"/>
          <w:i/>
          <w:iCs/>
          <w:noProof/>
          <w:szCs w:val="24"/>
        </w:rPr>
        <w:t>Sci. Rep.</w:t>
      </w:r>
      <w:r w:rsidRPr="007C7543">
        <w:rPr>
          <w:rFonts w:ascii="Calibri" w:hAnsi="Calibri" w:cs="Calibri"/>
          <w:noProof/>
          <w:szCs w:val="24"/>
        </w:rPr>
        <w:t>, vol. 11, no. 1, p. 6306, Dec. 2021, doi: 10.1038/s41598-021-85696-3.</w:t>
      </w:r>
    </w:p>
    <w:p w14:paraId="3CCF66B3"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[17]</w:t>
      </w:r>
      <w:r w:rsidRPr="007C7543">
        <w:rPr>
          <w:rFonts w:ascii="Calibri" w:hAnsi="Calibri" w:cs="Calibri"/>
          <w:noProof/>
          <w:szCs w:val="24"/>
        </w:rPr>
        <w:tab/>
        <w:t xml:space="preserve">K. L. Kehl, S. Greenwald, N. G. Chamoun, P. J. Manberg, and D. Schrag, “Association Between First-Line Immune Checkpoint Inhibition and Survival for Medicare-Insured Patients With Advanced Non-Small Cell Lung Cancer.,” </w:t>
      </w:r>
      <w:r w:rsidRPr="007C7543">
        <w:rPr>
          <w:rFonts w:ascii="Calibri" w:hAnsi="Calibri" w:cs="Calibri"/>
          <w:i/>
          <w:iCs/>
          <w:noProof/>
          <w:szCs w:val="24"/>
        </w:rPr>
        <w:t>JAMA Netw. open</w:t>
      </w:r>
      <w:r w:rsidRPr="007C7543">
        <w:rPr>
          <w:rFonts w:ascii="Calibri" w:hAnsi="Calibri" w:cs="Calibri"/>
          <w:noProof/>
          <w:szCs w:val="24"/>
        </w:rPr>
        <w:t>, vol. 4, no. 5, p. e2111113, May 2021, doi: 10.1001/jamanetworkopen.2021.11113.</w:t>
      </w:r>
    </w:p>
    <w:p w14:paraId="7BA3A9EE"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[18]</w:t>
      </w:r>
      <w:r w:rsidRPr="007C7543">
        <w:rPr>
          <w:rFonts w:ascii="Calibri" w:hAnsi="Calibri" w:cs="Calibri"/>
          <w:noProof/>
          <w:szCs w:val="24"/>
        </w:rPr>
        <w:tab/>
        <w:t xml:space="preserve">V. Velcheti, X. Hu, B. Piperdi, and T. Burke, “Real-world outcomes of first-line pembrolizumab plus pemetrexed-carboplatin for metastatic nonsquamous NSCLC at US oncology practices,” </w:t>
      </w:r>
      <w:r w:rsidRPr="007C7543">
        <w:rPr>
          <w:rFonts w:ascii="Calibri" w:hAnsi="Calibri" w:cs="Calibri"/>
          <w:i/>
          <w:iCs/>
          <w:noProof/>
          <w:szCs w:val="24"/>
        </w:rPr>
        <w:t>Sci. Rep.</w:t>
      </w:r>
      <w:r w:rsidRPr="007C7543">
        <w:rPr>
          <w:rFonts w:ascii="Calibri" w:hAnsi="Calibri" w:cs="Calibri"/>
          <w:noProof/>
          <w:szCs w:val="24"/>
        </w:rPr>
        <w:t>, vol. 11, no. 1, p. 9222, Dec. 2021, doi: 10.1038/s41598-021-88453-8.</w:t>
      </w:r>
    </w:p>
    <w:p w14:paraId="50BB058C"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[19]</w:t>
      </w:r>
      <w:r w:rsidRPr="007C7543">
        <w:rPr>
          <w:rFonts w:ascii="Calibri" w:hAnsi="Calibri" w:cs="Calibri"/>
          <w:noProof/>
          <w:szCs w:val="24"/>
        </w:rPr>
        <w:tab/>
        <w:t xml:space="preserve">D. Waterhouse </w:t>
      </w:r>
      <w:r w:rsidRPr="007C7543">
        <w:rPr>
          <w:rFonts w:ascii="Calibri" w:hAnsi="Calibri" w:cs="Calibri"/>
          <w:i/>
          <w:iCs/>
          <w:noProof/>
          <w:szCs w:val="24"/>
        </w:rPr>
        <w:t>et al.</w:t>
      </w:r>
      <w:r w:rsidRPr="007C7543">
        <w:rPr>
          <w:rFonts w:ascii="Calibri" w:hAnsi="Calibri" w:cs="Calibri"/>
          <w:noProof/>
          <w:szCs w:val="24"/>
        </w:rPr>
        <w:t xml:space="preserve">, “Real-world outcomes of immunotherapy–based regimens in first-line advanced non-small cell lung cancer,” </w:t>
      </w:r>
      <w:r w:rsidRPr="007C7543">
        <w:rPr>
          <w:rFonts w:ascii="Calibri" w:hAnsi="Calibri" w:cs="Calibri"/>
          <w:i/>
          <w:iCs/>
          <w:noProof/>
          <w:szCs w:val="24"/>
        </w:rPr>
        <w:t>Lung Cancer</w:t>
      </w:r>
      <w:r w:rsidRPr="007C7543">
        <w:rPr>
          <w:rFonts w:ascii="Calibri" w:hAnsi="Calibri" w:cs="Calibri"/>
          <w:noProof/>
          <w:szCs w:val="24"/>
        </w:rPr>
        <w:t>, vol. 156, pp. 41–49, Jun. 2021, doi: 10.1016/j.lungcan.2021.04.007.</w:t>
      </w:r>
    </w:p>
    <w:p w14:paraId="31D0AFE4"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[20]</w:t>
      </w:r>
      <w:r w:rsidRPr="007C7543">
        <w:rPr>
          <w:rFonts w:ascii="Calibri" w:hAnsi="Calibri" w:cs="Calibri"/>
          <w:noProof/>
          <w:szCs w:val="24"/>
        </w:rPr>
        <w:tab/>
        <w:t xml:space="preserve">X. G. L. V. Pouwels </w:t>
      </w:r>
      <w:r w:rsidRPr="007C7543">
        <w:rPr>
          <w:rFonts w:ascii="Calibri" w:hAnsi="Calibri" w:cs="Calibri"/>
          <w:i/>
          <w:iCs/>
          <w:noProof/>
          <w:szCs w:val="24"/>
        </w:rPr>
        <w:t>et al.</w:t>
      </w:r>
      <w:r w:rsidRPr="007C7543">
        <w:rPr>
          <w:rFonts w:ascii="Calibri" w:hAnsi="Calibri" w:cs="Calibri"/>
          <w:noProof/>
          <w:szCs w:val="24"/>
        </w:rPr>
        <w:t xml:space="preserve">, “An economic evaluation of eribulin for advanced breast cancer treatment based on the Southeast Netherlands advanced breast cancer registry,” </w:t>
      </w:r>
      <w:r w:rsidRPr="007C7543">
        <w:rPr>
          <w:rFonts w:ascii="Calibri" w:hAnsi="Calibri" w:cs="Calibri"/>
          <w:i/>
          <w:iCs/>
          <w:noProof/>
          <w:szCs w:val="24"/>
        </w:rPr>
        <w:t>Acta Oncol. (Madr).</w:t>
      </w:r>
      <w:r w:rsidRPr="007C7543">
        <w:rPr>
          <w:rFonts w:ascii="Calibri" w:hAnsi="Calibri" w:cs="Calibri"/>
          <w:noProof/>
          <w:szCs w:val="24"/>
        </w:rPr>
        <w:t>, vol. 59, no. 9, pp. 1123–1130, Sep. 2020, doi: 10.1080/0284186X.2020.1775289.</w:t>
      </w:r>
    </w:p>
    <w:p w14:paraId="2DF8841D"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[21]</w:t>
      </w:r>
      <w:r w:rsidRPr="007C7543">
        <w:rPr>
          <w:rFonts w:ascii="Calibri" w:hAnsi="Calibri" w:cs="Calibri"/>
          <w:noProof/>
          <w:szCs w:val="24"/>
        </w:rPr>
        <w:tab/>
        <w:t>S. Davis, M. Stevenson, P. Tappenden, and A. J. Wailoo, “NICE DSU Technical Support Document 15: Cost-effectiveness modelling using patient-Level simulation,” Sheffield, Apr. 2014. [Online]. Available: www.nicedsu.org.uk.</w:t>
      </w:r>
    </w:p>
    <w:p w14:paraId="31F10E8C"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[22]</w:t>
      </w:r>
      <w:r w:rsidRPr="007C7543">
        <w:rPr>
          <w:rFonts w:ascii="Calibri" w:hAnsi="Calibri" w:cs="Calibri"/>
          <w:noProof/>
          <w:szCs w:val="24"/>
        </w:rPr>
        <w:tab/>
        <w:t xml:space="preserve">K. Degeling, H. Koffijberg, M. D. Franken, M. Koopman, and M. J. IJzerman, “Comparing Strategies for Modeling Competing Risks in Discrete-Event Simulations: A Simulation Study and Illustration in Colorectal Cancer,” </w:t>
      </w:r>
      <w:r w:rsidRPr="007C7543">
        <w:rPr>
          <w:rFonts w:ascii="Calibri" w:hAnsi="Calibri" w:cs="Calibri"/>
          <w:i/>
          <w:iCs/>
          <w:noProof/>
          <w:szCs w:val="24"/>
        </w:rPr>
        <w:t>Med. Decis. Mak.</w:t>
      </w:r>
      <w:r w:rsidRPr="007C7543">
        <w:rPr>
          <w:rFonts w:ascii="Calibri" w:hAnsi="Calibri" w:cs="Calibri"/>
          <w:noProof/>
          <w:szCs w:val="24"/>
        </w:rPr>
        <w:t>, vol. 39, no. 1, pp. 57–73, Jan. 2019, doi: 10.1177/0272989X18814770.</w:t>
      </w:r>
    </w:p>
    <w:p w14:paraId="07C7EBAD"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[23]</w:t>
      </w:r>
      <w:r w:rsidRPr="007C7543">
        <w:rPr>
          <w:rFonts w:ascii="Calibri" w:hAnsi="Calibri" w:cs="Calibri"/>
          <w:noProof/>
          <w:szCs w:val="24"/>
        </w:rPr>
        <w:tab/>
        <w:t xml:space="preserve">O. Okunade, J. Arora, A. Haverhals, and L. Niessen, “Collaborating for value: the Santeon Hospitals in the Netherlands,” </w:t>
      </w:r>
      <w:r w:rsidRPr="007C7543">
        <w:rPr>
          <w:rFonts w:ascii="Calibri" w:hAnsi="Calibri" w:cs="Calibri"/>
          <w:i/>
          <w:iCs/>
          <w:noProof/>
          <w:szCs w:val="24"/>
        </w:rPr>
        <w:t>International Consortium for Health Outcomes Measurement</w:t>
      </w:r>
      <w:r w:rsidRPr="007C7543">
        <w:rPr>
          <w:rFonts w:ascii="Calibri" w:hAnsi="Calibri" w:cs="Calibri"/>
          <w:noProof/>
          <w:szCs w:val="24"/>
        </w:rPr>
        <w:t xml:space="preserve">, </w:t>
      </w:r>
      <w:r w:rsidRPr="007C7543">
        <w:rPr>
          <w:rFonts w:ascii="Calibri" w:hAnsi="Calibri" w:cs="Calibri"/>
          <w:noProof/>
          <w:szCs w:val="24"/>
        </w:rPr>
        <w:lastRenderedPageBreak/>
        <w:t>2017. www.ichom.org (accessed Jun. 21, 2021).</w:t>
      </w:r>
    </w:p>
    <w:p w14:paraId="1BA90505"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[24]</w:t>
      </w:r>
      <w:r w:rsidRPr="007C7543">
        <w:rPr>
          <w:rFonts w:ascii="Calibri" w:hAnsi="Calibri" w:cs="Calibri"/>
          <w:noProof/>
          <w:szCs w:val="24"/>
        </w:rPr>
        <w:tab/>
        <w:t xml:space="preserve">C. M. Cramer-van der Welle </w:t>
      </w:r>
      <w:r w:rsidRPr="007C7543">
        <w:rPr>
          <w:rFonts w:ascii="Calibri" w:hAnsi="Calibri" w:cs="Calibri"/>
          <w:i/>
          <w:iCs/>
          <w:noProof/>
          <w:szCs w:val="24"/>
        </w:rPr>
        <w:t>et al.</w:t>
      </w:r>
      <w:r w:rsidRPr="007C7543">
        <w:rPr>
          <w:rFonts w:ascii="Calibri" w:hAnsi="Calibri" w:cs="Calibri"/>
          <w:noProof/>
          <w:szCs w:val="24"/>
        </w:rPr>
        <w:t xml:space="preserve">, “Systematic evaluation of the efficacy-effectiveness gap of systemic treatments in metastatic nonsmall cell lung cancer.,” </w:t>
      </w:r>
      <w:r w:rsidRPr="007C7543">
        <w:rPr>
          <w:rFonts w:ascii="Calibri" w:hAnsi="Calibri" w:cs="Calibri"/>
          <w:i/>
          <w:iCs/>
          <w:noProof/>
          <w:szCs w:val="24"/>
        </w:rPr>
        <w:t>Eur. Respir. J.</w:t>
      </w:r>
      <w:r w:rsidRPr="007C7543">
        <w:rPr>
          <w:rFonts w:ascii="Calibri" w:hAnsi="Calibri" w:cs="Calibri"/>
          <w:noProof/>
          <w:szCs w:val="24"/>
        </w:rPr>
        <w:t>, vol. 52, no. 6, p. 1801100, Dec. 2018, doi: 10.1183/13993003.01100-2018.</w:t>
      </w:r>
    </w:p>
    <w:p w14:paraId="3E325AFF"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[25]</w:t>
      </w:r>
      <w:r w:rsidRPr="007C7543">
        <w:rPr>
          <w:rFonts w:ascii="Calibri" w:hAnsi="Calibri" w:cs="Calibri"/>
          <w:noProof/>
          <w:szCs w:val="24"/>
        </w:rPr>
        <w:tab/>
        <w:t xml:space="preserve">G. D’Addario and E. Felip, “Non-small-cell lung cancer: ESMO Clinical Recommendations for diagnosis, treatment and follow-up,” </w:t>
      </w:r>
      <w:r w:rsidRPr="007C7543">
        <w:rPr>
          <w:rFonts w:ascii="Calibri" w:hAnsi="Calibri" w:cs="Calibri"/>
          <w:i/>
          <w:iCs/>
          <w:noProof/>
          <w:szCs w:val="24"/>
        </w:rPr>
        <w:t>Ann. Oncol.</w:t>
      </w:r>
      <w:r w:rsidRPr="007C7543">
        <w:rPr>
          <w:rFonts w:ascii="Calibri" w:hAnsi="Calibri" w:cs="Calibri"/>
          <w:noProof/>
          <w:szCs w:val="24"/>
        </w:rPr>
        <w:t>, vol. 19, no. SUPPL. 2, pp. ii39–ii40, May 2008, doi: 10.1093/annonc/mdn081.</w:t>
      </w:r>
    </w:p>
    <w:p w14:paraId="2CD9BBBC"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[26]</w:t>
      </w:r>
      <w:r w:rsidRPr="007C7543">
        <w:rPr>
          <w:rFonts w:ascii="Calibri" w:hAnsi="Calibri" w:cs="Calibri"/>
          <w:noProof/>
          <w:szCs w:val="24"/>
        </w:rPr>
        <w:tab/>
        <w:t xml:space="preserve">G. D’Addario, M. Früh, M. Reck, P. Baumann, W. Klepetko, and E. Felip, “Metastatic non-small-cell lung cancer: ESMO Clinical Practice Guidelines for diagnosis, treatment and follow-up,” </w:t>
      </w:r>
      <w:r w:rsidRPr="007C7543">
        <w:rPr>
          <w:rFonts w:ascii="Calibri" w:hAnsi="Calibri" w:cs="Calibri"/>
          <w:i/>
          <w:iCs/>
          <w:noProof/>
          <w:szCs w:val="24"/>
        </w:rPr>
        <w:t>Ann. Oncol.</w:t>
      </w:r>
      <w:r w:rsidRPr="007C7543">
        <w:rPr>
          <w:rFonts w:ascii="Calibri" w:hAnsi="Calibri" w:cs="Calibri"/>
          <w:noProof/>
          <w:szCs w:val="24"/>
        </w:rPr>
        <w:t>, vol. 21, no. SUPPL. 5, pp. v116–v119, May 2010, doi: 10.1093/annonc/mdq189.</w:t>
      </w:r>
    </w:p>
    <w:p w14:paraId="3803DFA2"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[27]</w:t>
      </w:r>
      <w:r w:rsidRPr="007C7543">
        <w:rPr>
          <w:rFonts w:ascii="Calibri" w:hAnsi="Calibri" w:cs="Calibri"/>
          <w:noProof/>
          <w:szCs w:val="24"/>
        </w:rPr>
        <w:tab/>
        <w:t xml:space="preserve">E. J. Jordan </w:t>
      </w:r>
      <w:r w:rsidRPr="007C7543">
        <w:rPr>
          <w:rFonts w:ascii="Calibri" w:hAnsi="Calibri" w:cs="Calibri"/>
          <w:i/>
          <w:iCs/>
          <w:noProof/>
          <w:szCs w:val="24"/>
        </w:rPr>
        <w:t>et al.</w:t>
      </w:r>
      <w:r w:rsidRPr="007C7543">
        <w:rPr>
          <w:rFonts w:ascii="Calibri" w:hAnsi="Calibri" w:cs="Calibri"/>
          <w:noProof/>
          <w:szCs w:val="24"/>
        </w:rPr>
        <w:t xml:space="preserve">, “Prospective comprehensive molecular characterization of lung adenocarcinomas for efficient patient matching to approved and emerging therapies,” </w:t>
      </w:r>
      <w:r w:rsidRPr="007C7543">
        <w:rPr>
          <w:rFonts w:ascii="Calibri" w:hAnsi="Calibri" w:cs="Calibri"/>
          <w:i/>
          <w:iCs/>
          <w:noProof/>
          <w:szCs w:val="24"/>
        </w:rPr>
        <w:t>Cancer Discov.</w:t>
      </w:r>
      <w:r w:rsidRPr="007C7543">
        <w:rPr>
          <w:rFonts w:ascii="Calibri" w:hAnsi="Calibri" w:cs="Calibri"/>
          <w:noProof/>
          <w:szCs w:val="24"/>
        </w:rPr>
        <w:t>, vol. 7, no. 6, pp. 596–609, 2017, doi: 10.1158/2159-8290.CD-16-1337.</w:t>
      </w:r>
    </w:p>
    <w:p w14:paraId="07A71682"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[28]</w:t>
      </w:r>
      <w:r w:rsidRPr="007C7543">
        <w:rPr>
          <w:rFonts w:ascii="Calibri" w:hAnsi="Calibri" w:cs="Calibri"/>
          <w:noProof/>
          <w:szCs w:val="24"/>
        </w:rPr>
        <w:tab/>
        <w:t xml:space="preserve">C. C. H. J. Kuijpers </w:t>
      </w:r>
      <w:r w:rsidRPr="007C7543">
        <w:rPr>
          <w:rFonts w:ascii="Calibri" w:hAnsi="Calibri" w:cs="Calibri"/>
          <w:i/>
          <w:iCs/>
          <w:noProof/>
          <w:szCs w:val="24"/>
        </w:rPr>
        <w:t>et al.</w:t>
      </w:r>
      <w:r w:rsidRPr="007C7543">
        <w:rPr>
          <w:rFonts w:ascii="Calibri" w:hAnsi="Calibri" w:cs="Calibri"/>
          <w:noProof/>
          <w:szCs w:val="24"/>
        </w:rPr>
        <w:t xml:space="preserve">, “Association of molecular status and metastatic organs at diagnosis in patients with stage IV non-squamous non-small cell lung cancer,” </w:t>
      </w:r>
      <w:r w:rsidRPr="007C7543">
        <w:rPr>
          <w:rFonts w:ascii="Calibri" w:hAnsi="Calibri" w:cs="Calibri"/>
          <w:i/>
          <w:iCs/>
          <w:noProof/>
          <w:szCs w:val="24"/>
        </w:rPr>
        <w:t>Lung Cancer</w:t>
      </w:r>
      <w:r w:rsidRPr="007C7543">
        <w:rPr>
          <w:rFonts w:ascii="Calibri" w:hAnsi="Calibri" w:cs="Calibri"/>
          <w:noProof/>
          <w:szCs w:val="24"/>
        </w:rPr>
        <w:t>, vol. 121, pp. 76–81, Jul. 2018, doi: 10.1016/j.lungcan.2018.05.006.</w:t>
      </w:r>
    </w:p>
    <w:p w14:paraId="301725BC"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[29]</w:t>
      </w:r>
      <w:r w:rsidRPr="007C7543">
        <w:rPr>
          <w:rFonts w:ascii="Calibri" w:hAnsi="Calibri" w:cs="Calibri"/>
          <w:noProof/>
          <w:szCs w:val="24"/>
        </w:rPr>
        <w:tab/>
        <w:t xml:space="preserve">M. Dietel </w:t>
      </w:r>
      <w:r w:rsidRPr="007C7543">
        <w:rPr>
          <w:rFonts w:ascii="Calibri" w:hAnsi="Calibri" w:cs="Calibri"/>
          <w:i/>
          <w:iCs/>
          <w:noProof/>
          <w:szCs w:val="24"/>
        </w:rPr>
        <w:t>et al.</w:t>
      </w:r>
      <w:r w:rsidRPr="007C7543">
        <w:rPr>
          <w:rFonts w:ascii="Calibri" w:hAnsi="Calibri" w:cs="Calibri"/>
          <w:noProof/>
          <w:szCs w:val="24"/>
        </w:rPr>
        <w:t xml:space="preserve">, “Real-world prevalence of programmed death ligand 1 expression in locally advanced or metastatic non–small-cell lung cancer: The global, multicenter EXPRESS study,” </w:t>
      </w:r>
      <w:r w:rsidRPr="007C7543">
        <w:rPr>
          <w:rFonts w:ascii="Calibri" w:hAnsi="Calibri" w:cs="Calibri"/>
          <w:i/>
          <w:iCs/>
          <w:noProof/>
          <w:szCs w:val="24"/>
        </w:rPr>
        <w:t>Lung Cancer</w:t>
      </w:r>
      <w:r w:rsidRPr="007C7543">
        <w:rPr>
          <w:rFonts w:ascii="Calibri" w:hAnsi="Calibri" w:cs="Calibri"/>
          <w:noProof/>
          <w:szCs w:val="24"/>
        </w:rPr>
        <w:t>, vol. 134, pp. 174–179, Aug. 2019, doi: 10.1016/j.lungcan.2019.06.012.</w:t>
      </w:r>
    </w:p>
    <w:p w14:paraId="030F7318"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[30]</w:t>
      </w:r>
      <w:r w:rsidRPr="007C7543">
        <w:rPr>
          <w:rFonts w:ascii="Calibri" w:hAnsi="Calibri" w:cs="Calibri"/>
          <w:noProof/>
          <w:szCs w:val="24"/>
        </w:rPr>
        <w:tab/>
        <w:t xml:space="preserve">F. Skoulidis and J. V. Heymach, “Co-occurring genomic alterations in non-small-cell lung cancer biology and therapy,” </w:t>
      </w:r>
      <w:r w:rsidRPr="007C7543">
        <w:rPr>
          <w:rFonts w:ascii="Calibri" w:hAnsi="Calibri" w:cs="Calibri"/>
          <w:i/>
          <w:iCs/>
          <w:noProof/>
          <w:szCs w:val="24"/>
        </w:rPr>
        <w:t>Nat. Rev. Cancer</w:t>
      </w:r>
      <w:r w:rsidRPr="007C7543">
        <w:rPr>
          <w:rFonts w:ascii="Calibri" w:hAnsi="Calibri" w:cs="Calibri"/>
          <w:noProof/>
          <w:szCs w:val="24"/>
        </w:rPr>
        <w:t>, vol. 19, no. 9, pp. 495–509, Sep. 2019, doi: 10.1038/s41568-019-0179-8.</w:t>
      </w:r>
    </w:p>
    <w:p w14:paraId="02BF1260"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[31]</w:t>
      </w:r>
      <w:r w:rsidRPr="007C7543">
        <w:rPr>
          <w:rFonts w:ascii="Calibri" w:hAnsi="Calibri" w:cs="Calibri"/>
          <w:noProof/>
          <w:szCs w:val="24"/>
        </w:rPr>
        <w:tab/>
        <w:t xml:space="preserve">A. Forsythe, W. Zhang, U. Phillip Strauss, M. Fellous, M. Korei, and K. Keating, “A systematic review and meta-analysis of neurotrophic tyrosine receptor kinase gene fusion frequencies in solid tumors,” </w:t>
      </w:r>
      <w:r w:rsidRPr="007C7543">
        <w:rPr>
          <w:rFonts w:ascii="Calibri" w:hAnsi="Calibri" w:cs="Calibri"/>
          <w:i/>
          <w:iCs/>
          <w:noProof/>
          <w:szCs w:val="24"/>
        </w:rPr>
        <w:t>Ther. Adv. Med. Oncol.</w:t>
      </w:r>
      <w:r w:rsidRPr="007C7543">
        <w:rPr>
          <w:rFonts w:ascii="Calibri" w:hAnsi="Calibri" w:cs="Calibri"/>
          <w:noProof/>
          <w:szCs w:val="24"/>
        </w:rPr>
        <w:t xml:space="preserve">, vol. 12, no. 6, p. 175883592097561, Jan. 2020, doi: </w:t>
      </w:r>
      <w:r w:rsidRPr="007C7543">
        <w:rPr>
          <w:rFonts w:ascii="Calibri" w:hAnsi="Calibri" w:cs="Calibri"/>
          <w:noProof/>
          <w:szCs w:val="24"/>
        </w:rPr>
        <w:lastRenderedPageBreak/>
        <w:t>10.1177/1758835920975613.</w:t>
      </w:r>
    </w:p>
    <w:p w14:paraId="77309842"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[32]</w:t>
      </w:r>
      <w:r w:rsidRPr="007C7543">
        <w:rPr>
          <w:rFonts w:ascii="Calibri" w:hAnsi="Calibri" w:cs="Calibri"/>
          <w:noProof/>
          <w:szCs w:val="24"/>
        </w:rPr>
        <w:tab/>
        <w:t xml:space="preserve">S. Peters </w:t>
      </w:r>
      <w:r w:rsidRPr="007C7543">
        <w:rPr>
          <w:rFonts w:ascii="Calibri" w:hAnsi="Calibri" w:cs="Calibri"/>
          <w:i/>
          <w:iCs/>
          <w:noProof/>
          <w:szCs w:val="24"/>
        </w:rPr>
        <w:t>et al.</w:t>
      </w:r>
      <w:r w:rsidRPr="007C7543">
        <w:rPr>
          <w:rFonts w:ascii="Calibri" w:hAnsi="Calibri" w:cs="Calibri"/>
          <w:noProof/>
          <w:szCs w:val="24"/>
        </w:rPr>
        <w:t xml:space="preserve">, “Alectinib versus Crizotinib in Untreated ALK -Positive Non–Small-Cell Lung Cancer,” </w:t>
      </w:r>
      <w:r w:rsidRPr="007C7543">
        <w:rPr>
          <w:rFonts w:ascii="Calibri" w:hAnsi="Calibri" w:cs="Calibri"/>
          <w:i/>
          <w:iCs/>
          <w:noProof/>
          <w:szCs w:val="24"/>
        </w:rPr>
        <w:t>N. Engl. J. Med.</w:t>
      </w:r>
      <w:r w:rsidRPr="007C7543">
        <w:rPr>
          <w:rFonts w:ascii="Calibri" w:hAnsi="Calibri" w:cs="Calibri"/>
          <w:noProof/>
          <w:szCs w:val="24"/>
        </w:rPr>
        <w:t>, vol. 377, no. 9, pp. 829–838, Aug. 2017, doi: 10.1056/NEJMoa1704795.</w:t>
      </w:r>
    </w:p>
    <w:p w14:paraId="1E4E1356"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[33]</w:t>
      </w:r>
      <w:r w:rsidRPr="007C7543">
        <w:rPr>
          <w:rFonts w:ascii="Calibri" w:hAnsi="Calibri" w:cs="Calibri"/>
          <w:noProof/>
          <w:szCs w:val="24"/>
        </w:rPr>
        <w:tab/>
        <w:t xml:space="preserve">B. J. Solomon </w:t>
      </w:r>
      <w:r w:rsidRPr="007C7543">
        <w:rPr>
          <w:rFonts w:ascii="Calibri" w:hAnsi="Calibri" w:cs="Calibri"/>
          <w:i/>
          <w:iCs/>
          <w:noProof/>
          <w:szCs w:val="24"/>
        </w:rPr>
        <w:t>et al.</w:t>
      </w:r>
      <w:r w:rsidRPr="007C7543">
        <w:rPr>
          <w:rFonts w:ascii="Calibri" w:hAnsi="Calibri" w:cs="Calibri"/>
          <w:noProof/>
          <w:szCs w:val="24"/>
        </w:rPr>
        <w:t xml:space="preserve">, “First-Line Crizotinib versus Chemotherapy in ALK -Positive Lung Cancer,” </w:t>
      </w:r>
      <w:r w:rsidRPr="007C7543">
        <w:rPr>
          <w:rFonts w:ascii="Calibri" w:hAnsi="Calibri" w:cs="Calibri"/>
          <w:i/>
          <w:iCs/>
          <w:noProof/>
          <w:szCs w:val="24"/>
        </w:rPr>
        <w:t>N. Engl. J. Med.</w:t>
      </w:r>
      <w:r w:rsidRPr="007C7543">
        <w:rPr>
          <w:rFonts w:ascii="Calibri" w:hAnsi="Calibri" w:cs="Calibri"/>
          <w:noProof/>
          <w:szCs w:val="24"/>
        </w:rPr>
        <w:t>, vol. 371, no. 23, pp. 2167–2177, Dec. 2014, doi: 10.1056/NEJMoa1408440.</w:t>
      </w:r>
    </w:p>
    <w:p w14:paraId="344883B7"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[34]</w:t>
      </w:r>
      <w:r w:rsidRPr="007C7543">
        <w:rPr>
          <w:rFonts w:ascii="Calibri" w:hAnsi="Calibri" w:cs="Calibri"/>
          <w:noProof/>
          <w:szCs w:val="24"/>
        </w:rPr>
        <w:tab/>
        <w:t xml:space="preserve">L. Gandhi </w:t>
      </w:r>
      <w:r w:rsidRPr="007C7543">
        <w:rPr>
          <w:rFonts w:ascii="Calibri" w:hAnsi="Calibri" w:cs="Calibri"/>
          <w:i/>
          <w:iCs/>
          <w:noProof/>
          <w:szCs w:val="24"/>
        </w:rPr>
        <w:t>et al.</w:t>
      </w:r>
      <w:r w:rsidRPr="007C7543">
        <w:rPr>
          <w:rFonts w:ascii="Calibri" w:hAnsi="Calibri" w:cs="Calibri"/>
          <w:noProof/>
          <w:szCs w:val="24"/>
        </w:rPr>
        <w:t xml:space="preserve">, “Pembrolizumab plus Chemotherapy in Metastatic Non–Small-Cell Lung Cancer,” </w:t>
      </w:r>
      <w:r w:rsidRPr="007C7543">
        <w:rPr>
          <w:rFonts w:ascii="Calibri" w:hAnsi="Calibri" w:cs="Calibri"/>
          <w:i/>
          <w:iCs/>
          <w:noProof/>
          <w:szCs w:val="24"/>
        </w:rPr>
        <w:t>N. Engl. J. Med.</w:t>
      </w:r>
      <w:r w:rsidRPr="007C7543">
        <w:rPr>
          <w:rFonts w:ascii="Calibri" w:hAnsi="Calibri" w:cs="Calibri"/>
          <w:noProof/>
          <w:szCs w:val="24"/>
        </w:rPr>
        <w:t>, vol. 378, no. 22, pp. 2078–2092, May 2018, doi: 10.1056/NEJMoa1801005.</w:t>
      </w:r>
    </w:p>
    <w:p w14:paraId="5CF1C32B"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[35]</w:t>
      </w:r>
      <w:r w:rsidRPr="007C7543">
        <w:rPr>
          <w:rFonts w:ascii="Calibri" w:hAnsi="Calibri" w:cs="Calibri"/>
          <w:noProof/>
          <w:szCs w:val="24"/>
        </w:rPr>
        <w:tab/>
        <w:t xml:space="preserve">R. S. Herbst </w:t>
      </w:r>
      <w:r w:rsidRPr="007C7543">
        <w:rPr>
          <w:rFonts w:ascii="Calibri" w:hAnsi="Calibri" w:cs="Calibri"/>
          <w:i/>
          <w:iCs/>
          <w:noProof/>
          <w:szCs w:val="24"/>
        </w:rPr>
        <w:t>et al.</w:t>
      </w:r>
      <w:r w:rsidRPr="007C7543">
        <w:rPr>
          <w:rFonts w:ascii="Calibri" w:hAnsi="Calibri" w:cs="Calibri"/>
          <w:noProof/>
          <w:szCs w:val="24"/>
        </w:rPr>
        <w:t xml:space="preserve">, “Pembrolizumab versus docetaxel for previously treated, PD-L1-positive, advanced non-small-cell lung cancer (KEYNOTE-010): a randomised controlled trial,” </w:t>
      </w:r>
      <w:r w:rsidRPr="007C7543">
        <w:rPr>
          <w:rFonts w:ascii="Calibri" w:hAnsi="Calibri" w:cs="Calibri"/>
          <w:i/>
          <w:iCs/>
          <w:noProof/>
          <w:szCs w:val="24"/>
        </w:rPr>
        <w:t>Lancet</w:t>
      </w:r>
      <w:r w:rsidRPr="007C7543">
        <w:rPr>
          <w:rFonts w:ascii="Calibri" w:hAnsi="Calibri" w:cs="Calibri"/>
          <w:noProof/>
          <w:szCs w:val="24"/>
        </w:rPr>
        <w:t>, vol. 387, no. 10027, pp. 1540–1550, Apr. 2016, doi: 10.1016/S0140-6736(15)01281-7.</w:t>
      </w:r>
    </w:p>
    <w:p w14:paraId="41D93199"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[36]</w:t>
      </w:r>
      <w:r w:rsidRPr="007C7543">
        <w:rPr>
          <w:rFonts w:ascii="Calibri" w:hAnsi="Calibri" w:cs="Calibri"/>
          <w:noProof/>
          <w:szCs w:val="24"/>
        </w:rPr>
        <w:tab/>
        <w:t xml:space="preserve">M. Reck </w:t>
      </w:r>
      <w:r w:rsidRPr="007C7543">
        <w:rPr>
          <w:rFonts w:ascii="Calibri" w:hAnsi="Calibri" w:cs="Calibri"/>
          <w:i/>
          <w:iCs/>
          <w:noProof/>
          <w:szCs w:val="24"/>
        </w:rPr>
        <w:t>et al.</w:t>
      </w:r>
      <w:r w:rsidRPr="007C7543">
        <w:rPr>
          <w:rFonts w:ascii="Calibri" w:hAnsi="Calibri" w:cs="Calibri"/>
          <w:noProof/>
          <w:szCs w:val="24"/>
        </w:rPr>
        <w:t xml:space="preserve">, “Pembrolizumab versus Chemotherapy for PD-L1–Positive Non–Small-Cell Lung Cancer,” </w:t>
      </w:r>
      <w:r w:rsidRPr="007C7543">
        <w:rPr>
          <w:rFonts w:ascii="Calibri" w:hAnsi="Calibri" w:cs="Calibri"/>
          <w:i/>
          <w:iCs/>
          <w:noProof/>
          <w:szCs w:val="24"/>
        </w:rPr>
        <w:t>N. Engl. J. Med.</w:t>
      </w:r>
      <w:r w:rsidRPr="007C7543">
        <w:rPr>
          <w:rFonts w:ascii="Calibri" w:hAnsi="Calibri" w:cs="Calibri"/>
          <w:noProof/>
          <w:szCs w:val="24"/>
        </w:rPr>
        <w:t>, vol. 375, no. 19, pp. 1823–1833, Nov. 2016, doi: c.</w:t>
      </w:r>
    </w:p>
    <w:p w14:paraId="4450806A"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[37]</w:t>
      </w:r>
      <w:r w:rsidRPr="007C7543">
        <w:rPr>
          <w:rFonts w:ascii="Calibri" w:hAnsi="Calibri" w:cs="Calibri"/>
          <w:noProof/>
          <w:szCs w:val="24"/>
        </w:rPr>
        <w:tab/>
        <w:t xml:space="preserve">M. S. Holleman, H. van Tinteren, H. J. M. Groen, M. J. Al, and C. A. Uyl-de Groot, “First-line tyrosine kinase inhibitors in EGFR mutation-positive non-small-cell lung cancer: a network meta-analysis,” </w:t>
      </w:r>
      <w:r w:rsidRPr="007C7543">
        <w:rPr>
          <w:rFonts w:ascii="Calibri" w:hAnsi="Calibri" w:cs="Calibri"/>
          <w:i/>
          <w:iCs/>
          <w:noProof/>
          <w:szCs w:val="24"/>
        </w:rPr>
        <w:t>Onco. Targets. Ther.</w:t>
      </w:r>
      <w:r w:rsidRPr="007C7543">
        <w:rPr>
          <w:rFonts w:ascii="Calibri" w:hAnsi="Calibri" w:cs="Calibri"/>
          <w:noProof/>
          <w:szCs w:val="24"/>
        </w:rPr>
        <w:t>, vol. Volume 12, no. 1, pp. 1413–1421, Feb. 2019, doi: 10.2147/OTT.S189438.</w:t>
      </w:r>
    </w:p>
    <w:p w14:paraId="5F5B476F"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[38]</w:t>
      </w:r>
      <w:r w:rsidRPr="007C7543">
        <w:rPr>
          <w:rFonts w:ascii="Calibri" w:hAnsi="Calibri" w:cs="Calibri"/>
          <w:noProof/>
          <w:szCs w:val="24"/>
        </w:rPr>
        <w:tab/>
        <w:t xml:space="preserve">M. Simons </w:t>
      </w:r>
      <w:r w:rsidRPr="007C7543">
        <w:rPr>
          <w:rFonts w:ascii="Calibri" w:hAnsi="Calibri" w:cs="Calibri"/>
          <w:i/>
          <w:iCs/>
          <w:noProof/>
          <w:szCs w:val="24"/>
        </w:rPr>
        <w:t>et al.</w:t>
      </w:r>
      <w:r w:rsidRPr="007C7543">
        <w:rPr>
          <w:rFonts w:ascii="Calibri" w:hAnsi="Calibri" w:cs="Calibri"/>
          <w:noProof/>
          <w:szCs w:val="24"/>
        </w:rPr>
        <w:t xml:space="preserve">, “Observed versus modelled lifetime overall survival of targeted therapies and immunotherapies for advanced non-small cell lung cancer patients – A systematic review,” </w:t>
      </w:r>
      <w:r w:rsidRPr="007C7543">
        <w:rPr>
          <w:rFonts w:ascii="Calibri" w:hAnsi="Calibri" w:cs="Calibri"/>
          <w:i/>
          <w:iCs/>
          <w:noProof/>
          <w:szCs w:val="24"/>
        </w:rPr>
        <w:t>Crit. Rev. Oncol. Hematol.</w:t>
      </w:r>
      <w:r w:rsidRPr="007C7543">
        <w:rPr>
          <w:rFonts w:ascii="Calibri" w:hAnsi="Calibri" w:cs="Calibri"/>
          <w:noProof/>
          <w:szCs w:val="24"/>
        </w:rPr>
        <w:t>, vol. 153, no. June, p. 103035, Sep. 2020, doi: 10.1016/j.critrevonc.2020.103035.</w:t>
      </w:r>
    </w:p>
    <w:p w14:paraId="4BD060DD"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[39]</w:t>
      </w:r>
      <w:r w:rsidRPr="007C7543">
        <w:rPr>
          <w:rFonts w:ascii="Calibri" w:hAnsi="Calibri" w:cs="Calibri"/>
          <w:noProof/>
          <w:szCs w:val="24"/>
        </w:rPr>
        <w:tab/>
        <w:t xml:space="preserve">M. W. Hoyle and W. Henley, “Improved curve fits to summary survival data: application to economic evaluation of health technologies,” </w:t>
      </w:r>
      <w:r w:rsidRPr="007C7543">
        <w:rPr>
          <w:rFonts w:ascii="Calibri" w:hAnsi="Calibri" w:cs="Calibri"/>
          <w:i/>
          <w:iCs/>
          <w:noProof/>
          <w:szCs w:val="24"/>
        </w:rPr>
        <w:t>BMC Med. Res. Methodol.</w:t>
      </w:r>
      <w:r w:rsidRPr="007C7543">
        <w:rPr>
          <w:rFonts w:ascii="Calibri" w:hAnsi="Calibri" w:cs="Calibri"/>
          <w:noProof/>
          <w:szCs w:val="24"/>
        </w:rPr>
        <w:t>, vol. 11, no. 1, p. 139, Dec. 2011, doi: 10.1186/1471-2288-11-139.</w:t>
      </w:r>
    </w:p>
    <w:p w14:paraId="1420DB93"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[40]</w:t>
      </w:r>
      <w:r w:rsidRPr="007C7543">
        <w:rPr>
          <w:rFonts w:ascii="Calibri" w:hAnsi="Calibri" w:cs="Calibri"/>
          <w:noProof/>
          <w:szCs w:val="24"/>
        </w:rPr>
        <w:tab/>
        <w:t xml:space="preserve">R. Sluga, B. E. E. M. Van Den Borne, P. Roepman, B. J. M. Peters, E. A. Kastelijn, and F. M. N. H. </w:t>
      </w:r>
      <w:r w:rsidRPr="007C7543">
        <w:rPr>
          <w:rFonts w:ascii="Calibri" w:hAnsi="Calibri" w:cs="Calibri"/>
          <w:noProof/>
          <w:szCs w:val="24"/>
        </w:rPr>
        <w:lastRenderedPageBreak/>
        <w:t xml:space="preserve">Schramel, “Utilization of Molecular Testing and Survival Outcomes of Treatment with First- or Second-line Tyrosine Kinase Inhibitors in Advanced Non-small Cell Lung Cancer in a Dutch Population,” </w:t>
      </w:r>
      <w:r w:rsidRPr="007C7543">
        <w:rPr>
          <w:rFonts w:ascii="Calibri" w:hAnsi="Calibri" w:cs="Calibri"/>
          <w:i/>
          <w:iCs/>
          <w:noProof/>
          <w:szCs w:val="24"/>
        </w:rPr>
        <w:t>Anticancer Res.</w:t>
      </w:r>
      <w:r w:rsidRPr="007C7543">
        <w:rPr>
          <w:rFonts w:ascii="Calibri" w:hAnsi="Calibri" w:cs="Calibri"/>
          <w:noProof/>
          <w:szCs w:val="24"/>
        </w:rPr>
        <w:t>, vol. 38, no. 1, pp. 393–400, Jan. 2018, doi: 10.21873/anticanres.12235.</w:t>
      </w:r>
    </w:p>
    <w:p w14:paraId="4B944F59"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[41]</w:t>
      </w:r>
      <w:r w:rsidRPr="007C7543">
        <w:rPr>
          <w:rFonts w:ascii="Calibri" w:hAnsi="Calibri" w:cs="Calibri"/>
          <w:noProof/>
          <w:szCs w:val="24"/>
        </w:rPr>
        <w:tab/>
        <w:t>N. Latimer, “NICE DSU Technical Support Document 14: Undertaking survival analysis for economic evaluations alongside clinical trials - extrapolation with patient-level data.,” Sheffield, Jul. 2011. [Online]. Available: http://www.nicedsu.org.uk.</w:t>
      </w:r>
    </w:p>
    <w:p w14:paraId="13B4E4F9"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[42]</w:t>
      </w:r>
      <w:r w:rsidRPr="007C7543">
        <w:rPr>
          <w:rFonts w:ascii="Calibri" w:hAnsi="Calibri" w:cs="Calibri"/>
          <w:noProof/>
          <w:szCs w:val="24"/>
        </w:rPr>
        <w:tab/>
        <w:t xml:space="preserve">K. J. Ishak, N. Kreif, A. Benedict, and N. Muszbek, “Overview of Parametric Survival Analysis for Health-Economic Applications,” </w:t>
      </w:r>
      <w:r w:rsidRPr="007C7543">
        <w:rPr>
          <w:rFonts w:ascii="Calibri" w:hAnsi="Calibri" w:cs="Calibri"/>
          <w:i/>
          <w:iCs/>
          <w:noProof/>
          <w:szCs w:val="24"/>
        </w:rPr>
        <w:t>Pharmacoeconomics</w:t>
      </w:r>
      <w:r w:rsidRPr="007C7543">
        <w:rPr>
          <w:rFonts w:ascii="Calibri" w:hAnsi="Calibri" w:cs="Calibri"/>
          <w:noProof/>
          <w:szCs w:val="24"/>
        </w:rPr>
        <w:t>, vol. 31, no. 8, pp. 663–675, Aug. 2013, doi: 10.1007/s40273-013-0064-3.</w:t>
      </w:r>
    </w:p>
    <w:p w14:paraId="1DC0DD8E"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[43]</w:t>
      </w:r>
      <w:r w:rsidRPr="007C7543">
        <w:rPr>
          <w:rFonts w:ascii="Calibri" w:hAnsi="Calibri" w:cs="Calibri"/>
          <w:noProof/>
          <w:szCs w:val="24"/>
        </w:rPr>
        <w:tab/>
        <w:t xml:space="preserve">H. Putter, M. Fiocco, and R. B. Geskus, “Tutorial in biostatistics: competing risks and multi-state models,” </w:t>
      </w:r>
      <w:r w:rsidRPr="007C7543">
        <w:rPr>
          <w:rFonts w:ascii="Calibri" w:hAnsi="Calibri" w:cs="Calibri"/>
          <w:i/>
          <w:iCs/>
          <w:noProof/>
          <w:szCs w:val="24"/>
        </w:rPr>
        <w:t>Stat. Med.</w:t>
      </w:r>
      <w:r w:rsidRPr="007C7543">
        <w:rPr>
          <w:rFonts w:ascii="Calibri" w:hAnsi="Calibri" w:cs="Calibri"/>
          <w:noProof/>
          <w:szCs w:val="24"/>
        </w:rPr>
        <w:t>, vol. 26, no. 11, pp. 2389–2430, May 2007, doi: 10.1002/sim.2712.</w:t>
      </w:r>
    </w:p>
    <w:p w14:paraId="0B0053CD"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[44]</w:t>
      </w:r>
      <w:r w:rsidRPr="007C7543">
        <w:rPr>
          <w:rFonts w:ascii="Calibri" w:hAnsi="Calibri" w:cs="Calibri"/>
          <w:noProof/>
          <w:szCs w:val="24"/>
        </w:rPr>
        <w:tab/>
        <w:t xml:space="preserve">C. Williams, J. D. Lewsey, A. H. Briggs, and D. F. Mackay, “Cost-effectiveness Analysis in R Using a Multi-state Modeling Survival Analysis Framework: A Tutorial,” </w:t>
      </w:r>
      <w:r w:rsidRPr="007C7543">
        <w:rPr>
          <w:rFonts w:ascii="Calibri" w:hAnsi="Calibri" w:cs="Calibri"/>
          <w:i/>
          <w:iCs/>
          <w:noProof/>
          <w:szCs w:val="24"/>
        </w:rPr>
        <w:t>Med. Decis. Mak.</w:t>
      </w:r>
      <w:r w:rsidRPr="007C7543">
        <w:rPr>
          <w:rFonts w:ascii="Calibri" w:hAnsi="Calibri" w:cs="Calibri"/>
          <w:noProof/>
          <w:szCs w:val="24"/>
        </w:rPr>
        <w:t>, vol. 37, no. 4, pp. 340–352, May 2017, doi: 10.1177/0272989X16651869.</w:t>
      </w:r>
    </w:p>
    <w:p w14:paraId="269B9054"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[45]</w:t>
      </w:r>
      <w:r w:rsidRPr="007C7543">
        <w:rPr>
          <w:rFonts w:ascii="Calibri" w:hAnsi="Calibri" w:cs="Calibri"/>
          <w:noProof/>
          <w:szCs w:val="24"/>
        </w:rPr>
        <w:tab/>
        <w:t xml:space="preserve">H. B. Wolff </w:t>
      </w:r>
      <w:r w:rsidRPr="007C7543">
        <w:rPr>
          <w:rFonts w:ascii="Calibri" w:hAnsi="Calibri" w:cs="Calibri"/>
          <w:i/>
          <w:iCs/>
          <w:noProof/>
          <w:szCs w:val="24"/>
        </w:rPr>
        <w:t>et al.</w:t>
      </w:r>
      <w:r w:rsidRPr="007C7543">
        <w:rPr>
          <w:rFonts w:ascii="Calibri" w:hAnsi="Calibri" w:cs="Calibri"/>
          <w:noProof/>
          <w:szCs w:val="24"/>
        </w:rPr>
        <w:t xml:space="preserve">, “Cost-effectiveness of stereotactic body radiation therapy versus video assisted thoracic surgery in medically operable stage I non-small cell lung cancer: A modeling study,” </w:t>
      </w:r>
      <w:r w:rsidRPr="007C7543">
        <w:rPr>
          <w:rFonts w:ascii="Calibri" w:hAnsi="Calibri" w:cs="Calibri"/>
          <w:i/>
          <w:iCs/>
          <w:noProof/>
          <w:szCs w:val="24"/>
        </w:rPr>
        <w:t>Lung Cancer</w:t>
      </w:r>
      <w:r w:rsidRPr="007C7543">
        <w:rPr>
          <w:rFonts w:ascii="Calibri" w:hAnsi="Calibri" w:cs="Calibri"/>
          <w:noProof/>
          <w:szCs w:val="24"/>
        </w:rPr>
        <w:t>, vol. 141, pp. 89–96, Mar. 2020, doi: 10.1016/j.lungcan.2020.01.011.</w:t>
      </w:r>
    </w:p>
    <w:p w14:paraId="38FCAA7A"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[46]</w:t>
      </w:r>
      <w:r w:rsidRPr="007C7543">
        <w:rPr>
          <w:rFonts w:ascii="Calibri" w:hAnsi="Calibri" w:cs="Calibri"/>
          <w:noProof/>
          <w:szCs w:val="24"/>
        </w:rPr>
        <w:tab/>
        <w:t>R Core Team, “R: A language and environment for statistical computing.” R Foundation for Statistical Computing, Vienna, Austria, 2020, [Online]. Available: https://www.r-project.org/.</w:t>
      </w:r>
    </w:p>
    <w:p w14:paraId="5024DA7E"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[47]</w:t>
      </w:r>
      <w:r w:rsidRPr="007C7543">
        <w:rPr>
          <w:rFonts w:ascii="Calibri" w:hAnsi="Calibri" w:cs="Calibri"/>
          <w:noProof/>
          <w:szCs w:val="24"/>
        </w:rPr>
        <w:tab/>
        <w:t xml:space="preserve">L. C. de Wreede, M. Fiocco, and H. Putter, “The mstate package for estimation and prediction in non- and semi-parametric multi-state and competing risks models,” </w:t>
      </w:r>
      <w:r w:rsidRPr="007C7543">
        <w:rPr>
          <w:rFonts w:ascii="Calibri" w:hAnsi="Calibri" w:cs="Calibri"/>
          <w:i/>
          <w:iCs/>
          <w:noProof/>
          <w:szCs w:val="24"/>
        </w:rPr>
        <w:t>Comput. Methods Programs Biomed.</w:t>
      </w:r>
      <w:r w:rsidRPr="007C7543">
        <w:rPr>
          <w:rFonts w:ascii="Calibri" w:hAnsi="Calibri" w:cs="Calibri"/>
          <w:noProof/>
          <w:szCs w:val="24"/>
        </w:rPr>
        <w:t>, vol. 99, no. 3, pp. 261–274, Sep. 2010, doi: 10.1016/j.cmpb.2010.01.001.</w:t>
      </w:r>
    </w:p>
    <w:p w14:paraId="30DEFB40"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[48]</w:t>
      </w:r>
      <w:r w:rsidRPr="007C7543">
        <w:rPr>
          <w:rFonts w:ascii="Calibri" w:hAnsi="Calibri" w:cs="Calibri"/>
          <w:noProof/>
          <w:szCs w:val="24"/>
        </w:rPr>
        <w:tab/>
        <w:t xml:space="preserve">G. Broström, “eha: Event History Analysis. R package version 2.8.1,” </w:t>
      </w:r>
      <w:r w:rsidRPr="007C7543">
        <w:rPr>
          <w:rFonts w:ascii="Calibri" w:hAnsi="Calibri" w:cs="Calibri"/>
          <w:i/>
          <w:iCs/>
          <w:noProof/>
          <w:szCs w:val="24"/>
        </w:rPr>
        <w:t>CRAN</w:t>
      </w:r>
      <w:r w:rsidRPr="007C7543">
        <w:rPr>
          <w:rFonts w:ascii="Calibri" w:hAnsi="Calibri" w:cs="Calibri"/>
          <w:noProof/>
          <w:szCs w:val="24"/>
        </w:rPr>
        <w:t>. 2020, [Online]. Available: https://cran.r-project.org/package=eha.</w:t>
      </w:r>
    </w:p>
    <w:p w14:paraId="75599A2B"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[49]</w:t>
      </w:r>
      <w:r w:rsidRPr="007C7543">
        <w:rPr>
          <w:rFonts w:ascii="Calibri" w:hAnsi="Calibri" w:cs="Calibri"/>
          <w:noProof/>
          <w:szCs w:val="24"/>
        </w:rPr>
        <w:tab/>
        <w:t xml:space="preserve">C. H. Jackson, “flexsurv: A Platform for Parametric Survival Modeling in R.,” </w:t>
      </w:r>
      <w:r w:rsidRPr="007C7543">
        <w:rPr>
          <w:rFonts w:ascii="Calibri" w:hAnsi="Calibri" w:cs="Calibri"/>
          <w:i/>
          <w:iCs/>
          <w:noProof/>
          <w:szCs w:val="24"/>
        </w:rPr>
        <w:t>J. Stat. Softw.</w:t>
      </w:r>
      <w:r w:rsidRPr="007C7543">
        <w:rPr>
          <w:rFonts w:ascii="Calibri" w:hAnsi="Calibri" w:cs="Calibri"/>
          <w:noProof/>
          <w:szCs w:val="24"/>
        </w:rPr>
        <w:t xml:space="preserve">, vol. </w:t>
      </w:r>
      <w:r w:rsidRPr="007C7543">
        <w:rPr>
          <w:rFonts w:ascii="Calibri" w:hAnsi="Calibri" w:cs="Calibri"/>
          <w:noProof/>
          <w:szCs w:val="24"/>
        </w:rPr>
        <w:lastRenderedPageBreak/>
        <w:t>70, no. 8, pp. 1–33, May 2016, doi: 10.18637/jss.v070.i08.</w:t>
      </w:r>
    </w:p>
    <w:p w14:paraId="097C4E3F"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[50]</w:t>
      </w:r>
      <w:r w:rsidRPr="007C7543">
        <w:rPr>
          <w:rFonts w:ascii="Calibri" w:hAnsi="Calibri" w:cs="Calibri"/>
          <w:noProof/>
          <w:szCs w:val="24"/>
        </w:rPr>
        <w:tab/>
        <w:t xml:space="preserve">J. Köhler and M. Schuler, “Afatinib, Erlotinib and Gefitinib in the First-Line Therapy of EGFR Mutation-Positive Lung Adenocarcinoma: A Review,” </w:t>
      </w:r>
      <w:r w:rsidRPr="007C7543">
        <w:rPr>
          <w:rFonts w:ascii="Calibri" w:hAnsi="Calibri" w:cs="Calibri"/>
          <w:i/>
          <w:iCs/>
          <w:noProof/>
          <w:szCs w:val="24"/>
        </w:rPr>
        <w:t>Onkologie</w:t>
      </w:r>
      <w:r w:rsidRPr="007C7543">
        <w:rPr>
          <w:rFonts w:ascii="Calibri" w:hAnsi="Calibri" w:cs="Calibri"/>
          <w:noProof/>
          <w:szCs w:val="24"/>
        </w:rPr>
        <w:t>, vol. 36, no. 9, pp. 5–5, 2013, doi: 10.1159/000354627.</w:t>
      </w:r>
    </w:p>
    <w:p w14:paraId="00D28CA6"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[51]</w:t>
      </w:r>
      <w:r w:rsidRPr="007C7543">
        <w:rPr>
          <w:rFonts w:ascii="Calibri" w:hAnsi="Calibri" w:cs="Calibri"/>
          <w:noProof/>
          <w:szCs w:val="24"/>
        </w:rPr>
        <w:tab/>
        <w:t xml:space="preserve">Z. Wang and S. Fang, “EGFR mutations as a prognostic and predictive marker in non-small-cell lung cancer,” </w:t>
      </w:r>
      <w:r w:rsidRPr="007C7543">
        <w:rPr>
          <w:rFonts w:ascii="Calibri" w:hAnsi="Calibri" w:cs="Calibri"/>
          <w:i/>
          <w:iCs/>
          <w:noProof/>
          <w:szCs w:val="24"/>
        </w:rPr>
        <w:t>Drug Des. Devel. Ther.</w:t>
      </w:r>
      <w:r w:rsidRPr="007C7543">
        <w:rPr>
          <w:rFonts w:ascii="Calibri" w:hAnsi="Calibri" w:cs="Calibri"/>
          <w:noProof/>
          <w:szCs w:val="24"/>
        </w:rPr>
        <w:t>, vol. 8, p. 1595, Sep. 2014, doi: 10.2147/DDDT.S69690.</w:t>
      </w:r>
    </w:p>
    <w:p w14:paraId="286A73E7"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[52]</w:t>
      </w:r>
      <w:r w:rsidRPr="007C7543">
        <w:rPr>
          <w:rFonts w:ascii="Calibri" w:hAnsi="Calibri" w:cs="Calibri"/>
          <w:noProof/>
          <w:szCs w:val="24"/>
        </w:rPr>
        <w:tab/>
        <w:t xml:space="preserve">Z. Wang </w:t>
      </w:r>
      <w:r w:rsidRPr="007C7543">
        <w:rPr>
          <w:rFonts w:ascii="Calibri" w:hAnsi="Calibri" w:cs="Calibri"/>
          <w:i/>
          <w:iCs/>
          <w:noProof/>
          <w:szCs w:val="24"/>
        </w:rPr>
        <w:t>et al.</w:t>
      </w:r>
      <w:r w:rsidRPr="007C7543">
        <w:rPr>
          <w:rFonts w:ascii="Calibri" w:hAnsi="Calibri" w:cs="Calibri"/>
          <w:noProof/>
          <w:szCs w:val="24"/>
        </w:rPr>
        <w:t xml:space="preserve">, “Anaplastic lymphoma kinase gene rearrangement predicts better prognosis in NSCLC patients: A meta-analysis,” </w:t>
      </w:r>
      <w:r w:rsidRPr="007C7543">
        <w:rPr>
          <w:rFonts w:ascii="Calibri" w:hAnsi="Calibri" w:cs="Calibri"/>
          <w:i/>
          <w:iCs/>
          <w:noProof/>
          <w:szCs w:val="24"/>
        </w:rPr>
        <w:t>Lung Cancer</w:t>
      </w:r>
      <w:r w:rsidRPr="007C7543">
        <w:rPr>
          <w:rFonts w:ascii="Calibri" w:hAnsi="Calibri" w:cs="Calibri"/>
          <w:noProof/>
          <w:szCs w:val="24"/>
        </w:rPr>
        <w:t>, vol. 112, pp. 1–9, Oct. 2017, doi: c.</w:t>
      </w:r>
    </w:p>
    <w:p w14:paraId="16ED3638"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[53]</w:t>
      </w:r>
      <w:r w:rsidRPr="007C7543">
        <w:rPr>
          <w:rFonts w:ascii="Calibri" w:hAnsi="Calibri" w:cs="Calibri"/>
          <w:noProof/>
          <w:szCs w:val="24"/>
        </w:rPr>
        <w:tab/>
        <w:t xml:space="preserve">M. M. Awad </w:t>
      </w:r>
      <w:r w:rsidRPr="007C7543">
        <w:rPr>
          <w:rFonts w:ascii="Calibri" w:hAnsi="Calibri" w:cs="Calibri"/>
          <w:i/>
          <w:iCs/>
          <w:noProof/>
          <w:szCs w:val="24"/>
        </w:rPr>
        <w:t>et al.</w:t>
      </w:r>
      <w:r w:rsidRPr="007C7543">
        <w:rPr>
          <w:rFonts w:ascii="Calibri" w:hAnsi="Calibri" w:cs="Calibri"/>
          <w:noProof/>
          <w:szCs w:val="24"/>
        </w:rPr>
        <w:t xml:space="preserve">, “Long-Term Overall Survival From KEYNOTE-021 Cohort G: Pemetrexed and Carboplatin With or Without Pembrolizumab as First-Line Therapy for Advanced Nonsquamous NSCLC,” </w:t>
      </w:r>
      <w:r w:rsidRPr="007C7543">
        <w:rPr>
          <w:rFonts w:ascii="Calibri" w:hAnsi="Calibri" w:cs="Calibri"/>
          <w:i/>
          <w:iCs/>
          <w:noProof/>
          <w:szCs w:val="24"/>
        </w:rPr>
        <w:t>J. Thorac. Oncol.</w:t>
      </w:r>
      <w:r w:rsidRPr="007C7543">
        <w:rPr>
          <w:rFonts w:ascii="Calibri" w:hAnsi="Calibri" w:cs="Calibri"/>
          <w:noProof/>
          <w:szCs w:val="24"/>
        </w:rPr>
        <w:t>, vol. 16, no. 1, pp. 162–168, Jan. 2021, doi: 10.1016/j.jtho.2020.09.015.</w:t>
      </w:r>
    </w:p>
    <w:p w14:paraId="2545C465"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[54]</w:t>
      </w:r>
      <w:r w:rsidRPr="007C7543">
        <w:rPr>
          <w:rFonts w:ascii="Calibri" w:hAnsi="Calibri" w:cs="Calibri"/>
          <w:noProof/>
          <w:szCs w:val="24"/>
        </w:rPr>
        <w:tab/>
        <w:t xml:space="preserve">E. B. Garon </w:t>
      </w:r>
      <w:r w:rsidRPr="007C7543">
        <w:rPr>
          <w:rFonts w:ascii="Calibri" w:hAnsi="Calibri" w:cs="Calibri"/>
          <w:i/>
          <w:iCs/>
          <w:noProof/>
          <w:szCs w:val="24"/>
        </w:rPr>
        <w:t>et al.</w:t>
      </w:r>
      <w:r w:rsidRPr="007C7543">
        <w:rPr>
          <w:rFonts w:ascii="Calibri" w:hAnsi="Calibri" w:cs="Calibri"/>
          <w:noProof/>
          <w:szCs w:val="24"/>
        </w:rPr>
        <w:t xml:space="preserve">, “Five-Year Overall Survival for Patients With Advanced Non‒Small-Cell Lung Cancer Treated With Pembrolizumab: Results From the Phase I KEYNOTE-001 Study,” </w:t>
      </w:r>
      <w:r w:rsidRPr="007C7543">
        <w:rPr>
          <w:rFonts w:ascii="Calibri" w:hAnsi="Calibri" w:cs="Calibri"/>
          <w:i/>
          <w:iCs/>
          <w:noProof/>
          <w:szCs w:val="24"/>
        </w:rPr>
        <w:t>J. Clin. Oncol.</w:t>
      </w:r>
      <w:r w:rsidRPr="007C7543">
        <w:rPr>
          <w:rFonts w:ascii="Calibri" w:hAnsi="Calibri" w:cs="Calibri"/>
          <w:noProof/>
          <w:szCs w:val="24"/>
        </w:rPr>
        <w:t>, vol. 37, no. 28, pp. 2518–2527, Oct. 2019, doi: 10.1200/JCO.19.00934.</w:t>
      </w:r>
    </w:p>
    <w:p w14:paraId="008C21D0"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[55]</w:t>
      </w:r>
      <w:r w:rsidRPr="007C7543">
        <w:rPr>
          <w:rFonts w:ascii="Calibri" w:hAnsi="Calibri" w:cs="Calibri"/>
          <w:noProof/>
          <w:szCs w:val="24"/>
        </w:rPr>
        <w:tab/>
        <w:t xml:space="preserve">M. Reck </w:t>
      </w:r>
      <w:r w:rsidRPr="007C7543">
        <w:rPr>
          <w:rFonts w:ascii="Calibri" w:hAnsi="Calibri" w:cs="Calibri"/>
          <w:i/>
          <w:iCs/>
          <w:noProof/>
          <w:szCs w:val="24"/>
        </w:rPr>
        <w:t>et al.</w:t>
      </w:r>
      <w:r w:rsidRPr="007C7543">
        <w:rPr>
          <w:rFonts w:ascii="Calibri" w:hAnsi="Calibri" w:cs="Calibri"/>
          <w:noProof/>
          <w:szCs w:val="24"/>
        </w:rPr>
        <w:t xml:space="preserve">, “Five-Year Outcomes With Pembrolizumab Versus Chemotherapy for Metastatic Non–Small-Cell Lung Cancer With PD-L1 Tumor Proportion Score ≥ 50%,” </w:t>
      </w:r>
      <w:r w:rsidRPr="007C7543">
        <w:rPr>
          <w:rFonts w:ascii="Calibri" w:hAnsi="Calibri" w:cs="Calibri"/>
          <w:i/>
          <w:iCs/>
          <w:noProof/>
          <w:szCs w:val="24"/>
        </w:rPr>
        <w:t>J. Clin. Oncol.</w:t>
      </w:r>
      <w:r w:rsidRPr="007C7543">
        <w:rPr>
          <w:rFonts w:ascii="Calibri" w:hAnsi="Calibri" w:cs="Calibri"/>
          <w:noProof/>
          <w:szCs w:val="24"/>
        </w:rPr>
        <w:t>, vol. 39, no. 21, pp. 2339–2349, Jul. 2021, doi: 10.1200/JCO.21.00174.</w:t>
      </w:r>
    </w:p>
    <w:p w14:paraId="1AF9CC7E"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[56]</w:t>
      </w:r>
      <w:r w:rsidRPr="007C7543">
        <w:rPr>
          <w:rFonts w:ascii="Calibri" w:hAnsi="Calibri" w:cs="Calibri"/>
          <w:noProof/>
          <w:szCs w:val="24"/>
        </w:rPr>
        <w:tab/>
        <w:t xml:space="preserve">A. Bullement, N. R. Latimer, and H. B. Gorrod, “Survival Extrapolation in Cancer Immunotherapy: A Validation-Based Case Study,” </w:t>
      </w:r>
      <w:r w:rsidRPr="007C7543">
        <w:rPr>
          <w:rFonts w:ascii="Calibri" w:hAnsi="Calibri" w:cs="Calibri"/>
          <w:i/>
          <w:iCs/>
          <w:noProof/>
          <w:szCs w:val="24"/>
        </w:rPr>
        <w:t>Value Heal.</w:t>
      </w:r>
      <w:r w:rsidRPr="007C7543">
        <w:rPr>
          <w:rFonts w:ascii="Calibri" w:hAnsi="Calibri" w:cs="Calibri"/>
          <w:noProof/>
          <w:szCs w:val="24"/>
        </w:rPr>
        <w:t>, vol. 22, no. 3, pp. 276–283, Mar. 2019, doi: 10.1016/j.jval.2018.10.007.</w:t>
      </w:r>
    </w:p>
    <w:p w14:paraId="7C26C823"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[57]</w:t>
      </w:r>
      <w:r w:rsidRPr="007C7543">
        <w:rPr>
          <w:rFonts w:ascii="Calibri" w:hAnsi="Calibri" w:cs="Calibri"/>
          <w:noProof/>
          <w:szCs w:val="24"/>
        </w:rPr>
        <w:tab/>
        <w:t xml:space="preserve">M. Othus, A. Bansal, L. Koepl, S. Wagner, and S. Ramsey, “Accounting for Cured Patients in Cost-Effectiveness Analysis,” </w:t>
      </w:r>
      <w:r w:rsidRPr="007C7543">
        <w:rPr>
          <w:rFonts w:ascii="Calibri" w:hAnsi="Calibri" w:cs="Calibri"/>
          <w:i/>
          <w:iCs/>
          <w:noProof/>
          <w:szCs w:val="24"/>
        </w:rPr>
        <w:t>Value Heal.</w:t>
      </w:r>
      <w:r w:rsidRPr="007C7543">
        <w:rPr>
          <w:rFonts w:ascii="Calibri" w:hAnsi="Calibri" w:cs="Calibri"/>
          <w:noProof/>
          <w:szCs w:val="24"/>
        </w:rPr>
        <w:t>, vol. 20, no. 4, pp. 705–709, Apr. 2017, doi: 10.1016/j.jval.2016.04.011.</w:t>
      </w:r>
    </w:p>
    <w:p w14:paraId="76D8E9E9"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[58]</w:t>
      </w:r>
      <w:r w:rsidRPr="007C7543">
        <w:rPr>
          <w:rFonts w:ascii="Calibri" w:hAnsi="Calibri" w:cs="Calibri"/>
          <w:noProof/>
          <w:szCs w:val="24"/>
        </w:rPr>
        <w:tab/>
        <w:t xml:space="preserve">Y. H. To </w:t>
      </w:r>
      <w:r w:rsidRPr="007C7543">
        <w:rPr>
          <w:rFonts w:ascii="Calibri" w:hAnsi="Calibri" w:cs="Calibri"/>
          <w:i/>
          <w:iCs/>
          <w:noProof/>
          <w:szCs w:val="24"/>
        </w:rPr>
        <w:t>et al.</w:t>
      </w:r>
      <w:r w:rsidRPr="007C7543">
        <w:rPr>
          <w:rFonts w:ascii="Calibri" w:hAnsi="Calibri" w:cs="Calibri"/>
          <w:noProof/>
          <w:szCs w:val="24"/>
        </w:rPr>
        <w:t xml:space="preserve">, “Circulating Tumour DNA as a Potential Cost-Effective Biomarker to Reduce Adjuvant Chemotherapy Overtreatment in Stage II Colorectal Cancer,” </w:t>
      </w:r>
      <w:r w:rsidRPr="007C7543">
        <w:rPr>
          <w:rFonts w:ascii="Calibri" w:hAnsi="Calibri" w:cs="Calibri"/>
          <w:i/>
          <w:iCs/>
          <w:noProof/>
          <w:szCs w:val="24"/>
        </w:rPr>
        <w:t>Pharmacoeconomics</w:t>
      </w:r>
      <w:r w:rsidRPr="007C7543">
        <w:rPr>
          <w:rFonts w:ascii="Calibri" w:hAnsi="Calibri" w:cs="Calibri"/>
          <w:noProof/>
          <w:szCs w:val="24"/>
        </w:rPr>
        <w:t xml:space="preserve">, </w:t>
      </w:r>
      <w:r w:rsidRPr="007C7543">
        <w:rPr>
          <w:rFonts w:ascii="Calibri" w:hAnsi="Calibri" w:cs="Calibri"/>
          <w:noProof/>
          <w:szCs w:val="24"/>
        </w:rPr>
        <w:lastRenderedPageBreak/>
        <w:t>vol. 39, no. 8, pp. 953–964, Aug. 2021, doi: 10.1007/s40273-021-01047-0.</w:t>
      </w:r>
    </w:p>
    <w:p w14:paraId="7A9291F1"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[59]</w:t>
      </w:r>
      <w:r w:rsidRPr="007C7543">
        <w:rPr>
          <w:rFonts w:ascii="Calibri" w:hAnsi="Calibri" w:cs="Calibri"/>
          <w:noProof/>
          <w:szCs w:val="24"/>
        </w:rPr>
        <w:tab/>
        <w:t xml:space="preserve">D. M. Eddy, W. Hollingworth, J. J. Caro, J. Tsevat, K. M. McDonald, and J. B. Wong, “Model Transparency and Validation: A Report of the ISPOR-SMDM Modeling Good Research Practices Task Force-7,” </w:t>
      </w:r>
      <w:r w:rsidRPr="007C7543">
        <w:rPr>
          <w:rFonts w:ascii="Calibri" w:hAnsi="Calibri" w:cs="Calibri"/>
          <w:i/>
          <w:iCs/>
          <w:noProof/>
          <w:szCs w:val="24"/>
        </w:rPr>
        <w:t>Value Heal.</w:t>
      </w:r>
      <w:r w:rsidRPr="007C7543">
        <w:rPr>
          <w:rFonts w:ascii="Calibri" w:hAnsi="Calibri" w:cs="Calibri"/>
          <w:noProof/>
          <w:szCs w:val="24"/>
        </w:rPr>
        <w:t>, vol. 15, no. 6, pp. 843–850, Sep. 2012, doi: 10.1016/j.jval.2012.04.012.</w:t>
      </w:r>
    </w:p>
    <w:p w14:paraId="63F5C5F5"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[60]</w:t>
      </w:r>
      <w:r w:rsidRPr="007C7543">
        <w:rPr>
          <w:rFonts w:ascii="Calibri" w:hAnsi="Calibri" w:cs="Calibri"/>
          <w:noProof/>
          <w:szCs w:val="24"/>
        </w:rPr>
        <w:tab/>
        <w:t>T. Feenstra, “Multi-use disease models: A blueprint for application in support of health care insurance coverage policy and a case study in Diabetes Mellitus.,” National Institute for Public Health and the Environment RIVM, Bilthoven, 2020. doi: 10.21945/RIVM-2020-0145.</w:t>
      </w:r>
    </w:p>
    <w:p w14:paraId="66B82823"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[61]</w:t>
      </w:r>
      <w:r w:rsidRPr="007C7543">
        <w:rPr>
          <w:rFonts w:ascii="Calibri" w:hAnsi="Calibri" w:cs="Calibri"/>
          <w:noProof/>
          <w:szCs w:val="24"/>
        </w:rPr>
        <w:tab/>
        <w:t xml:space="preserve">T. Mok </w:t>
      </w:r>
      <w:r w:rsidRPr="007C7543">
        <w:rPr>
          <w:rFonts w:ascii="Calibri" w:hAnsi="Calibri" w:cs="Calibri"/>
          <w:i/>
          <w:iCs/>
          <w:noProof/>
          <w:szCs w:val="24"/>
        </w:rPr>
        <w:t>et al.</w:t>
      </w:r>
      <w:r w:rsidRPr="007C7543">
        <w:rPr>
          <w:rFonts w:ascii="Calibri" w:hAnsi="Calibri" w:cs="Calibri"/>
          <w:noProof/>
          <w:szCs w:val="24"/>
        </w:rPr>
        <w:t xml:space="preserve">, “Updated overall survival and final progression-free survival data for patients with treatment-naive advanced ALK-positive non-small-cell lung cancer in the ALEX study,” </w:t>
      </w:r>
      <w:r w:rsidRPr="007C7543">
        <w:rPr>
          <w:rFonts w:ascii="Calibri" w:hAnsi="Calibri" w:cs="Calibri"/>
          <w:i/>
          <w:iCs/>
          <w:noProof/>
          <w:szCs w:val="24"/>
        </w:rPr>
        <w:t>Ann. Oncol.</w:t>
      </w:r>
      <w:r w:rsidRPr="007C7543">
        <w:rPr>
          <w:rFonts w:ascii="Calibri" w:hAnsi="Calibri" w:cs="Calibri"/>
          <w:noProof/>
          <w:szCs w:val="24"/>
        </w:rPr>
        <w:t>, vol. 31, no. 8, pp. 1056–1064, Aug. 2020, doi: 10.1016/j.annonc.2020.04.478.</w:t>
      </w:r>
    </w:p>
    <w:p w14:paraId="41E8A247"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[62]</w:t>
      </w:r>
      <w:r w:rsidRPr="007C7543">
        <w:rPr>
          <w:rFonts w:ascii="Calibri" w:hAnsi="Calibri" w:cs="Calibri"/>
          <w:noProof/>
          <w:szCs w:val="24"/>
        </w:rPr>
        <w:tab/>
        <w:t xml:space="preserve">R. Ferrara </w:t>
      </w:r>
      <w:r w:rsidRPr="007C7543">
        <w:rPr>
          <w:rFonts w:ascii="Calibri" w:hAnsi="Calibri" w:cs="Calibri"/>
          <w:i/>
          <w:iCs/>
          <w:noProof/>
          <w:szCs w:val="24"/>
        </w:rPr>
        <w:t>et al.</w:t>
      </w:r>
      <w:r w:rsidRPr="007C7543">
        <w:rPr>
          <w:rFonts w:ascii="Calibri" w:hAnsi="Calibri" w:cs="Calibri"/>
          <w:noProof/>
          <w:szCs w:val="24"/>
        </w:rPr>
        <w:t xml:space="preserve">, “Do immune checkpoint inhibitors need new studies methodology?,” </w:t>
      </w:r>
      <w:r w:rsidRPr="007C7543">
        <w:rPr>
          <w:rFonts w:ascii="Calibri" w:hAnsi="Calibri" w:cs="Calibri"/>
          <w:i/>
          <w:iCs/>
          <w:noProof/>
          <w:szCs w:val="24"/>
        </w:rPr>
        <w:t>J. Thorac. Dis.</w:t>
      </w:r>
      <w:r w:rsidRPr="007C7543">
        <w:rPr>
          <w:rFonts w:ascii="Calibri" w:hAnsi="Calibri" w:cs="Calibri"/>
          <w:noProof/>
          <w:szCs w:val="24"/>
        </w:rPr>
        <w:t>, vol. 10, no. S13, pp. S1564–S1580, May 2018, doi: 10.21037/jtd.2018.01.131.</w:t>
      </w:r>
    </w:p>
    <w:p w14:paraId="14A65649"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[63]</w:t>
      </w:r>
      <w:r w:rsidRPr="007C7543">
        <w:rPr>
          <w:rFonts w:ascii="Calibri" w:hAnsi="Calibri" w:cs="Calibri"/>
          <w:noProof/>
          <w:szCs w:val="24"/>
        </w:rPr>
        <w:tab/>
        <w:t xml:space="preserve">M. Buyse, E. D. Saad, T. Burzykowski, and J. Péron, “Assessing Treatment Benefit in Immuno-oncology,” </w:t>
      </w:r>
      <w:r w:rsidRPr="007C7543">
        <w:rPr>
          <w:rFonts w:ascii="Calibri" w:hAnsi="Calibri" w:cs="Calibri"/>
          <w:i/>
          <w:iCs/>
          <w:noProof/>
          <w:szCs w:val="24"/>
        </w:rPr>
        <w:t>Stat. Biosci.</w:t>
      </w:r>
      <w:r w:rsidRPr="007C7543">
        <w:rPr>
          <w:rFonts w:ascii="Calibri" w:hAnsi="Calibri" w:cs="Calibri"/>
          <w:noProof/>
          <w:szCs w:val="24"/>
        </w:rPr>
        <w:t>, vol. 12, no. 2, pp. 83–103, Jul. 2020, doi: 10.1007/s12561-020-09268-1.</w:t>
      </w:r>
    </w:p>
    <w:p w14:paraId="4C48F5DA"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[64]</w:t>
      </w:r>
      <w:r w:rsidRPr="007C7543">
        <w:rPr>
          <w:rFonts w:ascii="Calibri" w:hAnsi="Calibri" w:cs="Calibri"/>
          <w:noProof/>
          <w:szCs w:val="24"/>
        </w:rPr>
        <w:tab/>
        <w:t xml:space="preserve">B. Huang and N. Ting, “Introduction to Special Issue on ‘Statistical Methods for Cancer Immunotherapy,’” </w:t>
      </w:r>
      <w:r w:rsidRPr="007C7543">
        <w:rPr>
          <w:rFonts w:ascii="Calibri" w:hAnsi="Calibri" w:cs="Calibri"/>
          <w:i/>
          <w:iCs/>
          <w:noProof/>
          <w:szCs w:val="24"/>
        </w:rPr>
        <w:t>Stat. Biosci.</w:t>
      </w:r>
      <w:r w:rsidRPr="007C7543">
        <w:rPr>
          <w:rFonts w:ascii="Calibri" w:hAnsi="Calibri" w:cs="Calibri"/>
          <w:noProof/>
          <w:szCs w:val="24"/>
        </w:rPr>
        <w:t>, vol. 12, no. 2, pp. 79–82, Jul. 2020, doi: 10.1007/s12561-020-09281-4.</w:t>
      </w:r>
    </w:p>
    <w:p w14:paraId="260C830A"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[65]</w:t>
      </w:r>
      <w:r w:rsidRPr="007C7543">
        <w:rPr>
          <w:rFonts w:ascii="Calibri" w:hAnsi="Calibri" w:cs="Calibri"/>
          <w:noProof/>
          <w:szCs w:val="24"/>
        </w:rPr>
        <w:tab/>
        <w:t xml:space="preserve">E. Gibson </w:t>
      </w:r>
      <w:r w:rsidRPr="007C7543">
        <w:rPr>
          <w:rFonts w:ascii="Calibri" w:hAnsi="Calibri" w:cs="Calibri"/>
          <w:i/>
          <w:iCs/>
          <w:noProof/>
          <w:szCs w:val="24"/>
        </w:rPr>
        <w:t>et al.</w:t>
      </w:r>
      <w:r w:rsidRPr="007C7543">
        <w:rPr>
          <w:rFonts w:ascii="Calibri" w:hAnsi="Calibri" w:cs="Calibri"/>
          <w:noProof/>
          <w:szCs w:val="24"/>
        </w:rPr>
        <w:t xml:space="preserve">, “Modelling the Survival Outcomes of Immuno-Oncology Drugs in Economic Evaluations: A Systematic Approach to Data Analysis and Extrapolation,” </w:t>
      </w:r>
      <w:r w:rsidRPr="007C7543">
        <w:rPr>
          <w:rFonts w:ascii="Calibri" w:hAnsi="Calibri" w:cs="Calibri"/>
          <w:i/>
          <w:iCs/>
          <w:noProof/>
          <w:szCs w:val="24"/>
        </w:rPr>
        <w:t>Pharmacoeconomics</w:t>
      </w:r>
      <w:r w:rsidRPr="007C7543">
        <w:rPr>
          <w:rFonts w:ascii="Calibri" w:hAnsi="Calibri" w:cs="Calibri"/>
          <w:noProof/>
          <w:szCs w:val="24"/>
        </w:rPr>
        <w:t>, vol. 35, no. 12, pp. 1257–1270, Dec. 2017, doi: 10.1007/s40273-017-0558-5.</w:t>
      </w:r>
    </w:p>
    <w:p w14:paraId="490BDE1D"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[66]</w:t>
      </w:r>
      <w:r w:rsidRPr="007C7543">
        <w:rPr>
          <w:rFonts w:ascii="Calibri" w:hAnsi="Calibri" w:cs="Calibri"/>
          <w:noProof/>
          <w:szCs w:val="24"/>
        </w:rPr>
        <w:tab/>
        <w:t xml:space="preserve">M. Huang, N. Latimer, Y. Zhang, P. Mukhopadhyay, M. Ouwens, and A. Briggs, “Estimating the Long-Term Outcomes Associated With Immuno-Oncology Therapies : Challenges and Approaches for Overall Survival Extrapolations,” </w:t>
      </w:r>
      <w:r w:rsidRPr="007C7543">
        <w:rPr>
          <w:rFonts w:ascii="Calibri" w:hAnsi="Calibri" w:cs="Calibri"/>
          <w:i/>
          <w:iCs/>
          <w:noProof/>
          <w:szCs w:val="24"/>
        </w:rPr>
        <w:t>Value &amp; Outcomes Spotlight</w:t>
      </w:r>
      <w:r w:rsidRPr="007C7543">
        <w:rPr>
          <w:rFonts w:ascii="Calibri" w:hAnsi="Calibri" w:cs="Calibri"/>
          <w:noProof/>
          <w:szCs w:val="24"/>
        </w:rPr>
        <w:t xml:space="preserve">, no. February, </w:t>
      </w:r>
      <w:r w:rsidRPr="007C7543">
        <w:rPr>
          <w:rFonts w:ascii="Calibri" w:hAnsi="Calibri" w:cs="Calibri"/>
          <w:noProof/>
          <w:szCs w:val="24"/>
        </w:rPr>
        <w:lastRenderedPageBreak/>
        <w:t>pp. 28–30, 2018, [Online]. Available: https://www.ispor.org/publications/journals/value-outcomes-spotlight.</w:t>
      </w:r>
    </w:p>
    <w:p w14:paraId="6754E350"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[67]</w:t>
      </w:r>
      <w:r w:rsidRPr="007C7543">
        <w:rPr>
          <w:rFonts w:ascii="Calibri" w:hAnsi="Calibri" w:cs="Calibri"/>
          <w:noProof/>
          <w:szCs w:val="24"/>
        </w:rPr>
        <w:tab/>
        <w:t xml:space="preserve">G. V Long </w:t>
      </w:r>
      <w:r w:rsidRPr="007C7543">
        <w:rPr>
          <w:rFonts w:ascii="Calibri" w:hAnsi="Calibri" w:cs="Calibri"/>
          <w:i/>
          <w:iCs/>
          <w:noProof/>
          <w:szCs w:val="24"/>
        </w:rPr>
        <w:t>et al.</w:t>
      </w:r>
      <w:r w:rsidRPr="007C7543">
        <w:rPr>
          <w:rFonts w:ascii="Calibri" w:hAnsi="Calibri" w:cs="Calibri"/>
          <w:noProof/>
          <w:szCs w:val="24"/>
        </w:rPr>
        <w:t xml:space="preserve">, “Dabrafenib and trametinib versus dabrafenib and placebo for Val600 BRAF-mutant melanoma: a multicentre, double-blind, phase 3 randomised controlled trial,” </w:t>
      </w:r>
      <w:r w:rsidRPr="007C7543">
        <w:rPr>
          <w:rFonts w:ascii="Calibri" w:hAnsi="Calibri" w:cs="Calibri"/>
          <w:i/>
          <w:iCs/>
          <w:noProof/>
          <w:szCs w:val="24"/>
        </w:rPr>
        <w:t>Lancet</w:t>
      </w:r>
      <w:r w:rsidRPr="007C7543">
        <w:rPr>
          <w:rFonts w:ascii="Calibri" w:hAnsi="Calibri" w:cs="Calibri"/>
          <w:noProof/>
          <w:szCs w:val="24"/>
        </w:rPr>
        <w:t>, vol. 386, no. 9992, pp. 444–451, Aug. 2015, doi: 10.1016/S0140-6736(15)60898-4.</w:t>
      </w:r>
    </w:p>
    <w:p w14:paraId="3EA159AA"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[68]</w:t>
      </w:r>
      <w:r w:rsidRPr="007C7543">
        <w:rPr>
          <w:rFonts w:ascii="Calibri" w:hAnsi="Calibri" w:cs="Calibri"/>
          <w:noProof/>
          <w:szCs w:val="24"/>
        </w:rPr>
        <w:tab/>
        <w:t xml:space="preserve">J. Karnon, J. Stahl, A. Brennan, J. J. Caro, J. Mar, and J. Möller, “Modeling using Discrete Event Simulation: A Report of the ISPOR-SMDM Modeling Good Research Practices Task Force-4,” </w:t>
      </w:r>
      <w:r w:rsidRPr="007C7543">
        <w:rPr>
          <w:rFonts w:ascii="Calibri" w:hAnsi="Calibri" w:cs="Calibri"/>
          <w:i/>
          <w:iCs/>
          <w:noProof/>
          <w:szCs w:val="24"/>
        </w:rPr>
        <w:t>Value Heal.</w:t>
      </w:r>
      <w:r w:rsidRPr="007C7543">
        <w:rPr>
          <w:rFonts w:ascii="Calibri" w:hAnsi="Calibri" w:cs="Calibri"/>
          <w:noProof/>
          <w:szCs w:val="24"/>
        </w:rPr>
        <w:t>, vol. 15, no. 6, pp. 821–827, Sep. 2012, doi: 10.1016/j.jval.2012.04.013.</w:t>
      </w:r>
    </w:p>
    <w:p w14:paraId="4EF9B449"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[69]</w:t>
      </w:r>
      <w:r w:rsidRPr="007C7543">
        <w:rPr>
          <w:rFonts w:ascii="Calibri" w:hAnsi="Calibri" w:cs="Calibri"/>
          <w:noProof/>
          <w:szCs w:val="24"/>
        </w:rPr>
        <w:tab/>
        <w:t xml:space="preserve">J. Beyersmann, A. Allignol, and M. Schumacher, </w:t>
      </w:r>
      <w:r w:rsidRPr="007C7543">
        <w:rPr>
          <w:rFonts w:ascii="Calibri" w:hAnsi="Calibri" w:cs="Calibri"/>
          <w:i/>
          <w:iCs/>
          <w:noProof/>
          <w:szCs w:val="24"/>
        </w:rPr>
        <w:t>Competing Risks and Multistate Models with R</w:t>
      </w:r>
      <w:r w:rsidRPr="007C7543">
        <w:rPr>
          <w:rFonts w:ascii="Calibri" w:hAnsi="Calibri" w:cs="Calibri"/>
          <w:noProof/>
          <w:szCs w:val="24"/>
        </w:rPr>
        <w:t>. New York, NY: Springer New York, 2012.</w:t>
      </w:r>
    </w:p>
    <w:p w14:paraId="5C863314"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[70]</w:t>
      </w:r>
      <w:r w:rsidRPr="007C7543">
        <w:rPr>
          <w:rFonts w:ascii="Calibri" w:hAnsi="Calibri" w:cs="Calibri"/>
          <w:noProof/>
          <w:szCs w:val="24"/>
        </w:rPr>
        <w:tab/>
        <w:t xml:space="preserve">A. Christopher, P. Metcalfe, J. Amdahl, and M. C. Jackson, “Package ‘ flexsurv ,’” </w:t>
      </w:r>
      <w:r w:rsidRPr="007C7543">
        <w:rPr>
          <w:rFonts w:ascii="Calibri" w:hAnsi="Calibri" w:cs="Calibri"/>
          <w:i/>
          <w:iCs/>
          <w:noProof/>
          <w:szCs w:val="24"/>
        </w:rPr>
        <w:t>CRAN</w:t>
      </w:r>
      <w:r w:rsidRPr="007C7543">
        <w:rPr>
          <w:rFonts w:ascii="Calibri" w:hAnsi="Calibri" w:cs="Calibri"/>
          <w:noProof/>
          <w:szCs w:val="24"/>
        </w:rPr>
        <w:t>. 2019.</w:t>
      </w:r>
    </w:p>
    <w:p w14:paraId="236268F3"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[71]</w:t>
      </w:r>
      <w:r w:rsidRPr="007C7543">
        <w:rPr>
          <w:rFonts w:ascii="Calibri" w:hAnsi="Calibri" w:cs="Calibri"/>
          <w:noProof/>
          <w:szCs w:val="24"/>
        </w:rPr>
        <w:tab/>
        <w:t xml:space="preserve">A. T. Shaw </w:t>
      </w:r>
      <w:r w:rsidRPr="007C7543">
        <w:rPr>
          <w:rFonts w:ascii="Calibri" w:hAnsi="Calibri" w:cs="Calibri"/>
          <w:i/>
          <w:iCs/>
          <w:noProof/>
          <w:szCs w:val="24"/>
        </w:rPr>
        <w:t>et al.</w:t>
      </w:r>
      <w:r w:rsidRPr="007C7543">
        <w:rPr>
          <w:rFonts w:ascii="Calibri" w:hAnsi="Calibri" w:cs="Calibri"/>
          <w:noProof/>
          <w:szCs w:val="24"/>
        </w:rPr>
        <w:t xml:space="preserve">, “Crizotinib in ROS1-rearranged advanced non-small-cell lung cancer (NSCLC): updated results, including overall survival, from PROFILE 1001,” </w:t>
      </w:r>
      <w:r w:rsidRPr="007C7543">
        <w:rPr>
          <w:rFonts w:ascii="Calibri" w:hAnsi="Calibri" w:cs="Calibri"/>
          <w:i/>
          <w:iCs/>
          <w:noProof/>
          <w:szCs w:val="24"/>
        </w:rPr>
        <w:t>Ann. Oncol.</w:t>
      </w:r>
      <w:r w:rsidRPr="007C7543">
        <w:rPr>
          <w:rFonts w:ascii="Calibri" w:hAnsi="Calibri" w:cs="Calibri"/>
          <w:noProof/>
          <w:szCs w:val="24"/>
        </w:rPr>
        <w:t>, vol. 30, no. 7, pp. 1121–1126, Jul. 2019, doi: 10.1093/annonc/mdz131.</w:t>
      </w:r>
    </w:p>
    <w:p w14:paraId="1160EE39"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[72]</w:t>
      </w:r>
      <w:r w:rsidRPr="007C7543">
        <w:rPr>
          <w:rFonts w:ascii="Calibri" w:hAnsi="Calibri" w:cs="Calibri"/>
          <w:noProof/>
          <w:szCs w:val="24"/>
        </w:rPr>
        <w:tab/>
        <w:t xml:space="preserve">R. J. Kelly, “Dabrafenib and trametinib for the treatment of non-small cell lung cancer,” </w:t>
      </w:r>
      <w:r w:rsidRPr="007C7543">
        <w:rPr>
          <w:rFonts w:ascii="Calibri" w:hAnsi="Calibri" w:cs="Calibri"/>
          <w:i/>
          <w:iCs/>
          <w:noProof/>
          <w:szCs w:val="24"/>
        </w:rPr>
        <w:t>Expert Rev. Anticancer Ther.</w:t>
      </w:r>
      <w:r w:rsidRPr="007C7543">
        <w:rPr>
          <w:rFonts w:ascii="Calibri" w:hAnsi="Calibri" w:cs="Calibri"/>
          <w:noProof/>
          <w:szCs w:val="24"/>
        </w:rPr>
        <w:t>, vol. 18, no. 11, pp. 1063–1068, Nov. 2018, doi: 10.1080/14737140.2018.1521272.</w:t>
      </w:r>
    </w:p>
    <w:p w14:paraId="4E9FC02C"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[73]</w:t>
      </w:r>
      <w:r w:rsidRPr="007C7543">
        <w:rPr>
          <w:rFonts w:ascii="Calibri" w:hAnsi="Calibri" w:cs="Calibri"/>
          <w:noProof/>
          <w:szCs w:val="24"/>
        </w:rPr>
        <w:tab/>
        <w:t xml:space="preserve">D. S. Hong </w:t>
      </w:r>
      <w:r w:rsidRPr="007C7543">
        <w:rPr>
          <w:rFonts w:ascii="Calibri" w:hAnsi="Calibri" w:cs="Calibri"/>
          <w:i/>
          <w:iCs/>
          <w:noProof/>
          <w:szCs w:val="24"/>
        </w:rPr>
        <w:t>et al.</w:t>
      </w:r>
      <w:r w:rsidRPr="007C7543">
        <w:rPr>
          <w:rFonts w:ascii="Calibri" w:hAnsi="Calibri" w:cs="Calibri"/>
          <w:noProof/>
          <w:szCs w:val="24"/>
        </w:rPr>
        <w:t xml:space="preserve">, “Larotrectinib in patients with TRK fusion-positive solid tumours: a pooled analysis of three phase 1/2 clinical trials.,” </w:t>
      </w:r>
      <w:r w:rsidRPr="007C7543">
        <w:rPr>
          <w:rFonts w:ascii="Calibri" w:hAnsi="Calibri" w:cs="Calibri"/>
          <w:i/>
          <w:iCs/>
          <w:noProof/>
          <w:szCs w:val="24"/>
        </w:rPr>
        <w:t>Lancet. Oncol.</w:t>
      </w:r>
      <w:r w:rsidRPr="007C7543">
        <w:rPr>
          <w:rFonts w:ascii="Calibri" w:hAnsi="Calibri" w:cs="Calibri"/>
          <w:noProof/>
          <w:szCs w:val="24"/>
        </w:rPr>
        <w:t>, vol. 21, no. 4, pp. 531–540, Apr. 2020, doi: 10.1016/S1470-2045(19)30856-3.</w:t>
      </w:r>
    </w:p>
    <w:p w14:paraId="619C2C0D" w14:textId="77777777" w:rsidR="007C7543" w:rsidRPr="007C7543" w:rsidRDefault="007C7543" w:rsidP="007C7543">
      <w:pPr>
        <w:widowControl w:val="0"/>
        <w:autoSpaceDE w:val="0"/>
        <w:autoSpaceDN w:val="0"/>
        <w:adjustRightInd w:val="0"/>
        <w:spacing w:after="0" w:line="480" w:lineRule="auto"/>
        <w:ind w:left="640" w:hanging="640"/>
        <w:rPr>
          <w:rFonts w:ascii="Calibri" w:hAnsi="Calibri" w:cs="Calibri"/>
          <w:noProof/>
          <w:szCs w:val="24"/>
        </w:rPr>
      </w:pPr>
      <w:r w:rsidRPr="007C7543">
        <w:rPr>
          <w:rFonts w:ascii="Calibri" w:hAnsi="Calibri" w:cs="Calibri"/>
          <w:noProof/>
          <w:szCs w:val="24"/>
        </w:rPr>
        <w:t>[74]</w:t>
      </w:r>
      <w:r w:rsidRPr="007C7543">
        <w:rPr>
          <w:rFonts w:ascii="Calibri" w:hAnsi="Calibri" w:cs="Calibri"/>
          <w:noProof/>
          <w:szCs w:val="24"/>
        </w:rPr>
        <w:tab/>
        <w:t xml:space="preserve">A. T. Shaw </w:t>
      </w:r>
      <w:r w:rsidRPr="007C7543">
        <w:rPr>
          <w:rFonts w:ascii="Calibri" w:hAnsi="Calibri" w:cs="Calibri"/>
          <w:i/>
          <w:iCs/>
          <w:noProof/>
          <w:szCs w:val="24"/>
        </w:rPr>
        <w:t>et al.</w:t>
      </w:r>
      <w:r w:rsidRPr="007C7543">
        <w:rPr>
          <w:rFonts w:ascii="Calibri" w:hAnsi="Calibri" w:cs="Calibri"/>
          <w:noProof/>
          <w:szCs w:val="24"/>
        </w:rPr>
        <w:t xml:space="preserve">, “Crizotinib versus Chemotherapy in Advanced ALK -Positive Lung Cancer,” </w:t>
      </w:r>
      <w:r w:rsidRPr="007C7543">
        <w:rPr>
          <w:rFonts w:ascii="Calibri" w:hAnsi="Calibri" w:cs="Calibri"/>
          <w:i/>
          <w:iCs/>
          <w:noProof/>
          <w:szCs w:val="24"/>
        </w:rPr>
        <w:t>N. Engl. J. Med.</w:t>
      </w:r>
      <w:r w:rsidRPr="007C7543">
        <w:rPr>
          <w:rFonts w:ascii="Calibri" w:hAnsi="Calibri" w:cs="Calibri"/>
          <w:noProof/>
          <w:szCs w:val="24"/>
        </w:rPr>
        <w:t>, vol. 368, no. 25, pp. 2385–2394, Jun. 2013, doi: 10.1056/NEJMoa1214886.</w:t>
      </w:r>
    </w:p>
    <w:p w14:paraId="5CE01F40" w14:textId="47588254" w:rsidR="00037E49" w:rsidRPr="00A62CD9" w:rsidRDefault="007C7543" w:rsidP="001B4458">
      <w:pPr>
        <w:widowControl w:val="0"/>
        <w:autoSpaceDE w:val="0"/>
        <w:autoSpaceDN w:val="0"/>
        <w:adjustRightInd w:val="0"/>
        <w:spacing w:after="0" w:line="480" w:lineRule="auto"/>
        <w:ind w:left="640" w:hanging="640"/>
        <w:rPr>
          <w:b/>
        </w:rPr>
      </w:pPr>
      <w:r w:rsidRPr="007C7543">
        <w:rPr>
          <w:rFonts w:ascii="Calibri" w:hAnsi="Calibri" w:cs="Calibri"/>
          <w:noProof/>
          <w:szCs w:val="24"/>
        </w:rPr>
        <w:t>[75]</w:t>
      </w:r>
      <w:r w:rsidRPr="007C7543">
        <w:rPr>
          <w:rFonts w:ascii="Calibri" w:hAnsi="Calibri" w:cs="Calibri"/>
          <w:noProof/>
          <w:szCs w:val="24"/>
        </w:rPr>
        <w:tab/>
        <w:t xml:space="preserve">S. Gadgeel </w:t>
      </w:r>
      <w:r w:rsidRPr="007C7543">
        <w:rPr>
          <w:rFonts w:ascii="Calibri" w:hAnsi="Calibri" w:cs="Calibri"/>
          <w:i/>
          <w:iCs/>
          <w:noProof/>
          <w:szCs w:val="24"/>
        </w:rPr>
        <w:t>et al.</w:t>
      </w:r>
      <w:r w:rsidRPr="007C7543">
        <w:rPr>
          <w:rFonts w:ascii="Calibri" w:hAnsi="Calibri" w:cs="Calibri"/>
          <w:noProof/>
          <w:szCs w:val="24"/>
        </w:rPr>
        <w:t xml:space="preserve">, “Updated Analysis From KEYNOTE-189: Pembrolizumab or Placebo Plus Pemetrexed and Platinum for Previously Untreated Metastatic Nonsquamous Non–Small-Cell Lung Cancer,” </w:t>
      </w:r>
      <w:r w:rsidRPr="007C7543">
        <w:rPr>
          <w:rFonts w:ascii="Calibri" w:hAnsi="Calibri" w:cs="Calibri"/>
          <w:i/>
          <w:iCs/>
          <w:noProof/>
          <w:szCs w:val="24"/>
        </w:rPr>
        <w:t>J. Clin. Oncol.</w:t>
      </w:r>
      <w:r w:rsidRPr="007C7543">
        <w:rPr>
          <w:rFonts w:ascii="Calibri" w:hAnsi="Calibri" w:cs="Calibri"/>
          <w:noProof/>
          <w:szCs w:val="24"/>
        </w:rPr>
        <w:t>, vol. 38, no. 14, pp. 1505–1517, May 2020, doi: 10.1200/JCO.19.03136.</w:t>
      </w:r>
      <w:r w:rsidR="006308E1" w:rsidRPr="00A62CD9">
        <w:rPr>
          <w:b/>
        </w:rPr>
        <w:fldChar w:fldCharType="end"/>
      </w:r>
      <w:bookmarkStart w:id="9" w:name="_GoBack"/>
      <w:bookmarkEnd w:id="9"/>
    </w:p>
    <w:sectPr w:rsidR="00037E49" w:rsidRPr="00A62CD9" w:rsidSect="002F537C">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4F881" w14:textId="77777777" w:rsidR="001F4330" w:rsidRDefault="001F4330" w:rsidP="00A4264F">
      <w:pPr>
        <w:spacing w:after="0" w:line="240" w:lineRule="auto"/>
      </w:pPr>
      <w:r>
        <w:separator/>
      </w:r>
    </w:p>
  </w:endnote>
  <w:endnote w:type="continuationSeparator" w:id="0">
    <w:p w14:paraId="0358B478" w14:textId="77777777" w:rsidR="001F4330" w:rsidRDefault="001F4330" w:rsidP="00A42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dvOT1c339561">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0730414"/>
      <w:docPartObj>
        <w:docPartGallery w:val="Page Numbers (Bottom of Page)"/>
        <w:docPartUnique/>
      </w:docPartObj>
    </w:sdtPr>
    <w:sdtEndPr>
      <w:rPr>
        <w:noProof/>
      </w:rPr>
    </w:sdtEndPr>
    <w:sdtContent>
      <w:p w14:paraId="31169132" w14:textId="4B2172F4" w:rsidR="001D7C95" w:rsidRDefault="001D7C95">
        <w:pPr>
          <w:pStyle w:val="Footer"/>
          <w:jc w:val="center"/>
        </w:pPr>
        <w:r>
          <w:fldChar w:fldCharType="begin"/>
        </w:r>
        <w:r>
          <w:instrText xml:space="preserve"> PAGE   \* MERGEFORMAT </w:instrText>
        </w:r>
        <w:r>
          <w:fldChar w:fldCharType="separate"/>
        </w:r>
        <w:r w:rsidR="001B4458">
          <w:rPr>
            <w:noProof/>
          </w:rPr>
          <w:t>31</w:t>
        </w:r>
        <w:r>
          <w:rPr>
            <w:noProof/>
          </w:rPr>
          <w:fldChar w:fldCharType="end"/>
        </w:r>
      </w:p>
    </w:sdtContent>
  </w:sdt>
  <w:p w14:paraId="49CCE815" w14:textId="77777777" w:rsidR="001D7C95" w:rsidRDefault="001D7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1B6A4" w14:textId="77777777" w:rsidR="001F4330" w:rsidRDefault="001F4330" w:rsidP="00A4264F">
      <w:pPr>
        <w:spacing w:after="0" w:line="240" w:lineRule="auto"/>
      </w:pPr>
      <w:r>
        <w:separator/>
      </w:r>
    </w:p>
  </w:footnote>
  <w:footnote w:type="continuationSeparator" w:id="0">
    <w:p w14:paraId="48495364" w14:textId="77777777" w:rsidR="001F4330" w:rsidRDefault="001F4330" w:rsidP="00A42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6673B"/>
    <w:multiLevelType w:val="hybridMultilevel"/>
    <w:tmpl w:val="004CA9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0353B4"/>
    <w:multiLevelType w:val="multilevel"/>
    <w:tmpl w:val="4B14A526"/>
    <w:lvl w:ilvl="0">
      <w:start w:val="3"/>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 w15:restartNumberingAfterBreak="0">
    <w:nsid w:val="0A6F0870"/>
    <w:multiLevelType w:val="multilevel"/>
    <w:tmpl w:val="A1AE2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F1744"/>
    <w:multiLevelType w:val="hybridMultilevel"/>
    <w:tmpl w:val="66CAB052"/>
    <w:lvl w:ilvl="0" w:tplc="390008C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02016D"/>
    <w:multiLevelType w:val="multilevel"/>
    <w:tmpl w:val="E228B9B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14860A71"/>
    <w:multiLevelType w:val="multilevel"/>
    <w:tmpl w:val="A6B610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AA63D8"/>
    <w:multiLevelType w:val="multilevel"/>
    <w:tmpl w:val="5AF84E6E"/>
    <w:lvl w:ilvl="0">
      <w:start w:val="1"/>
      <w:numFmt w:val="decimal"/>
      <w:lvlText w:val="%1."/>
      <w:lvlJc w:val="left"/>
      <w:pPr>
        <w:ind w:left="786" w:hanging="360"/>
      </w:pPr>
      <w:rPr>
        <w:rFonts w:hint="default"/>
      </w:rPr>
    </w:lvl>
    <w:lvl w:ilvl="1">
      <w:start w:val="1"/>
      <w:numFmt w:val="none"/>
      <w:isLgl/>
      <w:lvlText w:val="3.3"/>
      <w:lvlJc w:val="left"/>
      <w:pPr>
        <w:ind w:left="1211"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7" w15:restartNumberingAfterBreak="0">
    <w:nsid w:val="19057E6E"/>
    <w:multiLevelType w:val="hybridMultilevel"/>
    <w:tmpl w:val="0FCC52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1947E5"/>
    <w:multiLevelType w:val="hybridMultilevel"/>
    <w:tmpl w:val="E6DC42FA"/>
    <w:lvl w:ilvl="0" w:tplc="FCCA8B3C">
      <w:start w:val="1"/>
      <w:numFmt w:val="upperRoman"/>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3C55CE"/>
    <w:multiLevelType w:val="hybridMultilevel"/>
    <w:tmpl w:val="27A677EA"/>
    <w:lvl w:ilvl="0" w:tplc="21669B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B70915"/>
    <w:multiLevelType w:val="hybridMultilevel"/>
    <w:tmpl w:val="C01A1F26"/>
    <w:lvl w:ilvl="0" w:tplc="179C022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1E17DC"/>
    <w:multiLevelType w:val="hybridMultilevel"/>
    <w:tmpl w:val="7E006C48"/>
    <w:lvl w:ilvl="0" w:tplc="0EE246D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7A4B2C"/>
    <w:multiLevelType w:val="hybridMultilevel"/>
    <w:tmpl w:val="918073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A70761"/>
    <w:multiLevelType w:val="multilevel"/>
    <w:tmpl w:val="9876653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FF21BD8"/>
    <w:multiLevelType w:val="hybridMultilevel"/>
    <w:tmpl w:val="DD9E7E90"/>
    <w:lvl w:ilvl="0" w:tplc="04130019">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5" w15:restartNumberingAfterBreak="0">
    <w:nsid w:val="399543F7"/>
    <w:multiLevelType w:val="hybridMultilevel"/>
    <w:tmpl w:val="C884F95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9B87EC0"/>
    <w:multiLevelType w:val="hybridMultilevel"/>
    <w:tmpl w:val="7BEA29DE"/>
    <w:lvl w:ilvl="0" w:tplc="51FC9F6C">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DB3FFA"/>
    <w:multiLevelType w:val="hybridMultilevel"/>
    <w:tmpl w:val="AF0C104A"/>
    <w:lvl w:ilvl="0" w:tplc="C7EE8DF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E578A0"/>
    <w:multiLevelType w:val="hybridMultilevel"/>
    <w:tmpl w:val="688E6C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E1A38D6"/>
    <w:multiLevelType w:val="multilevel"/>
    <w:tmpl w:val="17965CBC"/>
    <w:lvl w:ilvl="0">
      <w:start w:val="1"/>
      <w:numFmt w:val="decimal"/>
      <w:lvlText w:val="%1."/>
      <w:lvlJc w:val="left"/>
      <w:pPr>
        <w:ind w:left="786"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20" w15:restartNumberingAfterBreak="0">
    <w:nsid w:val="3EB55580"/>
    <w:multiLevelType w:val="hybridMultilevel"/>
    <w:tmpl w:val="B38A321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706622"/>
    <w:multiLevelType w:val="multilevel"/>
    <w:tmpl w:val="17965CBC"/>
    <w:lvl w:ilvl="0">
      <w:start w:val="1"/>
      <w:numFmt w:val="decimal"/>
      <w:lvlText w:val="%1."/>
      <w:lvlJc w:val="left"/>
      <w:pPr>
        <w:ind w:left="786"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22" w15:restartNumberingAfterBreak="0">
    <w:nsid w:val="40024FAA"/>
    <w:multiLevelType w:val="hybridMultilevel"/>
    <w:tmpl w:val="0B7E3B7C"/>
    <w:lvl w:ilvl="0" w:tplc="8826973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1C309D4"/>
    <w:multiLevelType w:val="hybridMultilevel"/>
    <w:tmpl w:val="BF3AC5A2"/>
    <w:lvl w:ilvl="0" w:tplc="3BF2176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1FF0BF9"/>
    <w:multiLevelType w:val="multilevel"/>
    <w:tmpl w:val="17965CBC"/>
    <w:lvl w:ilvl="0">
      <w:start w:val="1"/>
      <w:numFmt w:val="decimal"/>
      <w:lvlText w:val="%1."/>
      <w:lvlJc w:val="left"/>
      <w:pPr>
        <w:ind w:left="786"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25" w15:restartNumberingAfterBreak="0">
    <w:nsid w:val="42544B48"/>
    <w:multiLevelType w:val="hybridMultilevel"/>
    <w:tmpl w:val="ADCE6AEE"/>
    <w:lvl w:ilvl="0" w:tplc="F148F2A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35C6E17"/>
    <w:multiLevelType w:val="multilevel"/>
    <w:tmpl w:val="17965CBC"/>
    <w:lvl w:ilvl="0">
      <w:start w:val="1"/>
      <w:numFmt w:val="decimal"/>
      <w:lvlText w:val="%1."/>
      <w:lvlJc w:val="left"/>
      <w:pPr>
        <w:ind w:left="786"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27" w15:restartNumberingAfterBreak="0">
    <w:nsid w:val="460F68E5"/>
    <w:multiLevelType w:val="hybridMultilevel"/>
    <w:tmpl w:val="B9F0C98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9200B0E"/>
    <w:multiLevelType w:val="hybridMultilevel"/>
    <w:tmpl w:val="8282247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AD76111"/>
    <w:multiLevelType w:val="hybridMultilevel"/>
    <w:tmpl w:val="2ED65318"/>
    <w:lvl w:ilvl="0" w:tplc="247401E6">
      <w:start w:val="17"/>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E636911"/>
    <w:multiLevelType w:val="multilevel"/>
    <w:tmpl w:val="E228B9B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5BAD510E"/>
    <w:multiLevelType w:val="hybridMultilevel"/>
    <w:tmpl w:val="40B83E92"/>
    <w:lvl w:ilvl="0" w:tplc="E55A5236">
      <w:start w:val="1"/>
      <w:numFmt w:val="upperRoman"/>
      <w:lvlText w:val="%1."/>
      <w:lvlJc w:val="left"/>
      <w:pPr>
        <w:ind w:left="1080" w:hanging="720"/>
      </w:pPr>
      <w:rPr>
        <w:rFonts w:hint="default"/>
      </w:rPr>
    </w:lvl>
    <w:lvl w:ilvl="1" w:tplc="04130019">
      <w:start w:val="1"/>
      <w:numFmt w:val="lowerLetter"/>
      <w:lvlText w:val="%2."/>
      <w:lvlJc w:val="left"/>
      <w:pPr>
        <w:ind w:left="1353"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DE5A3F"/>
    <w:multiLevelType w:val="hybridMultilevel"/>
    <w:tmpl w:val="B1EC3C76"/>
    <w:lvl w:ilvl="0" w:tplc="650AC74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3CF4C0E"/>
    <w:multiLevelType w:val="hybridMultilevel"/>
    <w:tmpl w:val="1D1637CE"/>
    <w:lvl w:ilvl="0" w:tplc="F76A67B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45130C6"/>
    <w:multiLevelType w:val="hybridMultilevel"/>
    <w:tmpl w:val="1A324E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47F27C1"/>
    <w:multiLevelType w:val="multilevel"/>
    <w:tmpl w:val="5B2AD7D6"/>
    <w:lvl w:ilvl="0">
      <w:start w:val="1"/>
      <w:numFmt w:val="decimal"/>
      <w:lvlText w:val="%1."/>
      <w:lvlJc w:val="left"/>
      <w:pPr>
        <w:ind w:left="786" w:hanging="360"/>
      </w:pPr>
      <w:rPr>
        <w:rFonts w:hint="default"/>
      </w:rPr>
    </w:lvl>
    <w:lvl w:ilvl="1">
      <w:start w:val="1"/>
      <w:numFmt w:val="decimal"/>
      <w:isLgl/>
      <w:lvlText w:val="%1.%2"/>
      <w:lvlJc w:val="left"/>
      <w:pPr>
        <w:ind w:left="1070" w:hanging="360"/>
      </w:pPr>
      <w:rPr>
        <w:rFonts w:hint="default"/>
        <w:vertAlign w:val="baseline"/>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36" w15:restartNumberingAfterBreak="0">
    <w:nsid w:val="65EC526F"/>
    <w:multiLevelType w:val="hybridMultilevel"/>
    <w:tmpl w:val="5EBA9F30"/>
    <w:lvl w:ilvl="0" w:tplc="DB08564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B97816"/>
    <w:multiLevelType w:val="multilevel"/>
    <w:tmpl w:val="4B14A526"/>
    <w:lvl w:ilvl="0">
      <w:start w:val="3"/>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8" w15:restartNumberingAfterBreak="0">
    <w:nsid w:val="6E091856"/>
    <w:multiLevelType w:val="hybridMultilevel"/>
    <w:tmpl w:val="524229F0"/>
    <w:lvl w:ilvl="0" w:tplc="FEE4109A">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6A27FC"/>
    <w:multiLevelType w:val="multilevel"/>
    <w:tmpl w:val="15281B6A"/>
    <w:lvl w:ilvl="0">
      <w:start w:val="1"/>
      <w:numFmt w:val="decimal"/>
      <w:lvlText w:val="%1."/>
      <w:lvlJc w:val="left"/>
      <w:pPr>
        <w:ind w:left="78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40" w15:restartNumberingAfterBreak="0">
    <w:nsid w:val="71DB1FB4"/>
    <w:multiLevelType w:val="multilevel"/>
    <w:tmpl w:val="E9482CE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77C63122"/>
    <w:multiLevelType w:val="hybridMultilevel"/>
    <w:tmpl w:val="1204834C"/>
    <w:lvl w:ilvl="0" w:tplc="FA787B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F120D5"/>
    <w:multiLevelType w:val="hybridMultilevel"/>
    <w:tmpl w:val="9F1EC1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11267B"/>
    <w:multiLevelType w:val="multilevel"/>
    <w:tmpl w:val="F7505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FE199D"/>
    <w:multiLevelType w:val="hybridMultilevel"/>
    <w:tmpl w:val="8D72F2B8"/>
    <w:lvl w:ilvl="0" w:tplc="46AC97A8">
      <w:numFmt w:val="bullet"/>
      <w:lvlText w:val="-"/>
      <w:lvlJc w:val="left"/>
      <w:pPr>
        <w:ind w:left="405" w:hanging="360"/>
      </w:pPr>
      <w:rPr>
        <w:rFonts w:ascii="Calibri" w:eastAsiaTheme="minorHAnsi" w:hAnsi="Calibri" w:cstheme="minorBidi" w:hint="default"/>
      </w:rPr>
    </w:lvl>
    <w:lvl w:ilvl="1" w:tplc="04130003">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45" w15:restartNumberingAfterBreak="0">
    <w:nsid w:val="7F040A56"/>
    <w:multiLevelType w:val="hybridMultilevel"/>
    <w:tmpl w:val="3B3850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9"/>
  </w:num>
  <w:num w:numId="2">
    <w:abstractNumId w:val="33"/>
  </w:num>
  <w:num w:numId="3">
    <w:abstractNumId w:val="22"/>
  </w:num>
  <w:num w:numId="4">
    <w:abstractNumId w:val="34"/>
  </w:num>
  <w:num w:numId="5">
    <w:abstractNumId w:val="28"/>
  </w:num>
  <w:num w:numId="6">
    <w:abstractNumId w:val="32"/>
  </w:num>
  <w:num w:numId="7">
    <w:abstractNumId w:val="12"/>
  </w:num>
  <w:num w:numId="8">
    <w:abstractNumId w:val="14"/>
  </w:num>
  <w:num w:numId="9">
    <w:abstractNumId w:val="18"/>
  </w:num>
  <w:num w:numId="10">
    <w:abstractNumId w:val="20"/>
  </w:num>
  <w:num w:numId="11">
    <w:abstractNumId w:val="31"/>
  </w:num>
  <w:num w:numId="12">
    <w:abstractNumId w:val="15"/>
  </w:num>
  <w:num w:numId="13">
    <w:abstractNumId w:val="8"/>
  </w:num>
  <w:num w:numId="14">
    <w:abstractNumId w:val="7"/>
  </w:num>
  <w:num w:numId="15">
    <w:abstractNumId w:val="17"/>
  </w:num>
  <w:num w:numId="16">
    <w:abstractNumId w:val="23"/>
  </w:num>
  <w:num w:numId="17">
    <w:abstractNumId w:val="44"/>
  </w:num>
  <w:num w:numId="18">
    <w:abstractNumId w:val="25"/>
  </w:num>
  <w:num w:numId="19">
    <w:abstractNumId w:val="16"/>
  </w:num>
  <w:num w:numId="20">
    <w:abstractNumId w:val="11"/>
  </w:num>
  <w:num w:numId="21">
    <w:abstractNumId w:val="45"/>
  </w:num>
  <w:num w:numId="22">
    <w:abstractNumId w:val="2"/>
  </w:num>
  <w:num w:numId="23">
    <w:abstractNumId w:val="35"/>
  </w:num>
  <w:num w:numId="24">
    <w:abstractNumId w:val="27"/>
  </w:num>
  <w:num w:numId="25">
    <w:abstractNumId w:val="4"/>
  </w:num>
  <w:num w:numId="26">
    <w:abstractNumId w:val="13"/>
  </w:num>
  <w:num w:numId="27">
    <w:abstractNumId w:val="1"/>
  </w:num>
  <w:num w:numId="28">
    <w:abstractNumId w:val="37"/>
  </w:num>
  <w:num w:numId="29">
    <w:abstractNumId w:val="19"/>
  </w:num>
  <w:num w:numId="30">
    <w:abstractNumId w:val="26"/>
  </w:num>
  <w:num w:numId="31">
    <w:abstractNumId w:val="30"/>
  </w:num>
  <w:num w:numId="32">
    <w:abstractNumId w:val="10"/>
  </w:num>
  <w:num w:numId="33">
    <w:abstractNumId w:val="43"/>
  </w:num>
  <w:num w:numId="34">
    <w:abstractNumId w:val="3"/>
  </w:num>
  <w:num w:numId="35">
    <w:abstractNumId w:val="9"/>
  </w:num>
  <w:num w:numId="36">
    <w:abstractNumId w:val="42"/>
  </w:num>
  <w:num w:numId="37">
    <w:abstractNumId w:val="21"/>
  </w:num>
  <w:num w:numId="38">
    <w:abstractNumId w:val="24"/>
  </w:num>
  <w:num w:numId="39">
    <w:abstractNumId w:val="6"/>
  </w:num>
  <w:num w:numId="40">
    <w:abstractNumId w:val="41"/>
  </w:num>
  <w:num w:numId="41">
    <w:abstractNumId w:val="5"/>
  </w:num>
  <w:num w:numId="42">
    <w:abstractNumId w:val="40"/>
  </w:num>
  <w:num w:numId="43">
    <w:abstractNumId w:val="36"/>
  </w:num>
  <w:num w:numId="44">
    <w:abstractNumId w:val="38"/>
  </w:num>
  <w:num w:numId="45">
    <w:abstractNumId w:val="0"/>
  </w:num>
  <w:num w:numId="46">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fumbilwa, Z.A. (Zakile)">
    <w15:presenceInfo w15:providerId="None" w15:userId="Mfumbilwa, Z.A. (Zaki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en-US" w:vendorID="64" w:dllVersion="6" w:nlCheck="1" w:checkStyle="0"/>
  <w:activeWritingStyle w:appName="MSWord" w:lang="nl-NL" w:vendorID="64" w:dllVersion="6" w:nlCheck="1" w:checkStyle="0"/>
  <w:activeWritingStyle w:appName="MSWord" w:lang="en-US" w:vendorID="64" w:dllVersion="4096" w:nlCheck="1" w:checkStyle="0"/>
  <w:activeWritingStyle w:appName="MSWord" w:lang="nl-NL"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nl-NL" w:vendorID="64" w:dllVersion="0" w:nlCheck="1" w:checkStyle="0"/>
  <w:activeWritingStyle w:appName="MSWord" w:lang="en-GB" w:vendorID="64" w:dllVersion="0"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092"/>
    <w:rsid w:val="00000C9B"/>
    <w:rsid w:val="00000D68"/>
    <w:rsid w:val="00000E9A"/>
    <w:rsid w:val="0000165A"/>
    <w:rsid w:val="00001EB9"/>
    <w:rsid w:val="000023C6"/>
    <w:rsid w:val="00002C6C"/>
    <w:rsid w:val="00002FE1"/>
    <w:rsid w:val="000037B4"/>
    <w:rsid w:val="00004134"/>
    <w:rsid w:val="00005693"/>
    <w:rsid w:val="0000721B"/>
    <w:rsid w:val="000077B4"/>
    <w:rsid w:val="00007A3D"/>
    <w:rsid w:val="00007ADE"/>
    <w:rsid w:val="000104E5"/>
    <w:rsid w:val="00010AC6"/>
    <w:rsid w:val="000118A8"/>
    <w:rsid w:val="00011FCF"/>
    <w:rsid w:val="00013B8A"/>
    <w:rsid w:val="000140A1"/>
    <w:rsid w:val="000147E4"/>
    <w:rsid w:val="00014BA1"/>
    <w:rsid w:val="0001505E"/>
    <w:rsid w:val="00015399"/>
    <w:rsid w:val="000154A5"/>
    <w:rsid w:val="00015578"/>
    <w:rsid w:val="00015721"/>
    <w:rsid w:val="00016D44"/>
    <w:rsid w:val="00017552"/>
    <w:rsid w:val="000201DA"/>
    <w:rsid w:val="0002273C"/>
    <w:rsid w:val="00023BF4"/>
    <w:rsid w:val="00024E18"/>
    <w:rsid w:val="00025331"/>
    <w:rsid w:val="0002559C"/>
    <w:rsid w:val="00025CF9"/>
    <w:rsid w:val="00026720"/>
    <w:rsid w:val="00026C85"/>
    <w:rsid w:val="0002702B"/>
    <w:rsid w:val="000313A0"/>
    <w:rsid w:val="000316C3"/>
    <w:rsid w:val="0003385C"/>
    <w:rsid w:val="00033C48"/>
    <w:rsid w:val="000343A4"/>
    <w:rsid w:val="00034675"/>
    <w:rsid w:val="00034E73"/>
    <w:rsid w:val="000350E2"/>
    <w:rsid w:val="00035934"/>
    <w:rsid w:val="00037099"/>
    <w:rsid w:val="00037232"/>
    <w:rsid w:val="0003777C"/>
    <w:rsid w:val="0003791E"/>
    <w:rsid w:val="00037E49"/>
    <w:rsid w:val="00040559"/>
    <w:rsid w:val="00040E50"/>
    <w:rsid w:val="000412F7"/>
    <w:rsid w:val="00043082"/>
    <w:rsid w:val="000430B5"/>
    <w:rsid w:val="000431A4"/>
    <w:rsid w:val="0004433E"/>
    <w:rsid w:val="00045B8C"/>
    <w:rsid w:val="000471A8"/>
    <w:rsid w:val="00047818"/>
    <w:rsid w:val="000479D4"/>
    <w:rsid w:val="00047B50"/>
    <w:rsid w:val="00047F97"/>
    <w:rsid w:val="000505DA"/>
    <w:rsid w:val="000518DF"/>
    <w:rsid w:val="000523E0"/>
    <w:rsid w:val="00052CF7"/>
    <w:rsid w:val="00053777"/>
    <w:rsid w:val="00053E51"/>
    <w:rsid w:val="0005672C"/>
    <w:rsid w:val="00056AEC"/>
    <w:rsid w:val="00057198"/>
    <w:rsid w:val="000603B4"/>
    <w:rsid w:val="00060F84"/>
    <w:rsid w:val="00060FC9"/>
    <w:rsid w:val="0006119A"/>
    <w:rsid w:val="00061504"/>
    <w:rsid w:val="00061CE4"/>
    <w:rsid w:val="00062FE8"/>
    <w:rsid w:val="00063841"/>
    <w:rsid w:val="00063C8A"/>
    <w:rsid w:val="00063F5C"/>
    <w:rsid w:val="00063FBA"/>
    <w:rsid w:val="0006453E"/>
    <w:rsid w:val="000649B1"/>
    <w:rsid w:val="00065118"/>
    <w:rsid w:val="00065EC9"/>
    <w:rsid w:val="0006659D"/>
    <w:rsid w:val="00066731"/>
    <w:rsid w:val="00067242"/>
    <w:rsid w:val="000679E6"/>
    <w:rsid w:val="00070BBB"/>
    <w:rsid w:val="000717DF"/>
    <w:rsid w:val="000724D0"/>
    <w:rsid w:val="000729D4"/>
    <w:rsid w:val="0007340B"/>
    <w:rsid w:val="000747E7"/>
    <w:rsid w:val="00074ED9"/>
    <w:rsid w:val="000756CE"/>
    <w:rsid w:val="000760B1"/>
    <w:rsid w:val="000766CE"/>
    <w:rsid w:val="0007671E"/>
    <w:rsid w:val="00076C30"/>
    <w:rsid w:val="00080A10"/>
    <w:rsid w:val="00080C08"/>
    <w:rsid w:val="00081120"/>
    <w:rsid w:val="00081414"/>
    <w:rsid w:val="0008175B"/>
    <w:rsid w:val="00081B63"/>
    <w:rsid w:val="00082796"/>
    <w:rsid w:val="000830F3"/>
    <w:rsid w:val="00083105"/>
    <w:rsid w:val="0008311B"/>
    <w:rsid w:val="00083ED2"/>
    <w:rsid w:val="00083F7A"/>
    <w:rsid w:val="00084EDB"/>
    <w:rsid w:val="00085386"/>
    <w:rsid w:val="00085BF3"/>
    <w:rsid w:val="00086310"/>
    <w:rsid w:val="00086444"/>
    <w:rsid w:val="00086E74"/>
    <w:rsid w:val="0008732F"/>
    <w:rsid w:val="000875BF"/>
    <w:rsid w:val="000879F5"/>
    <w:rsid w:val="00087EA6"/>
    <w:rsid w:val="00090420"/>
    <w:rsid w:val="00092102"/>
    <w:rsid w:val="000926E8"/>
    <w:rsid w:val="00092E10"/>
    <w:rsid w:val="00093112"/>
    <w:rsid w:val="000936FB"/>
    <w:rsid w:val="00093C96"/>
    <w:rsid w:val="00094836"/>
    <w:rsid w:val="000948F8"/>
    <w:rsid w:val="00094C6B"/>
    <w:rsid w:val="00094FE1"/>
    <w:rsid w:val="00096417"/>
    <w:rsid w:val="000968C3"/>
    <w:rsid w:val="00097819"/>
    <w:rsid w:val="000A0DE5"/>
    <w:rsid w:val="000A25D8"/>
    <w:rsid w:val="000A3CBC"/>
    <w:rsid w:val="000A474A"/>
    <w:rsid w:val="000A5309"/>
    <w:rsid w:val="000A5966"/>
    <w:rsid w:val="000A681B"/>
    <w:rsid w:val="000A68E7"/>
    <w:rsid w:val="000A6C8B"/>
    <w:rsid w:val="000A6D90"/>
    <w:rsid w:val="000A7278"/>
    <w:rsid w:val="000B0610"/>
    <w:rsid w:val="000B1745"/>
    <w:rsid w:val="000B1FFA"/>
    <w:rsid w:val="000B255D"/>
    <w:rsid w:val="000B34BB"/>
    <w:rsid w:val="000B36CB"/>
    <w:rsid w:val="000B37A1"/>
    <w:rsid w:val="000B46CA"/>
    <w:rsid w:val="000B523E"/>
    <w:rsid w:val="000B5308"/>
    <w:rsid w:val="000B5481"/>
    <w:rsid w:val="000B5A6A"/>
    <w:rsid w:val="000B63F3"/>
    <w:rsid w:val="000B6BA0"/>
    <w:rsid w:val="000B75BB"/>
    <w:rsid w:val="000C0499"/>
    <w:rsid w:val="000C08C4"/>
    <w:rsid w:val="000C183D"/>
    <w:rsid w:val="000C3D16"/>
    <w:rsid w:val="000C4F97"/>
    <w:rsid w:val="000C525C"/>
    <w:rsid w:val="000C52B1"/>
    <w:rsid w:val="000C55FB"/>
    <w:rsid w:val="000C680B"/>
    <w:rsid w:val="000C76C4"/>
    <w:rsid w:val="000D1D3D"/>
    <w:rsid w:val="000D2BF5"/>
    <w:rsid w:val="000D3C08"/>
    <w:rsid w:val="000D5203"/>
    <w:rsid w:val="000D547F"/>
    <w:rsid w:val="000D5D02"/>
    <w:rsid w:val="000D5EF2"/>
    <w:rsid w:val="000D6C1E"/>
    <w:rsid w:val="000D6F0E"/>
    <w:rsid w:val="000D744C"/>
    <w:rsid w:val="000D7770"/>
    <w:rsid w:val="000D78EC"/>
    <w:rsid w:val="000E075F"/>
    <w:rsid w:val="000E080C"/>
    <w:rsid w:val="000E0816"/>
    <w:rsid w:val="000E08A4"/>
    <w:rsid w:val="000E1680"/>
    <w:rsid w:val="000E2608"/>
    <w:rsid w:val="000E29BF"/>
    <w:rsid w:val="000E2B31"/>
    <w:rsid w:val="000E32DB"/>
    <w:rsid w:val="000E3E26"/>
    <w:rsid w:val="000E5327"/>
    <w:rsid w:val="000E549C"/>
    <w:rsid w:val="000E7CEE"/>
    <w:rsid w:val="000F0036"/>
    <w:rsid w:val="000F2051"/>
    <w:rsid w:val="000F2EFC"/>
    <w:rsid w:val="000F4D52"/>
    <w:rsid w:val="000F4F56"/>
    <w:rsid w:val="000F5507"/>
    <w:rsid w:val="000F5667"/>
    <w:rsid w:val="000F5E9B"/>
    <w:rsid w:val="000F62DE"/>
    <w:rsid w:val="000F7C9D"/>
    <w:rsid w:val="001001CD"/>
    <w:rsid w:val="00100A70"/>
    <w:rsid w:val="00100DDB"/>
    <w:rsid w:val="001051BF"/>
    <w:rsid w:val="001056F7"/>
    <w:rsid w:val="00105AEB"/>
    <w:rsid w:val="001061B9"/>
    <w:rsid w:val="001064AA"/>
    <w:rsid w:val="0010656C"/>
    <w:rsid w:val="001070EE"/>
    <w:rsid w:val="001074AC"/>
    <w:rsid w:val="001075D5"/>
    <w:rsid w:val="00107752"/>
    <w:rsid w:val="0011086E"/>
    <w:rsid w:val="001112B2"/>
    <w:rsid w:val="00112148"/>
    <w:rsid w:val="00112959"/>
    <w:rsid w:val="00112F28"/>
    <w:rsid w:val="001134D2"/>
    <w:rsid w:val="001149E8"/>
    <w:rsid w:val="00114A09"/>
    <w:rsid w:val="00114D35"/>
    <w:rsid w:val="001152E4"/>
    <w:rsid w:val="00115732"/>
    <w:rsid w:val="00115756"/>
    <w:rsid w:val="00115E66"/>
    <w:rsid w:val="001161AD"/>
    <w:rsid w:val="00116594"/>
    <w:rsid w:val="00116A7F"/>
    <w:rsid w:val="001178FA"/>
    <w:rsid w:val="0012013F"/>
    <w:rsid w:val="001206A4"/>
    <w:rsid w:val="0012076D"/>
    <w:rsid w:val="00121307"/>
    <w:rsid w:val="00122C3C"/>
    <w:rsid w:val="0012303A"/>
    <w:rsid w:val="001240F6"/>
    <w:rsid w:val="0012500F"/>
    <w:rsid w:val="00125107"/>
    <w:rsid w:val="001259BE"/>
    <w:rsid w:val="00125F3D"/>
    <w:rsid w:val="00126150"/>
    <w:rsid w:val="00127D36"/>
    <w:rsid w:val="00130453"/>
    <w:rsid w:val="00130D81"/>
    <w:rsid w:val="00131280"/>
    <w:rsid w:val="001317B1"/>
    <w:rsid w:val="001319F9"/>
    <w:rsid w:val="00131A1F"/>
    <w:rsid w:val="00132512"/>
    <w:rsid w:val="001337D2"/>
    <w:rsid w:val="00133E5C"/>
    <w:rsid w:val="00134197"/>
    <w:rsid w:val="001341AA"/>
    <w:rsid w:val="0013592F"/>
    <w:rsid w:val="00135C18"/>
    <w:rsid w:val="00136161"/>
    <w:rsid w:val="001364C4"/>
    <w:rsid w:val="00137710"/>
    <w:rsid w:val="00137897"/>
    <w:rsid w:val="00137A01"/>
    <w:rsid w:val="00137D99"/>
    <w:rsid w:val="0014023D"/>
    <w:rsid w:val="001403EB"/>
    <w:rsid w:val="00140BFE"/>
    <w:rsid w:val="00140F2E"/>
    <w:rsid w:val="00141C9E"/>
    <w:rsid w:val="00141F05"/>
    <w:rsid w:val="0014255C"/>
    <w:rsid w:val="0014287E"/>
    <w:rsid w:val="00143CBD"/>
    <w:rsid w:val="001458CF"/>
    <w:rsid w:val="00146888"/>
    <w:rsid w:val="00146FB3"/>
    <w:rsid w:val="001471B5"/>
    <w:rsid w:val="0015131E"/>
    <w:rsid w:val="001517AE"/>
    <w:rsid w:val="00152387"/>
    <w:rsid w:val="001532BB"/>
    <w:rsid w:val="00153AC9"/>
    <w:rsid w:val="00154B99"/>
    <w:rsid w:val="0015564B"/>
    <w:rsid w:val="00155CE9"/>
    <w:rsid w:val="00155DBD"/>
    <w:rsid w:val="00155DF6"/>
    <w:rsid w:val="0015711A"/>
    <w:rsid w:val="001577BD"/>
    <w:rsid w:val="001579F6"/>
    <w:rsid w:val="0016017C"/>
    <w:rsid w:val="001601AD"/>
    <w:rsid w:val="00161B37"/>
    <w:rsid w:val="00161E4E"/>
    <w:rsid w:val="00161E82"/>
    <w:rsid w:val="001628B6"/>
    <w:rsid w:val="00162D38"/>
    <w:rsid w:val="0016372D"/>
    <w:rsid w:val="00163FE9"/>
    <w:rsid w:val="00164059"/>
    <w:rsid w:val="001657DB"/>
    <w:rsid w:val="001659C4"/>
    <w:rsid w:val="0016779A"/>
    <w:rsid w:val="0016785C"/>
    <w:rsid w:val="00167FAD"/>
    <w:rsid w:val="00170038"/>
    <w:rsid w:val="0017017E"/>
    <w:rsid w:val="00170414"/>
    <w:rsid w:val="00170628"/>
    <w:rsid w:val="00170C5F"/>
    <w:rsid w:val="00170C65"/>
    <w:rsid w:val="00171BC3"/>
    <w:rsid w:val="00172267"/>
    <w:rsid w:val="001725BC"/>
    <w:rsid w:val="001725ED"/>
    <w:rsid w:val="00174245"/>
    <w:rsid w:val="001742B3"/>
    <w:rsid w:val="00174ADA"/>
    <w:rsid w:val="00174AF2"/>
    <w:rsid w:val="00174B66"/>
    <w:rsid w:val="0017509B"/>
    <w:rsid w:val="00175236"/>
    <w:rsid w:val="001756B7"/>
    <w:rsid w:val="00177ACA"/>
    <w:rsid w:val="001802BB"/>
    <w:rsid w:val="0018040D"/>
    <w:rsid w:val="00180FE3"/>
    <w:rsid w:val="001818D3"/>
    <w:rsid w:val="00181A9B"/>
    <w:rsid w:val="00181CE5"/>
    <w:rsid w:val="001820BA"/>
    <w:rsid w:val="00183013"/>
    <w:rsid w:val="001831CF"/>
    <w:rsid w:val="001850E4"/>
    <w:rsid w:val="00185D09"/>
    <w:rsid w:val="00185FE3"/>
    <w:rsid w:val="00190929"/>
    <w:rsid w:val="00190DE6"/>
    <w:rsid w:val="00190E52"/>
    <w:rsid w:val="00191014"/>
    <w:rsid w:val="0019105F"/>
    <w:rsid w:val="0019110A"/>
    <w:rsid w:val="0019145C"/>
    <w:rsid w:val="001918DC"/>
    <w:rsid w:val="001921FB"/>
    <w:rsid w:val="0019235D"/>
    <w:rsid w:val="001930EF"/>
    <w:rsid w:val="0019322F"/>
    <w:rsid w:val="00194D09"/>
    <w:rsid w:val="00195185"/>
    <w:rsid w:val="00196648"/>
    <w:rsid w:val="00196BF0"/>
    <w:rsid w:val="00197458"/>
    <w:rsid w:val="00197914"/>
    <w:rsid w:val="00197A54"/>
    <w:rsid w:val="00197C7D"/>
    <w:rsid w:val="00197FF7"/>
    <w:rsid w:val="001A12B2"/>
    <w:rsid w:val="001A14B4"/>
    <w:rsid w:val="001A1752"/>
    <w:rsid w:val="001A1831"/>
    <w:rsid w:val="001A1ABC"/>
    <w:rsid w:val="001A1EA8"/>
    <w:rsid w:val="001A1EFD"/>
    <w:rsid w:val="001A36F1"/>
    <w:rsid w:val="001A376A"/>
    <w:rsid w:val="001A44A8"/>
    <w:rsid w:val="001A46D7"/>
    <w:rsid w:val="001A4FC0"/>
    <w:rsid w:val="001A53B0"/>
    <w:rsid w:val="001A54D8"/>
    <w:rsid w:val="001A70B2"/>
    <w:rsid w:val="001A70D8"/>
    <w:rsid w:val="001B0ACB"/>
    <w:rsid w:val="001B0C81"/>
    <w:rsid w:val="001B1F2A"/>
    <w:rsid w:val="001B2121"/>
    <w:rsid w:val="001B274C"/>
    <w:rsid w:val="001B285A"/>
    <w:rsid w:val="001B2872"/>
    <w:rsid w:val="001B2BCE"/>
    <w:rsid w:val="001B2EDB"/>
    <w:rsid w:val="001B3774"/>
    <w:rsid w:val="001B412B"/>
    <w:rsid w:val="001B4223"/>
    <w:rsid w:val="001B4458"/>
    <w:rsid w:val="001B4C07"/>
    <w:rsid w:val="001B4C0E"/>
    <w:rsid w:val="001B5089"/>
    <w:rsid w:val="001B548F"/>
    <w:rsid w:val="001B699A"/>
    <w:rsid w:val="001B7805"/>
    <w:rsid w:val="001B7A91"/>
    <w:rsid w:val="001C23EA"/>
    <w:rsid w:val="001C2425"/>
    <w:rsid w:val="001C2BB4"/>
    <w:rsid w:val="001C2C11"/>
    <w:rsid w:val="001C3570"/>
    <w:rsid w:val="001C3F57"/>
    <w:rsid w:val="001C5193"/>
    <w:rsid w:val="001C53BA"/>
    <w:rsid w:val="001C552B"/>
    <w:rsid w:val="001C5E88"/>
    <w:rsid w:val="001C6A09"/>
    <w:rsid w:val="001C6E8C"/>
    <w:rsid w:val="001C6E8F"/>
    <w:rsid w:val="001C7A77"/>
    <w:rsid w:val="001C7B09"/>
    <w:rsid w:val="001D024C"/>
    <w:rsid w:val="001D0668"/>
    <w:rsid w:val="001D0EC0"/>
    <w:rsid w:val="001D10BE"/>
    <w:rsid w:val="001D18F8"/>
    <w:rsid w:val="001D2A9C"/>
    <w:rsid w:val="001D2D22"/>
    <w:rsid w:val="001D344D"/>
    <w:rsid w:val="001D35F8"/>
    <w:rsid w:val="001D39CB"/>
    <w:rsid w:val="001D4A85"/>
    <w:rsid w:val="001D4CAE"/>
    <w:rsid w:val="001D4F1F"/>
    <w:rsid w:val="001D538E"/>
    <w:rsid w:val="001D54A2"/>
    <w:rsid w:val="001D6274"/>
    <w:rsid w:val="001D6C4A"/>
    <w:rsid w:val="001D7B8B"/>
    <w:rsid w:val="001D7C95"/>
    <w:rsid w:val="001D7D5A"/>
    <w:rsid w:val="001E1910"/>
    <w:rsid w:val="001E2231"/>
    <w:rsid w:val="001E28BD"/>
    <w:rsid w:val="001E3242"/>
    <w:rsid w:val="001E3918"/>
    <w:rsid w:val="001E4BC0"/>
    <w:rsid w:val="001E619D"/>
    <w:rsid w:val="001E6994"/>
    <w:rsid w:val="001E78FA"/>
    <w:rsid w:val="001E7908"/>
    <w:rsid w:val="001E7F13"/>
    <w:rsid w:val="001E7F45"/>
    <w:rsid w:val="001E7F76"/>
    <w:rsid w:val="001F16E5"/>
    <w:rsid w:val="001F18E9"/>
    <w:rsid w:val="001F2A1E"/>
    <w:rsid w:val="001F38B6"/>
    <w:rsid w:val="001F3F64"/>
    <w:rsid w:val="001F3FEA"/>
    <w:rsid w:val="001F4330"/>
    <w:rsid w:val="001F5262"/>
    <w:rsid w:val="001F5577"/>
    <w:rsid w:val="001F686C"/>
    <w:rsid w:val="001F6983"/>
    <w:rsid w:val="001F6AA4"/>
    <w:rsid w:val="001F6C07"/>
    <w:rsid w:val="001F6D2C"/>
    <w:rsid w:val="001F7788"/>
    <w:rsid w:val="001F7F8C"/>
    <w:rsid w:val="00200730"/>
    <w:rsid w:val="002030DA"/>
    <w:rsid w:val="002034E4"/>
    <w:rsid w:val="0020363D"/>
    <w:rsid w:val="0020407B"/>
    <w:rsid w:val="002046AA"/>
    <w:rsid w:val="002057BD"/>
    <w:rsid w:val="00205A57"/>
    <w:rsid w:val="00205E2D"/>
    <w:rsid w:val="002064F2"/>
    <w:rsid w:val="002068A9"/>
    <w:rsid w:val="00206BD0"/>
    <w:rsid w:val="00206D28"/>
    <w:rsid w:val="0020794F"/>
    <w:rsid w:val="00210550"/>
    <w:rsid w:val="00210609"/>
    <w:rsid w:val="00210A6E"/>
    <w:rsid w:val="0021106F"/>
    <w:rsid w:val="00211267"/>
    <w:rsid w:val="0021192F"/>
    <w:rsid w:val="002124B9"/>
    <w:rsid w:val="00213797"/>
    <w:rsid w:val="00213AED"/>
    <w:rsid w:val="00214177"/>
    <w:rsid w:val="002154E9"/>
    <w:rsid w:val="00215C86"/>
    <w:rsid w:val="00217748"/>
    <w:rsid w:val="002178B3"/>
    <w:rsid w:val="0022021D"/>
    <w:rsid w:val="002202E6"/>
    <w:rsid w:val="00220358"/>
    <w:rsid w:val="00220A71"/>
    <w:rsid w:val="002213FB"/>
    <w:rsid w:val="00221C97"/>
    <w:rsid w:val="00222395"/>
    <w:rsid w:val="0022268D"/>
    <w:rsid w:val="0022332E"/>
    <w:rsid w:val="00223535"/>
    <w:rsid w:val="0022380E"/>
    <w:rsid w:val="00223FC0"/>
    <w:rsid w:val="002242B8"/>
    <w:rsid w:val="00225B10"/>
    <w:rsid w:val="0022604C"/>
    <w:rsid w:val="002265F4"/>
    <w:rsid w:val="00227384"/>
    <w:rsid w:val="00227EDF"/>
    <w:rsid w:val="002301A9"/>
    <w:rsid w:val="0023024A"/>
    <w:rsid w:val="00230277"/>
    <w:rsid w:val="00230F22"/>
    <w:rsid w:val="00231666"/>
    <w:rsid w:val="00232C84"/>
    <w:rsid w:val="00232E6B"/>
    <w:rsid w:val="002358CB"/>
    <w:rsid w:val="00235B9E"/>
    <w:rsid w:val="00236912"/>
    <w:rsid w:val="00236994"/>
    <w:rsid w:val="00237AD7"/>
    <w:rsid w:val="002423E1"/>
    <w:rsid w:val="0024508C"/>
    <w:rsid w:val="00245635"/>
    <w:rsid w:val="00246595"/>
    <w:rsid w:val="0025001F"/>
    <w:rsid w:val="00250F9B"/>
    <w:rsid w:val="00251240"/>
    <w:rsid w:val="00251812"/>
    <w:rsid w:val="00251A60"/>
    <w:rsid w:val="00251BAC"/>
    <w:rsid w:val="00253F2D"/>
    <w:rsid w:val="00255565"/>
    <w:rsid w:val="002556CB"/>
    <w:rsid w:val="002560E2"/>
    <w:rsid w:val="00256E26"/>
    <w:rsid w:val="002579B6"/>
    <w:rsid w:val="00260045"/>
    <w:rsid w:val="00260FA4"/>
    <w:rsid w:val="00261075"/>
    <w:rsid w:val="00262B4D"/>
    <w:rsid w:val="00262F42"/>
    <w:rsid w:val="00263897"/>
    <w:rsid w:val="002641F8"/>
    <w:rsid w:val="00264282"/>
    <w:rsid w:val="00264349"/>
    <w:rsid w:val="002645D4"/>
    <w:rsid w:val="002657BB"/>
    <w:rsid w:val="002659E0"/>
    <w:rsid w:val="00265C9B"/>
    <w:rsid w:val="00265D14"/>
    <w:rsid w:val="00266E5D"/>
    <w:rsid w:val="002673BB"/>
    <w:rsid w:val="00267F0D"/>
    <w:rsid w:val="00270C6D"/>
    <w:rsid w:val="00271798"/>
    <w:rsid w:val="00273136"/>
    <w:rsid w:val="0027330B"/>
    <w:rsid w:val="00274A71"/>
    <w:rsid w:val="002753F1"/>
    <w:rsid w:val="002759AE"/>
    <w:rsid w:val="002761B7"/>
    <w:rsid w:val="00276944"/>
    <w:rsid w:val="002777D6"/>
    <w:rsid w:val="00277C13"/>
    <w:rsid w:val="00277CCC"/>
    <w:rsid w:val="00277CEA"/>
    <w:rsid w:val="0028027F"/>
    <w:rsid w:val="00280BAC"/>
    <w:rsid w:val="00280C4E"/>
    <w:rsid w:val="00281643"/>
    <w:rsid w:val="00281989"/>
    <w:rsid w:val="00281C43"/>
    <w:rsid w:val="00282DA2"/>
    <w:rsid w:val="00282DCA"/>
    <w:rsid w:val="0028410D"/>
    <w:rsid w:val="0028449D"/>
    <w:rsid w:val="00285221"/>
    <w:rsid w:val="0028541E"/>
    <w:rsid w:val="00286166"/>
    <w:rsid w:val="00286536"/>
    <w:rsid w:val="00286951"/>
    <w:rsid w:val="002870DF"/>
    <w:rsid w:val="002878E5"/>
    <w:rsid w:val="00287E42"/>
    <w:rsid w:val="00290153"/>
    <w:rsid w:val="00290775"/>
    <w:rsid w:val="002909AA"/>
    <w:rsid w:val="0029192A"/>
    <w:rsid w:val="00291CDC"/>
    <w:rsid w:val="00291E78"/>
    <w:rsid w:val="002920B9"/>
    <w:rsid w:val="00292746"/>
    <w:rsid w:val="00293018"/>
    <w:rsid w:val="0029315D"/>
    <w:rsid w:val="002933DF"/>
    <w:rsid w:val="002936CD"/>
    <w:rsid w:val="00293D69"/>
    <w:rsid w:val="00294D7C"/>
    <w:rsid w:val="002955B7"/>
    <w:rsid w:val="0029710D"/>
    <w:rsid w:val="002977EB"/>
    <w:rsid w:val="00297B41"/>
    <w:rsid w:val="002A102C"/>
    <w:rsid w:val="002A13AB"/>
    <w:rsid w:val="002A1995"/>
    <w:rsid w:val="002A1DA4"/>
    <w:rsid w:val="002A1DF7"/>
    <w:rsid w:val="002A361A"/>
    <w:rsid w:val="002A3A05"/>
    <w:rsid w:val="002A3D3A"/>
    <w:rsid w:val="002A3F9F"/>
    <w:rsid w:val="002A47BB"/>
    <w:rsid w:val="002A5141"/>
    <w:rsid w:val="002A5697"/>
    <w:rsid w:val="002A5838"/>
    <w:rsid w:val="002A589B"/>
    <w:rsid w:val="002A5EDB"/>
    <w:rsid w:val="002A64D6"/>
    <w:rsid w:val="002A6567"/>
    <w:rsid w:val="002A6B1E"/>
    <w:rsid w:val="002A6FFC"/>
    <w:rsid w:val="002A78C0"/>
    <w:rsid w:val="002A7AA9"/>
    <w:rsid w:val="002B061C"/>
    <w:rsid w:val="002B09AE"/>
    <w:rsid w:val="002B0F96"/>
    <w:rsid w:val="002B21D6"/>
    <w:rsid w:val="002B3719"/>
    <w:rsid w:val="002B3B45"/>
    <w:rsid w:val="002B4AA8"/>
    <w:rsid w:val="002B6866"/>
    <w:rsid w:val="002B6920"/>
    <w:rsid w:val="002B6F6A"/>
    <w:rsid w:val="002C0E45"/>
    <w:rsid w:val="002C19A3"/>
    <w:rsid w:val="002C1BE9"/>
    <w:rsid w:val="002C1E42"/>
    <w:rsid w:val="002C283C"/>
    <w:rsid w:val="002C36A4"/>
    <w:rsid w:val="002C3ADA"/>
    <w:rsid w:val="002C4424"/>
    <w:rsid w:val="002C4D53"/>
    <w:rsid w:val="002C55EE"/>
    <w:rsid w:val="002C58C2"/>
    <w:rsid w:val="002C5922"/>
    <w:rsid w:val="002D0D1C"/>
    <w:rsid w:val="002D1211"/>
    <w:rsid w:val="002D20C3"/>
    <w:rsid w:val="002D2DB2"/>
    <w:rsid w:val="002D3561"/>
    <w:rsid w:val="002D5635"/>
    <w:rsid w:val="002D60F4"/>
    <w:rsid w:val="002D6D92"/>
    <w:rsid w:val="002D7324"/>
    <w:rsid w:val="002D7CB6"/>
    <w:rsid w:val="002E0647"/>
    <w:rsid w:val="002E0B8B"/>
    <w:rsid w:val="002E11C0"/>
    <w:rsid w:val="002E15C2"/>
    <w:rsid w:val="002E19AB"/>
    <w:rsid w:val="002E19C3"/>
    <w:rsid w:val="002E26B5"/>
    <w:rsid w:val="002E30E2"/>
    <w:rsid w:val="002E327E"/>
    <w:rsid w:val="002E358B"/>
    <w:rsid w:val="002E3940"/>
    <w:rsid w:val="002E3E36"/>
    <w:rsid w:val="002E47BC"/>
    <w:rsid w:val="002E4C5C"/>
    <w:rsid w:val="002E4C89"/>
    <w:rsid w:val="002E4DB1"/>
    <w:rsid w:val="002E57DB"/>
    <w:rsid w:val="002E60A7"/>
    <w:rsid w:val="002E6115"/>
    <w:rsid w:val="002E74E6"/>
    <w:rsid w:val="002E7852"/>
    <w:rsid w:val="002F0BBA"/>
    <w:rsid w:val="002F1094"/>
    <w:rsid w:val="002F1C77"/>
    <w:rsid w:val="002F1F58"/>
    <w:rsid w:val="002F2794"/>
    <w:rsid w:val="002F3F39"/>
    <w:rsid w:val="002F4E15"/>
    <w:rsid w:val="002F537C"/>
    <w:rsid w:val="002F5BF0"/>
    <w:rsid w:val="002F5E31"/>
    <w:rsid w:val="002F6008"/>
    <w:rsid w:val="003006DC"/>
    <w:rsid w:val="00301372"/>
    <w:rsid w:val="00304B43"/>
    <w:rsid w:val="00305511"/>
    <w:rsid w:val="00305988"/>
    <w:rsid w:val="00306259"/>
    <w:rsid w:val="003063E5"/>
    <w:rsid w:val="00306D9A"/>
    <w:rsid w:val="00307278"/>
    <w:rsid w:val="003078E4"/>
    <w:rsid w:val="00307985"/>
    <w:rsid w:val="0030798D"/>
    <w:rsid w:val="003101B0"/>
    <w:rsid w:val="00311967"/>
    <w:rsid w:val="00311A80"/>
    <w:rsid w:val="0031255A"/>
    <w:rsid w:val="0031265C"/>
    <w:rsid w:val="0031272D"/>
    <w:rsid w:val="00313F8C"/>
    <w:rsid w:val="0031411D"/>
    <w:rsid w:val="00314BD0"/>
    <w:rsid w:val="00314C01"/>
    <w:rsid w:val="00315480"/>
    <w:rsid w:val="00315803"/>
    <w:rsid w:val="0031599F"/>
    <w:rsid w:val="00315CD2"/>
    <w:rsid w:val="00315E33"/>
    <w:rsid w:val="00316215"/>
    <w:rsid w:val="00316C44"/>
    <w:rsid w:val="003202BC"/>
    <w:rsid w:val="00320858"/>
    <w:rsid w:val="0032160A"/>
    <w:rsid w:val="0032281A"/>
    <w:rsid w:val="00322A73"/>
    <w:rsid w:val="00322E0C"/>
    <w:rsid w:val="00323393"/>
    <w:rsid w:val="0032354B"/>
    <w:rsid w:val="0032367F"/>
    <w:rsid w:val="00323791"/>
    <w:rsid w:val="0032537F"/>
    <w:rsid w:val="003255C2"/>
    <w:rsid w:val="00325702"/>
    <w:rsid w:val="00325739"/>
    <w:rsid w:val="00327821"/>
    <w:rsid w:val="003303CE"/>
    <w:rsid w:val="003308C0"/>
    <w:rsid w:val="00330F93"/>
    <w:rsid w:val="00331544"/>
    <w:rsid w:val="00331595"/>
    <w:rsid w:val="003325BE"/>
    <w:rsid w:val="003328B0"/>
    <w:rsid w:val="00332A3C"/>
    <w:rsid w:val="00332C46"/>
    <w:rsid w:val="00333084"/>
    <w:rsid w:val="00333971"/>
    <w:rsid w:val="00333D69"/>
    <w:rsid w:val="00333F42"/>
    <w:rsid w:val="00334356"/>
    <w:rsid w:val="003343F3"/>
    <w:rsid w:val="003352DD"/>
    <w:rsid w:val="003353BB"/>
    <w:rsid w:val="00335CCE"/>
    <w:rsid w:val="00340433"/>
    <w:rsid w:val="00340C0B"/>
    <w:rsid w:val="00340D77"/>
    <w:rsid w:val="00342197"/>
    <w:rsid w:val="003424E7"/>
    <w:rsid w:val="003430ED"/>
    <w:rsid w:val="0034364B"/>
    <w:rsid w:val="00343B99"/>
    <w:rsid w:val="00344411"/>
    <w:rsid w:val="00345419"/>
    <w:rsid w:val="003469F5"/>
    <w:rsid w:val="00346E59"/>
    <w:rsid w:val="00347278"/>
    <w:rsid w:val="00347296"/>
    <w:rsid w:val="0034733B"/>
    <w:rsid w:val="00347724"/>
    <w:rsid w:val="0035030E"/>
    <w:rsid w:val="00350E3E"/>
    <w:rsid w:val="003512C8"/>
    <w:rsid w:val="00351368"/>
    <w:rsid w:val="00351668"/>
    <w:rsid w:val="003519DC"/>
    <w:rsid w:val="00351B5F"/>
    <w:rsid w:val="00351EB7"/>
    <w:rsid w:val="0035317E"/>
    <w:rsid w:val="003540E4"/>
    <w:rsid w:val="00354AD2"/>
    <w:rsid w:val="0035541E"/>
    <w:rsid w:val="0035728B"/>
    <w:rsid w:val="00357FBE"/>
    <w:rsid w:val="00361233"/>
    <w:rsid w:val="003628C8"/>
    <w:rsid w:val="00362ED9"/>
    <w:rsid w:val="0036429E"/>
    <w:rsid w:val="00364CFD"/>
    <w:rsid w:val="0036543F"/>
    <w:rsid w:val="00365712"/>
    <w:rsid w:val="00366AFD"/>
    <w:rsid w:val="00366DE0"/>
    <w:rsid w:val="00366E5A"/>
    <w:rsid w:val="0036795F"/>
    <w:rsid w:val="00370428"/>
    <w:rsid w:val="00370E74"/>
    <w:rsid w:val="00371ADE"/>
    <w:rsid w:val="00371B18"/>
    <w:rsid w:val="00371FB9"/>
    <w:rsid w:val="00373179"/>
    <w:rsid w:val="003735C7"/>
    <w:rsid w:val="00373CA6"/>
    <w:rsid w:val="00374B55"/>
    <w:rsid w:val="00374D8A"/>
    <w:rsid w:val="00375325"/>
    <w:rsid w:val="00375E97"/>
    <w:rsid w:val="00380466"/>
    <w:rsid w:val="00381763"/>
    <w:rsid w:val="00381AA5"/>
    <w:rsid w:val="003831AD"/>
    <w:rsid w:val="00383578"/>
    <w:rsid w:val="00383643"/>
    <w:rsid w:val="00383798"/>
    <w:rsid w:val="00384342"/>
    <w:rsid w:val="00384CD7"/>
    <w:rsid w:val="00386B77"/>
    <w:rsid w:val="0038730C"/>
    <w:rsid w:val="0038769F"/>
    <w:rsid w:val="003879EC"/>
    <w:rsid w:val="00390254"/>
    <w:rsid w:val="003911A9"/>
    <w:rsid w:val="003926C6"/>
    <w:rsid w:val="003927C3"/>
    <w:rsid w:val="003934D0"/>
    <w:rsid w:val="003935F2"/>
    <w:rsid w:val="00393733"/>
    <w:rsid w:val="00393FA6"/>
    <w:rsid w:val="003942B8"/>
    <w:rsid w:val="0039471C"/>
    <w:rsid w:val="00394829"/>
    <w:rsid w:val="00394A30"/>
    <w:rsid w:val="00395F93"/>
    <w:rsid w:val="00396080"/>
    <w:rsid w:val="0039650F"/>
    <w:rsid w:val="00397178"/>
    <w:rsid w:val="003979BD"/>
    <w:rsid w:val="00397EA2"/>
    <w:rsid w:val="003A07CF"/>
    <w:rsid w:val="003A09E2"/>
    <w:rsid w:val="003A0BEC"/>
    <w:rsid w:val="003A0CB8"/>
    <w:rsid w:val="003A143D"/>
    <w:rsid w:val="003A1B05"/>
    <w:rsid w:val="003A309F"/>
    <w:rsid w:val="003A342C"/>
    <w:rsid w:val="003A41B8"/>
    <w:rsid w:val="003A5003"/>
    <w:rsid w:val="003A56B8"/>
    <w:rsid w:val="003A5759"/>
    <w:rsid w:val="003A678D"/>
    <w:rsid w:val="003A67B1"/>
    <w:rsid w:val="003A6F0D"/>
    <w:rsid w:val="003A72AE"/>
    <w:rsid w:val="003A7CB8"/>
    <w:rsid w:val="003B0122"/>
    <w:rsid w:val="003B3777"/>
    <w:rsid w:val="003B3DD4"/>
    <w:rsid w:val="003B3F27"/>
    <w:rsid w:val="003B4242"/>
    <w:rsid w:val="003B4479"/>
    <w:rsid w:val="003B4545"/>
    <w:rsid w:val="003B5787"/>
    <w:rsid w:val="003B5BC5"/>
    <w:rsid w:val="003B5D18"/>
    <w:rsid w:val="003B6208"/>
    <w:rsid w:val="003B6AC6"/>
    <w:rsid w:val="003B77A4"/>
    <w:rsid w:val="003B7A91"/>
    <w:rsid w:val="003C027D"/>
    <w:rsid w:val="003C04C7"/>
    <w:rsid w:val="003C0664"/>
    <w:rsid w:val="003C1620"/>
    <w:rsid w:val="003C1756"/>
    <w:rsid w:val="003C196D"/>
    <w:rsid w:val="003C1E28"/>
    <w:rsid w:val="003C223D"/>
    <w:rsid w:val="003C245B"/>
    <w:rsid w:val="003C41E1"/>
    <w:rsid w:val="003C4C3C"/>
    <w:rsid w:val="003C597F"/>
    <w:rsid w:val="003C5B00"/>
    <w:rsid w:val="003C6B82"/>
    <w:rsid w:val="003C6DB6"/>
    <w:rsid w:val="003C7A0D"/>
    <w:rsid w:val="003D04BD"/>
    <w:rsid w:val="003D08C0"/>
    <w:rsid w:val="003D18B8"/>
    <w:rsid w:val="003D1D26"/>
    <w:rsid w:val="003D31B4"/>
    <w:rsid w:val="003D3CC3"/>
    <w:rsid w:val="003D4340"/>
    <w:rsid w:val="003D5A74"/>
    <w:rsid w:val="003D5D9E"/>
    <w:rsid w:val="003D6FF3"/>
    <w:rsid w:val="003D724F"/>
    <w:rsid w:val="003E053F"/>
    <w:rsid w:val="003E0B69"/>
    <w:rsid w:val="003E10D9"/>
    <w:rsid w:val="003E128B"/>
    <w:rsid w:val="003E146E"/>
    <w:rsid w:val="003E17D4"/>
    <w:rsid w:val="003E18E3"/>
    <w:rsid w:val="003E3325"/>
    <w:rsid w:val="003E370C"/>
    <w:rsid w:val="003E41BF"/>
    <w:rsid w:val="003E41F4"/>
    <w:rsid w:val="003E4E2C"/>
    <w:rsid w:val="003E5404"/>
    <w:rsid w:val="003E57E3"/>
    <w:rsid w:val="003E62CA"/>
    <w:rsid w:val="003E7533"/>
    <w:rsid w:val="003F032C"/>
    <w:rsid w:val="003F0DAB"/>
    <w:rsid w:val="003F0F6E"/>
    <w:rsid w:val="003F1329"/>
    <w:rsid w:val="003F31F1"/>
    <w:rsid w:val="003F39DD"/>
    <w:rsid w:val="003F3A98"/>
    <w:rsid w:val="003F499C"/>
    <w:rsid w:val="003F5663"/>
    <w:rsid w:val="003F60E8"/>
    <w:rsid w:val="003F614D"/>
    <w:rsid w:val="003F6230"/>
    <w:rsid w:val="003F64EB"/>
    <w:rsid w:val="003F68AF"/>
    <w:rsid w:val="003F77ED"/>
    <w:rsid w:val="003F79D4"/>
    <w:rsid w:val="003F7F7B"/>
    <w:rsid w:val="00400564"/>
    <w:rsid w:val="0040079C"/>
    <w:rsid w:val="00400EB8"/>
    <w:rsid w:val="00400FE8"/>
    <w:rsid w:val="004015F4"/>
    <w:rsid w:val="00401A7E"/>
    <w:rsid w:val="00401DB7"/>
    <w:rsid w:val="00402720"/>
    <w:rsid w:val="00402A9C"/>
    <w:rsid w:val="0040326D"/>
    <w:rsid w:val="0040349A"/>
    <w:rsid w:val="004039FE"/>
    <w:rsid w:val="00404400"/>
    <w:rsid w:val="00405301"/>
    <w:rsid w:val="00405AD0"/>
    <w:rsid w:val="00407577"/>
    <w:rsid w:val="00410F0C"/>
    <w:rsid w:val="00411372"/>
    <w:rsid w:val="0041181D"/>
    <w:rsid w:val="00412717"/>
    <w:rsid w:val="0041287B"/>
    <w:rsid w:val="004129B7"/>
    <w:rsid w:val="00412F1F"/>
    <w:rsid w:val="00413333"/>
    <w:rsid w:val="004133EA"/>
    <w:rsid w:val="00413982"/>
    <w:rsid w:val="00413C7A"/>
    <w:rsid w:val="0041512E"/>
    <w:rsid w:val="004153C6"/>
    <w:rsid w:val="004157C7"/>
    <w:rsid w:val="00415A6B"/>
    <w:rsid w:val="00415BA0"/>
    <w:rsid w:val="00415C83"/>
    <w:rsid w:val="00416A0F"/>
    <w:rsid w:val="0042002B"/>
    <w:rsid w:val="0042026C"/>
    <w:rsid w:val="0042143A"/>
    <w:rsid w:val="00422A3D"/>
    <w:rsid w:val="00423E39"/>
    <w:rsid w:val="00424AFD"/>
    <w:rsid w:val="00425E03"/>
    <w:rsid w:val="00427869"/>
    <w:rsid w:val="00430616"/>
    <w:rsid w:val="004306EF"/>
    <w:rsid w:val="00431882"/>
    <w:rsid w:val="00431B89"/>
    <w:rsid w:val="004328AD"/>
    <w:rsid w:val="00433441"/>
    <w:rsid w:val="0043390E"/>
    <w:rsid w:val="00433C21"/>
    <w:rsid w:val="00433D80"/>
    <w:rsid w:val="004340FA"/>
    <w:rsid w:val="0043417F"/>
    <w:rsid w:val="004344A3"/>
    <w:rsid w:val="00434822"/>
    <w:rsid w:val="00434D1A"/>
    <w:rsid w:val="004351F0"/>
    <w:rsid w:val="004357F5"/>
    <w:rsid w:val="00436D6D"/>
    <w:rsid w:val="00437839"/>
    <w:rsid w:val="0044042D"/>
    <w:rsid w:val="00440B01"/>
    <w:rsid w:val="00440D35"/>
    <w:rsid w:val="004410E1"/>
    <w:rsid w:val="00442FE8"/>
    <w:rsid w:val="00443709"/>
    <w:rsid w:val="00444277"/>
    <w:rsid w:val="00446723"/>
    <w:rsid w:val="0044738B"/>
    <w:rsid w:val="00447FA7"/>
    <w:rsid w:val="0045039C"/>
    <w:rsid w:val="00450C04"/>
    <w:rsid w:val="00450CEC"/>
    <w:rsid w:val="00450FF4"/>
    <w:rsid w:val="00451073"/>
    <w:rsid w:val="004513E1"/>
    <w:rsid w:val="00453B0B"/>
    <w:rsid w:val="00454F15"/>
    <w:rsid w:val="00455797"/>
    <w:rsid w:val="0045664A"/>
    <w:rsid w:val="00457D9C"/>
    <w:rsid w:val="0046188C"/>
    <w:rsid w:val="00461D72"/>
    <w:rsid w:val="0046543F"/>
    <w:rsid w:val="004654D1"/>
    <w:rsid w:val="00465C44"/>
    <w:rsid w:val="00466289"/>
    <w:rsid w:val="00466795"/>
    <w:rsid w:val="00466A27"/>
    <w:rsid w:val="00466C60"/>
    <w:rsid w:val="00470240"/>
    <w:rsid w:val="00474E87"/>
    <w:rsid w:val="004762BD"/>
    <w:rsid w:val="00476881"/>
    <w:rsid w:val="00477BB4"/>
    <w:rsid w:val="00480223"/>
    <w:rsid w:val="00480BDF"/>
    <w:rsid w:val="0048214D"/>
    <w:rsid w:val="00482A68"/>
    <w:rsid w:val="00483388"/>
    <w:rsid w:val="00483672"/>
    <w:rsid w:val="00483FF5"/>
    <w:rsid w:val="004845D3"/>
    <w:rsid w:val="0048582C"/>
    <w:rsid w:val="004879B6"/>
    <w:rsid w:val="00487F06"/>
    <w:rsid w:val="004907D7"/>
    <w:rsid w:val="00490DCD"/>
    <w:rsid w:val="00492615"/>
    <w:rsid w:val="00492640"/>
    <w:rsid w:val="004928E7"/>
    <w:rsid w:val="00494000"/>
    <w:rsid w:val="004943ED"/>
    <w:rsid w:val="0049476B"/>
    <w:rsid w:val="00495BF4"/>
    <w:rsid w:val="00495E88"/>
    <w:rsid w:val="00496AA1"/>
    <w:rsid w:val="00496F6F"/>
    <w:rsid w:val="00497701"/>
    <w:rsid w:val="004A08B8"/>
    <w:rsid w:val="004A1DCB"/>
    <w:rsid w:val="004A27FC"/>
    <w:rsid w:val="004A28AA"/>
    <w:rsid w:val="004A2995"/>
    <w:rsid w:val="004A2AAB"/>
    <w:rsid w:val="004A3372"/>
    <w:rsid w:val="004A3F0D"/>
    <w:rsid w:val="004A4C7E"/>
    <w:rsid w:val="004A5B86"/>
    <w:rsid w:val="004A6018"/>
    <w:rsid w:val="004A6251"/>
    <w:rsid w:val="004A78E0"/>
    <w:rsid w:val="004A7B62"/>
    <w:rsid w:val="004A7F25"/>
    <w:rsid w:val="004B00F7"/>
    <w:rsid w:val="004B0A90"/>
    <w:rsid w:val="004B1872"/>
    <w:rsid w:val="004B2EC8"/>
    <w:rsid w:val="004B4DD5"/>
    <w:rsid w:val="004B54E2"/>
    <w:rsid w:val="004B5505"/>
    <w:rsid w:val="004B580E"/>
    <w:rsid w:val="004B59A0"/>
    <w:rsid w:val="004B5B23"/>
    <w:rsid w:val="004B6241"/>
    <w:rsid w:val="004B6EEA"/>
    <w:rsid w:val="004B70E0"/>
    <w:rsid w:val="004B7382"/>
    <w:rsid w:val="004C0256"/>
    <w:rsid w:val="004C1D38"/>
    <w:rsid w:val="004C2983"/>
    <w:rsid w:val="004C2D6E"/>
    <w:rsid w:val="004C34DA"/>
    <w:rsid w:val="004C3E36"/>
    <w:rsid w:val="004C3EA7"/>
    <w:rsid w:val="004C4682"/>
    <w:rsid w:val="004C4A94"/>
    <w:rsid w:val="004C5667"/>
    <w:rsid w:val="004C6625"/>
    <w:rsid w:val="004C6891"/>
    <w:rsid w:val="004C7065"/>
    <w:rsid w:val="004C78C8"/>
    <w:rsid w:val="004D02A2"/>
    <w:rsid w:val="004D0499"/>
    <w:rsid w:val="004D0C4D"/>
    <w:rsid w:val="004D0FF7"/>
    <w:rsid w:val="004D2CB0"/>
    <w:rsid w:val="004D32DC"/>
    <w:rsid w:val="004D3499"/>
    <w:rsid w:val="004D3C85"/>
    <w:rsid w:val="004D4082"/>
    <w:rsid w:val="004D4124"/>
    <w:rsid w:val="004D496B"/>
    <w:rsid w:val="004D4B9E"/>
    <w:rsid w:val="004D4F7D"/>
    <w:rsid w:val="004D52D6"/>
    <w:rsid w:val="004D5901"/>
    <w:rsid w:val="004D5A1B"/>
    <w:rsid w:val="004D7E15"/>
    <w:rsid w:val="004E016F"/>
    <w:rsid w:val="004E0968"/>
    <w:rsid w:val="004E0BA1"/>
    <w:rsid w:val="004E1CE5"/>
    <w:rsid w:val="004E2745"/>
    <w:rsid w:val="004E2E39"/>
    <w:rsid w:val="004E3A3D"/>
    <w:rsid w:val="004E43F9"/>
    <w:rsid w:val="004E4699"/>
    <w:rsid w:val="004E50EE"/>
    <w:rsid w:val="004E5172"/>
    <w:rsid w:val="004E6833"/>
    <w:rsid w:val="004E6C0A"/>
    <w:rsid w:val="004E74C9"/>
    <w:rsid w:val="004E77E5"/>
    <w:rsid w:val="004E7880"/>
    <w:rsid w:val="004F019C"/>
    <w:rsid w:val="004F0311"/>
    <w:rsid w:val="004F0673"/>
    <w:rsid w:val="004F15C1"/>
    <w:rsid w:val="004F16D7"/>
    <w:rsid w:val="004F1BE9"/>
    <w:rsid w:val="004F2176"/>
    <w:rsid w:val="004F23FC"/>
    <w:rsid w:val="004F277D"/>
    <w:rsid w:val="004F3BF1"/>
    <w:rsid w:val="004F4270"/>
    <w:rsid w:val="004F4833"/>
    <w:rsid w:val="004F4CE5"/>
    <w:rsid w:val="004F5338"/>
    <w:rsid w:val="004F5485"/>
    <w:rsid w:val="004F6C6F"/>
    <w:rsid w:val="004F6F61"/>
    <w:rsid w:val="00500889"/>
    <w:rsid w:val="005017D3"/>
    <w:rsid w:val="00501A67"/>
    <w:rsid w:val="00502225"/>
    <w:rsid w:val="00502694"/>
    <w:rsid w:val="005031FF"/>
    <w:rsid w:val="00503C84"/>
    <w:rsid w:val="00503D95"/>
    <w:rsid w:val="00505B21"/>
    <w:rsid w:val="00505B5D"/>
    <w:rsid w:val="005063FF"/>
    <w:rsid w:val="00506538"/>
    <w:rsid w:val="0050714D"/>
    <w:rsid w:val="005076B8"/>
    <w:rsid w:val="00510200"/>
    <w:rsid w:val="00510330"/>
    <w:rsid w:val="00510B04"/>
    <w:rsid w:val="00510F78"/>
    <w:rsid w:val="00511520"/>
    <w:rsid w:val="005117C5"/>
    <w:rsid w:val="00511C90"/>
    <w:rsid w:val="005139E1"/>
    <w:rsid w:val="00514F1A"/>
    <w:rsid w:val="00516359"/>
    <w:rsid w:val="0051681C"/>
    <w:rsid w:val="00516D2F"/>
    <w:rsid w:val="005171B8"/>
    <w:rsid w:val="0051764E"/>
    <w:rsid w:val="00517AB8"/>
    <w:rsid w:val="00517AE4"/>
    <w:rsid w:val="005209FC"/>
    <w:rsid w:val="00522099"/>
    <w:rsid w:val="00522E7D"/>
    <w:rsid w:val="00523333"/>
    <w:rsid w:val="005233F2"/>
    <w:rsid w:val="00525860"/>
    <w:rsid w:val="00525CEB"/>
    <w:rsid w:val="005271A0"/>
    <w:rsid w:val="005279CA"/>
    <w:rsid w:val="00527A82"/>
    <w:rsid w:val="00527F6D"/>
    <w:rsid w:val="00530097"/>
    <w:rsid w:val="005302EE"/>
    <w:rsid w:val="005310D5"/>
    <w:rsid w:val="00532A55"/>
    <w:rsid w:val="00532BE1"/>
    <w:rsid w:val="00532F35"/>
    <w:rsid w:val="00533C37"/>
    <w:rsid w:val="00535066"/>
    <w:rsid w:val="00535B56"/>
    <w:rsid w:val="00535BEC"/>
    <w:rsid w:val="00535C45"/>
    <w:rsid w:val="00535C4F"/>
    <w:rsid w:val="0053614C"/>
    <w:rsid w:val="0053685E"/>
    <w:rsid w:val="00536A9E"/>
    <w:rsid w:val="00536FCE"/>
    <w:rsid w:val="0053749C"/>
    <w:rsid w:val="00537E71"/>
    <w:rsid w:val="00540E78"/>
    <w:rsid w:val="00541BBD"/>
    <w:rsid w:val="005435C9"/>
    <w:rsid w:val="00544535"/>
    <w:rsid w:val="00544753"/>
    <w:rsid w:val="005448B9"/>
    <w:rsid w:val="0054490A"/>
    <w:rsid w:val="00547BAD"/>
    <w:rsid w:val="005502D0"/>
    <w:rsid w:val="00550B9D"/>
    <w:rsid w:val="00551558"/>
    <w:rsid w:val="00551952"/>
    <w:rsid w:val="00552126"/>
    <w:rsid w:val="005525DA"/>
    <w:rsid w:val="0055409C"/>
    <w:rsid w:val="0055436F"/>
    <w:rsid w:val="00554CEB"/>
    <w:rsid w:val="005557D9"/>
    <w:rsid w:val="00556183"/>
    <w:rsid w:val="00556AEB"/>
    <w:rsid w:val="005572A0"/>
    <w:rsid w:val="005573AE"/>
    <w:rsid w:val="00557666"/>
    <w:rsid w:val="00557DCC"/>
    <w:rsid w:val="00557F02"/>
    <w:rsid w:val="005611DD"/>
    <w:rsid w:val="005615D5"/>
    <w:rsid w:val="00561923"/>
    <w:rsid w:val="00561986"/>
    <w:rsid w:val="00561D7D"/>
    <w:rsid w:val="00561EC4"/>
    <w:rsid w:val="00562350"/>
    <w:rsid w:val="00562E1F"/>
    <w:rsid w:val="0056332C"/>
    <w:rsid w:val="0056342E"/>
    <w:rsid w:val="00563FD2"/>
    <w:rsid w:val="005640F7"/>
    <w:rsid w:val="00564748"/>
    <w:rsid w:val="00564B42"/>
    <w:rsid w:val="00564C59"/>
    <w:rsid w:val="0056500E"/>
    <w:rsid w:val="0056575D"/>
    <w:rsid w:val="00565B18"/>
    <w:rsid w:val="00565F55"/>
    <w:rsid w:val="0056612D"/>
    <w:rsid w:val="005661BD"/>
    <w:rsid w:val="00567CB8"/>
    <w:rsid w:val="00567D79"/>
    <w:rsid w:val="0057139D"/>
    <w:rsid w:val="00571F10"/>
    <w:rsid w:val="0057214E"/>
    <w:rsid w:val="0057416F"/>
    <w:rsid w:val="00574552"/>
    <w:rsid w:val="00574722"/>
    <w:rsid w:val="00574DE0"/>
    <w:rsid w:val="005760B5"/>
    <w:rsid w:val="00577EED"/>
    <w:rsid w:val="005807E4"/>
    <w:rsid w:val="00581CA1"/>
    <w:rsid w:val="00581F25"/>
    <w:rsid w:val="00583104"/>
    <w:rsid w:val="0058326F"/>
    <w:rsid w:val="00583897"/>
    <w:rsid w:val="00583C29"/>
    <w:rsid w:val="0058404C"/>
    <w:rsid w:val="00584226"/>
    <w:rsid w:val="005842B1"/>
    <w:rsid w:val="005853E4"/>
    <w:rsid w:val="0058668D"/>
    <w:rsid w:val="00586AD0"/>
    <w:rsid w:val="00586C4A"/>
    <w:rsid w:val="0058720E"/>
    <w:rsid w:val="005907A9"/>
    <w:rsid w:val="005909C8"/>
    <w:rsid w:val="00590C18"/>
    <w:rsid w:val="005916C9"/>
    <w:rsid w:val="0059219F"/>
    <w:rsid w:val="005929C7"/>
    <w:rsid w:val="00592C1F"/>
    <w:rsid w:val="00593A3B"/>
    <w:rsid w:val="00593D88"/>
    <w:rsid w:val="00593E16"/>
    <w:rsid w:val="0059444A"/>
    <w:rsid w:val="00595B85"/>
    <w:rsid w:val="00596556"/>
    <w:rsid w:val="0059726D"/>
    <w:rsid w:val="005A0CED"/>
    <w:rsid w:val="005A0DD3"/>
    <w:rsid w:val="005A128C"/>
    <w:rsid w:val="005A1BA3"/>
    <w:rsid w:val="005A213A"/>
    <w:rsid w:val="005A29A3"/>
    <w:rsid w:val="005A32D3"/>
    <w:rsid w:val="005A3358"/>
    <w:rsid w:val="005A37B2"/>
    <w:rsid w:val="005A3936"/>
    <w:rsid w:val="005A3ACF"/>
    <w:rsid w:val="005A3B53"/>
    <w:rsid w:val="005A4A23"/>
    <w:rsid w:val="005A4DA1"/>
    <w:rsid w:val="005A538D"/>
    <w:rsid w:val="005A6A71"/>
    <w:rsid w:val="005A6D1B"/>
    <w:rsid w:val="005A7255"/>
    <w:rsid w:val="005A73DB"/>
    <w:rsid w:val="005A73FA"/>
    <w:rsid w:val="005A7757"/>
    <w:rsid w:val="005A7AA7"/>
    <w:rsid w:val="005B1A54"/>
    <w:rsid w:val="005B22FC"/>
    <w:rsid w:val="005B23A1"/>
    <w:rsid w:val="005B2475"/>
    <w:rsid w:val="005B261B"/>
    <w:rsid w:val="005B28C2"/>
    <w:rsid w:val="005B29CC"/>
    <w:rsid w:val="005B2FE6"/>
    <w:rsid w:val="005B3712"/>
    <w:rsid w:val="005B3E83"/>
    <w:rsid w:val="005B481B"/>
    <w:rsid w:val="005B55C0"/>
    <w:rsid w:val="005B5DD6"/>
    <w:rsid w:val="005B700F"/>
    <w:rsid w:val="005B7851"/>
    <w:rsid w:val="005C008D"/>
    <w:rsid w:val="005C054E"/>
    <w:rsid w:val="005C10A4"/>
    <w:rsid w:val="005C1B07"/>
    <w:rsid w:val="005C24A2"/>
    <w:rsid w:val="005C2C65"/>
    <w:rsid w:val="005C32DA"/>
    <w:rsid w:val="005C338D"/>
    <w:rsid w:val="005C4A2B"/>
    <w:rsid w:val="005C5FEF"/>
    <w:rsid w:val="005C61FB"/>
    <w:rsid w:val="005C69DD"/>
    <w:rsid w:val="005C70E2"/>
    <w:rsid w:val="005C7456"/>
    <w:rsid w:val="005C7592"/>
    <w:rsid w:val="005D0039"/>
    <w:rsid w:val="005D1795"/>
    <w:rsid w:val="005D1EC3"/>
    <w:rsid w:val="005D1F62"/>
    <w:rsid w:val="005D2E1B"/>
    <w:rsid w:val="005D3AA5"/>
    <w:rsid w:val="005D520B"/>
    <w:rsid w:val="005D6EE1"/>
    <w:rsid w:val="005D7218"/>
    <w:rsid w:val="005D79D0"/>
    <w:rsid w:val="005D7A81"/>
    <w:rsid w:val="005E0804"/>
    <w:rsid w:val="005E188E"/>
    <w:rsid w:val="005E1898"/>
    <w:rsid w:val="005E2987"/>
    <w:rsid w:val="005E3358"/>
    <w:rsid w:val="005E4487"/>
    <w:rsid w:val="005E4672"/>
    <w:rsid w:val="005E4808"/>
    <w:rsid w:val="005E5052"/>
    <w:rsid w:val="005E573B"/>
    <w:rsid w:val="005E62F3"/>
    <w:rsid w:val="005E66BE"/>
    <w:rsid w:val="005E6896"/>
    <w:rsid w:val="005E6A81"/>
    <w:rsid w:val="005E6C8E"/>
    <w:rsid w:val="005E6F37"/>
    <w:rsid w:val="005E7714"/>
    <w:rsid w:val="005F02AF"/>
    <w:rsid w:val="005F0509"/>
    <w:rsid w:val="005F17F5"/>
    <w:rsid w:val="005F1EB8"/>
    <w:rsid w:val="005F2689"/>
    <w:rsid w:val="005F3518"/>
    <w:rsid w:val="005F3975"/>
    <w:rsid w:val="005F3AD8"/>
    <w:rsid w:val="005F46DC"/>
    <w:rsid w:val="005F51CF"/>
    <w:rsid w:val="005F5276"/>
    <w:rsid w:val="005F5697"/>
    <w:rsid w:val="005F5E97"/>
    <w:rsid w:val="005F6101"/>
    <w:rsid w:val="005F66DE"/>
    <w:rsid w:val="005F73B8"/>
    <w:rsid w:val="005F761D"/>
    <w:rsid w:val="006006CB"/>
    <w:rsid w:val="00600CF5"/>
    <w:rsid w:val="006015DC"/>
    <w:rsid w:val="00603334"/>
    <w:rsid w:val="0060346B"/>
    <w:rsid w:val="0060390A"/>
    <w:rsid w:val="00603FD3"/>
    <w:rsid w:val="006052A7"/>
    <w:rsid w:val="00607356"/>
    <w:rsid w:val="00607A7C"/>
    <w:rsid w:val="006103F3"/>
    <w:rsid w:val="0061068E"/>
    <w:rsid w:val="00611F40"/>
    <w:rsid w:val="00612C2E"/>
    <w:rsid w:val="0061365C"/>
    <w:rsid w:val="00613DAA"/>
    <w:rsid w:val="006140BE"/>
    <w:rsid w:val="0061692D"/>
    <w:rsid w:val="00616B8C"/>
    <w:rsid w:val="0062015B"/>
    <w:rsid w:val="00620C47"/>
    <w:rsid w:val="0062172D"/>
    <w:rsid w:val="00621E02"/>
    <w:rsid w:val="00622896"/>
    <w:rsid w:val="006229AA"/>
    <w:rsid w:val="0062365C"/>
    <w:rsid w:val="00623FFD"/>
    <w:rsid w:val="00625427"/>
    <w:rsid w:val="00625870"/>
    <w:rsid w:val="00625E27"/>
    <w:rsid w:val="006266DB"/>
    <w:rsid w:val="006273ED"/>
    <w:rsid w:val="006300C2"/>
    <w:rsid w:val="00630832"/>
    <w:rsid w:val="006308E1"/>
    <w:rsid w:val="00632797"/>
    <w:rsid w:val="006335F5"/>
    <w:rsid w:val="0063379D"/>
    <w:rsid w:val="00633F49"/>
    <w:rsid w:val="00634C1C"/>
    <w:rsid w:val="006350D8"/>
    <w:rsid w:val="0063554B"/>
    <w:rsid w:val="006359A0"/>
    <w:rsid w:val="0063609F"/>
    <w:rsid w:val="0063619A"/>
    <w:rsid w:val="0063646F"/>
    <w:rsid w:val="00636A3E"/>
    <w:rsid w:val="00637918"/>
    <w:rsid w:val="006410E0"/>
    <w:rsid w:val="00641CE0"/>
    <w:rsid w:val="0064214C"/>
    <w:rsid w:val="006423C8"/>
    <w:rsid w:val="00642AE4"/>
    <w:rsid w:val="00642C30"/>
    <w:rsid w:val="00643293"/>
    <w:rsid w:val="00645324"/>
    <w:rsid w:val="006458AE"/>
    <w:rsid w:val="006458EE"/>
    <w:rsid w:val="00646663"/>
    <w:rsid w:val="00647470"/>
    <w:rsid w:val="00647761"/>
    <w:rsid w:val="00647C25"/>
    <w:rsid w:val="006503DF"/>
    <w:rsid w:val="006504A4"/>
    <w:rsid w:val="0065066F"/>
    <w:rsid w:val="00650A1A"/>
    <w:rsid w:val="00650D39"/>
    <w:rsid w:val="00651FF7"/>
    <w:rsid w:val="00652204"/>
    <w:rsid w:val="0065250F"/>
    <w:rsid w:val="006525F6"/>
    <w:rsid w:val="00652779"/>
    <w:rsid w:val="00653902"/>
    <w:rsid w:val="0065427D"/>
    <w:rsid w:val="006556CF"/>
    <w:rsid w:val="00655C9B"/>
    <w:rsid w:val="00655E05"/>
    <w:rsid w:val="00657883"/>
    <w:rsid w:val="00657B35"/>
    <w:rsid w:val="00661C7B"/>
    <w:rsid w:val="006620BA"/>
    <w:rsid w:val="00662B6D"/>
    <w:rsid w:val="006635DA"/>
    <w:rsid w:val="006643D0"/>
    <w:rsid w:val="00664CB8"/>
    <w:rsid w:val="006655DD"/>
    <w:rsid w:val="00665E58"/>
    <w:rsid w:val="00667811"/>
    <w:rsid w:val="00667E4E"/>
    <w:rsid w:val="006702D6"/>
    <w:rsid w:val="00670510"/>
    <w:rsid w:val="00670633"/>
    <w:rsid w:val="00670C09"/>
    <w:rsid w:val="00671281"/>
    <w:rsid w:val="00672515"/>
    <w:rsid w:val="00672E81"/>
    <w:rsid w:val="006743DF"/>
    <w:rsid w:val="00674B74"/>
    <w:rsid w:val="00674CAA"/>
    <w:rsid w:val="006752E0"/>
    <w:rsid w:val="0067556C"/>
    <w:rsid w:val="00675CF6"/>
    <w:rsid w:val="00675E1A"/>
    <w:rsid w:val="00676359"/>
    <w:rsid w:val="00677072"/>
    <w:rsid w:val="00680CD4"/>
    <w:rsid w:val="0068228D"/>
    <w:rsid w:val="00683447"/>
    <w:rsid w:val="00683CD3"/>
    <w:rsid w:val="00683CF8"/>
    <w:rsid w:val="00684EE7"/>
    <w:rsid w:val="006854E9"/>
    <w:rsid w:val="006865B6"/>
    <w:rsid w:val="00686620"/>
    <w:rsid w:val="00686896"/>
    <w:rsid w:val="00686B6C"/>
    <w:rsid w:val="006879FA"/>
    <w:rsid w:val="00690F28"/>
    <w:rsid w:val="00691AC3"/>
    <w:rsid w:val="00691D50"/>
    <w:rsid w:val="0069223A"/>
    <w:rsid w:val="00692E6A"/>
    <w:rsid w:val="0069376F"/>
    <w:rsid w:val="006939F2"/>
    <w:rsid w:val="00693A71"/>
    <w:rsid w:val="00693BCC"/>
    <w:rsid w:val="006943E5"/>
    <w:rsid w:val="00695627"/>
    <w:rsid w:val="0069710D"/>
    <w:rsid w:val="006972D3"/>
    <w:rsid w:val="006A01C7"/>
    <w:rsid w:val="006A11B3"/>
    <w:rsid w:val="006A298D"/>
    <w:rsid w:val="006A3597"/>
    <w:rsid w:val="006A3D54"/>
    <w:rsid w:val="006A41F9"/>
    <w:rsid w:val="006A4903"/>
    <w:rsid w:val="006A5107"/>
    <w:rsid w:val="006A5523"/>
    <w:rsid w:val="006A586F"/>
    <w:rsid w:val="006A5B3F"/>
    <w:rsid w:val="006A5EF6"/>
    <w:rsid w:val="006A6DB5"/>
    <w:rsid w:val="006A7036"/>
    <w:rsid w:val="006A7B5C"/>
    <w:rsid w:val="006B0178"/>
    <w:rsid w:val="006B0A02"/>
    <w:rsid w:val="006B20C7"/>
    <w:rsid w:val="006B2550"/>
    <w:rsid w:val="006B2847"/>
    <w:rsid w:val="006B28F4"/>
    <w:rsid w:val="006B365B"/>
    <w:rsid w:val="006B3A2B"/>
    <w:rsid w:val="006B5D87"/>
    <w:rsid w:val="006B5F6A"/>
    <w:rsid w:val="006B6371"/>
    <w:rsid w:val="006B6811"/>
    <w:rsid w:val="006B7669"/>
    <w:rsid w:val="006C09FE"/>
    <w:rsid w:val="006C13E2"/>
    <w:rsid w:val="006C16CE"/>
    <w:rsid w:val="006C1A12"/>
    <w:rsid w:val="006C218B"/>
    <w:rsid w:val="006C2196"/>
    <w:rsid w:val="006C27F5"/>
    <w:rsid w:val="006C3AC5"/>
    <w:rsid w:val="006C3D87"/>
    <w:rsid w:val="006C4EFA"/>
    <w:rsid w:val="006C5C2D"/>
    <w:rsid w:val="006D014C"/>
    <w:rsid w:val="006D06E5"/>
    <w:rsid w:val="006D160B"/>
    <w:rsid w:val="006D1704"/>
    <w:rsid w:val="006D1899"/>
    <w:rsid w:val="006D1C66"/>
    <w:rsid w:val="006D2F33"/>
    <w:rsid w:val="006D3462"/>
    <w:rsid w:val="006D374A"/>
    <w:rsid w:val="006D380C"/>
    <w:rsid w:val="006D3886"/>
    <w:rsid w:val="006D406A"/>
    <w:rsid w:val="006D4260"/>
    <w:rsid w:val="006D44E2"/>
    <w:rsid w:val="006D483B"/>
    <w:rsid w:val="006D4FBC"/>
    <w:rsid w:val="006D62D7"/>
    <w:rsid w:val="006D63C0"/>
    <w:rsid w:val="006D67D9"/>
    <w:rsid w:val="006D76E0"/>
    <w:rsid w:val="006D77CC"/>
    <w:rsid w:val="006E06FC"/>
    <w:rsid w:val="006E0EE9"/>
    <w:rsid w:val="006E0FEB"/>
    <w:rsid w:val="006E1717"/>
    <w:rsid w:val="006E1767"/>
    <w:rsid w:val="006E1C26"/>
    <w:rsid w:val="006E2A1C"/>
    <w:rsid w:val="006E2F65"/>
    <w:rsid w:val="006E3586"/>
    <w:rsid w:val="006E3B7B"/>
    <w:rsid w:val="006E3E4E"/>
    <w:rsid w:val="006E403E"/>
    <w:rsid w:val="006E5C91"/>
    <w:rsid w:val="006E63D4"/>
    <w:rsid w:val="006E6A2E"/>
    <w:rsid w:val="006E71BC"/>
    <w:rsid w:val="006E75F9"/>
    <w:rsid w:val="006E78DC"/>
    <w:rsid w:val="006E7CF0"/>
    <w:rsid w:val="006F0719"/>
    <w:rsid w:val="006F10E7"/>
    <w:rsid w:val="006F1305"/>
    <w:rsid w:val="006F158F"/>
    <w:rsid w:val="006F2CED"/>
    <w:rsid w:val="006F3AE8"/>
    <w:rsid w:val="006F514D"/>
    <w:rsid w:val="006F518D"/>
    <w:rsid w:val="006F51A4"/>
    <w:rsid w:val="006F5DEC"/>
    <w:rsid w:val="006F6E61"/>
    <w:rsid w:val="006F7A3E"/>
    <w:rsid w:val="006F7AB0"/>
    <w:rsid w:val="0070157D"/>
    <w:rsid w:val="00701E8A"/>
    <w:rsid w:val="007028E6"/>
    <w:rsid w:val="00703DA3"/>
    <w:rsid w:val="0070425C"/>
    <w:rsid w:val="0070492F"/>
    <w:rsid w:val="007049A1"/>
    <w:rsid w:val="00705298"/>
    <w:rsid w:val="00705D42"/>
    <w:rsid w:val="00706FFC"/>
    <w:rsid w:val="00707960"/>
    <w:rsid w:val="00710323"/>
    <w:rsid w:val="0071219C"/>
    <w:rsid w:val="00712202"/>
    <w:rsid w:val="007134DC"/>
    <w:rsid w:val="00713C22"/>
    <w:rsid w:val="00713E7E"/>
    <w:rsid w:val="007141ED"/>
    <w:rsid w:val="00714209"/>
    <w:rsid w:val="0071422F"/>
    <w:rsid w:val="0071542B"/>
    <w:rsid w:val="00715447"/>
    <w:rsid w:val="007155A6"/>
    <w:rsid w:val="00715E7F"/>
    <w:rsid w:val="00715E9A"/>
    <w:rsid w:val="00716660"/>
    <w:rsid w:val="00716EC2"/>
    <w:rsid w:val="0071764A"/>
    <w:rsid w:val="0072123A"/>
    <w:rsid w:val="007214C6"/>
    <w:rsid w:val="00721D0B"/>
    <w:rsid w:val="0072206D"/>
    <w:rsid w:val="007228CA"/>
    <w:rsid w:val="00723295"/>
    <w:rsid w:val="00723C32"/>
    <w:rsid w:val="00724865"/>
    <w:rsid w:val="00724D7A"/>
    <w:rsid w:val="00724DD1"/>
    <w:rsid w:val="00725719"/>
    <w:rsid w:val="00725EFB"/>
    <w:rsid w:val="00726B79"/>
    <w:rsid w:val="00726DC3"/>
    <w:rsid w:val="00726E10"/>
    <w:rsid w:val="00727276"/>
    <w:rsid w:val="00730162"/>
    <w:rsid w:val="007303B5"/>
    <w:rsid w:val="00730AA0"/>
    <w:rsid w:val="00730BC9"/>
    <w:rsid w:val="00731CE8"/>
    <w:rsid w:val="0073254C"/>
    <w:rsid w:val="00734320"/>
    <w:rsid w:val="00734604"/>
    <w:rsid w:val="00734CD4"/>
    <w:rsid w:val="007350F0"/>
    <w:rsid w:val="00735D94"/>
    <w:rsid w:val="00736519"/>
    <w:rsid w:val="007402DF"/>
    <w:rsid w:val="007406F5"/>
    <w:rsid w:val="00740DCC"/>
    <w:rsid w:val="00741223"/>
    <w:rsid w:val="00741A5D"/>
    <w:rsid w:val="00742E69"/>
    <w:rsid w:val="00742F65"/>
    <w:rsid w:val="0074513E"/>
    <w:rsid w:val="0074557C"/>
    <w:rsid w:val="00746E0B"/>
    <w:rsid w:val="007529B8"/>
    <w:rsid w:val="00752A99"/>
    <w:rsid w:val="0075381A"/>
    <w:rsid w:val="00753FEE"/>
    <w:rsid w:val="007542F4"/>
    <w:rsid w:val="0075455A"/>
    <w:rsid w:val="0075550E"/>
    <w:rsid w:val="007559FD"/>
    <w:rsid w:val="00755F1A"/>
    <w:rsid w:val="00756010"/>
    <w:rsid w:val="00756162"/>
    <w:rsid w:val="00757089"/>
    <w:rsid w:val="0075761E"/>
    <w:rsid w:val="00757BB2"/>
    <w:rsid w:val="007601DC"/>
    <w:rsid w:val="007604B4"/>
    <w:rsid w:val="007606CA"/>
    <w:rsid w:val="007615B2"/>
    <w:rsid w:val="0076184C"/>
    <w:rsid w:val="00761C95"/>
    <w:rsid w:val="00762432"/>
    <w:rsid w:val="00762E92"/>
    <w:rsid w:val="00763029"/>
    <w:rsid w:val="00763D6D"/>
    <w:rsid w:val="00764ED7"/>
    <w:rsid w:val="00765A37"/>
    <w:rsid w:val="0076677D"/>
    <w:rsid w:val="00766B74"/>
    <w:rsid w:val="00766FFB"/>
    <w:rsid w:val="007679F3"/>
    <w:rsid w:val="00770521"/>
    <w:rsid w:val="00770BFF"/>
    <w:rsid w:val="00771752"/>
    <w:rsid w:val="00771781"/>
    <w:rsid w:val="00771AA0"/>
    <w:rsid w:val="00771E0C"/>
    <w:rsid w:val="00772DEA"/>
    <w:rsid w:val="0077320D"/>
    <w:rsid w:val="00773ED2"/>
    <w:rsid w:val="0077568B"/>
    <w:rsid w:val="007763BF"/>
    <w:rsid w:val="00780B3D"/>
    <w:rsid w:val="007830AC"/>
    <w:rsid w:val="0078395E"/>
    <w:rsid w:val="007849EC"/>
    <w:rsid w:val="00784E2A"/>
    <w:rsid w:val="00785731"/>
    <w:rsid w:val="00786A6D"/>
    <w:rsid w:val="00787588"/>
    <w:rsid w:val="00787634"/>
    <w:rsid w:val="0079016A"/>
    <w:rsid w:val="0079089F"/>
    <w:rsid w:val="007916E2"/>
    <w:rsid w:val="007921BF"/>
    <w:rsid w:val="00792440"/>
    <w:rsid w:val="0079258D"/>
    <w:rsid w:val="007925F3"/>
    <w:rsid w:val="00793949"/>
    <w:rsid w:val="00794EC4"/>
    <w:rsid w:val="00795604"/>
    <w:rsid w:val="00795727"/>
    <w:rsid w:val="00795A74"/>
    <w:rsid w:val="00795DDF"/>
    <w:rsid w:val="00796FC4"/>
    <w:rsid w:val="00797535"/>
    <w:rsid w:val="00797CBE"/>
    <w:rsid w:val="00797D41"/>
    <w:rsid w:val="007A0189"/>
    <w:rsid w:val="007A0A34"/>
    <w:rsid w:val="007A123A"/>
    <w:rsid w:val="007A1278"/>
    <w:rsid w:val="007A2A1A"/>
    <w:rsid w:val="007A3A83"/>
    <w:rsid w:val="007A3E1B"/>
    <w:rsid w:val="007A4E3C"/>
    <w:rsid w:val="007A5B5A"/>
    <w:rsid w:val="007A60E5"/>
    <w:rsid w:val="007A6129"/>
    <w:rsid w:val="007A626E"/>
    <w:rsid w:val="007A680D"/>
    <w:rsid w:val="007A6AC9"/>
    <w:rsid w:val="007B0209"/>
    <w:rsid w:val="007B081C"/>
    <w:rsid w:val="007B0BDD"/>
    <w:rsid w:val="007B0FB9"/>
    <w:rsid w:val="007B1104"/>
    <w:rsid w:val="007B2749"/>
    <w:rsid w:val="007B2753"/>
    <w:rsid w:val="007B2AF5"/>
    <w:rsid w:val="007B4793"/>
    <w:rsid w:val="007B55D7"/>
    <w:rsid w:val="007B5839"/>
    <w:rsid w:val="007B5927"/>
    <w:rsid w:val="007B6A72"/>
    <w:rsid w:val="007B736F"/>
    <w:rsid w:val="007C0218"/>
    <w:rsid w:val="007C06B8"/>
    <w:rsid w:val="007C1DDC"/>
    <w:rsid w:val="007C2868"/>
    <w:rsid w:val="007C2F95"/>
    <w:rsid w:val="007C4B55"/>
    <w:rsid w:val="007C5CA2"/>
    <w:rsid w:val="007C6D75"/>
    <w:rsid w:val="007C7164"/>
    <w:rsid w:val="007C7543"/>
    <w:rsid w:val="007D00C2"/>
    <w:rsid w:val="007D01AD"/>
    <w:rsid w:val="007D04FE"/>
    <w:rsid w:val="007D0FC0"/>
    <w:rsid w:val="007D11A5"/>
    <w:rsid w:val="007D15DA"/>
    <w:rsid w:val="007D180B"/>
    <w:rsid w:val="007D1C8D"/>
    <w:rsid w:val="007D2740"/>
    <w:rsid w:val="007D2D71"/>
    <w:rsid w:val="007D3971"/>
    <w:rsid w:val="007D3E09"/>
    <w:rsid w:val="007D3E44"/>
    <w:rsid w:val="007D40CD"/>
    <w:rsid w:val="007D53E7"/>
    <w:rsid w:val="007D5530"/>
    <w:rsid w:val="007D6795"/>
    <w:rsid w:val="007D7C25"/>
    <w:rsid w:val="007E0114"/>
    <w:rsid w:val="007E01B4"/>
    <w:rsid w:val="007E08AD"/>
    <w:rsid w:val="007E0A44"/>
    <w:rsid w:val="007E0B61"/>
    <w:rsid w:val="007E1491"/>
    <w:rsid w:val="007E1AC4"/>
    <w:rsid w:val="007E1D87"/>
    <w:rsid w:val="007E462F"/>
    <w:rsid w:val="007E49DC"/>
    <w:rsid w:val="007E601E"/>
    <w:rsid w:val="007E6868"/>
    <w:rsid w:val="007E6C6E"/>
    <w:rsid w:val="007E6C98"/>
    <w:rsid w:val="007E72E6"/>
    <w:rsid w:val="007E77F5"/>
    <w:rsid w:val="007E7EFF"/>
    <w:rsid w:val="007F002E"/>
    <w:rsid w:val="007F013D"/>
    <w:rsid w:val="007F01ED"/>
    <w:rsid w:val="007F0F81"/>
    <w:rsid w:val="007F19D2"/>
    <w:rsid w:val="007F267B"/>
    <w:rsid w:val="007F2CAA"/>
    <w:rsid w:val="007F2D9E"/>
    <w:rsid w:val="007F423C"/>
    <w:rsid w:val="007F445A"/>
    <w:rsid w:val="007F4678"/>
    <w:rsid w:val="007F4FBC"/>
    <w:rsid w:val="007F515D"/>
    <w:rsid w:val="007F5BA3"/>
    <w:rsid w:val="007F6A65"/>
    <w:rsid w:val="00800186"/>
    <w:rsid w:val="008002D8"/>
    <w:rsid w:val="0080155F"/>
    <w:rsid w:val="008021DC"/>
    <w:rsid w:val="008029B5"/>
    <w:rsid w:val="00802A29"/>
    <w:rsid w:val="00802D48"/>
    <w:rsid w:val="00802E03"/>
    <w:rsid w:val="0080347A"/>
    <w:rsid w:val="008038EF"/>
    <w:rsid w:val="00804AE7"/>
    <w:rsid w:val="00804C0D"/>
    <w:rsid w:val="00805660"/>
    <w:rsid w:val="00805A98"/>
    <w:rsid w:val="00805AE6"/>
    <w:rsid w:val="00805CEC"/>
    <w:rsid w:val="00805EDA"/>
    <w:rsid w:val="00806543"/>
    <w:rsid w:val="008068A1"/>
    <w:rsid w:val="00807786"/>
    <w:rsid w:val="00807F98"/>
    <w:rsid w:val="00810026"/>
    <w:rsid w:val="00811601"/>
    <w:rsid w:val="00812071"/>
    <w:rsid w:val="00812635"/>
    <w:rsid w:val="00812E6A"/>
    <w:rsid w:val="0081305B"/>
    <w:rsid w:val="00813C5B"/>
    <w:rsid w:val="00813CB2"/>
    <w:rsid w:val="00814919"/>
    <w:rsid w:val="00814A28"/>
    <w:rsid w:val="00814CB0"/>
    <w:rsid w:val="00814DA7"/>
    <w:rsid w:val="00814FAF"/>
    <w:rsid w:val="0081507A"/>
    <w:rsid w:val="008153ED"/>
    <w:rsid w:val="00815461"/>
    <w:rsid w:val="00815CE6"/>
    <w:rsid w:val="00816079"/>
    <w:rsid w:val="008164F5"/>
    <w:rsid w:val="00816561"/>
    <w:rsid w:val="0081683E"/>
    <w:rsid w:val="0081774B"/>
    <w:rsid w:val="00817A84"/>
    <w:rsid w:val="008207D9"/>
    <w:rsid w:val="008210EE"/>
    <w:rsid w:val="008215FE"/>
    <w:rsid w:val="00821D0E"/>
    <w:rsid w:val="00824263"/>
    <w:rsid w:val="0082537E"/>
    <w:rsid w:val="00826BCC"/>
    <w:rsid w:val="00826C63"/>
    <w:rsid w:val="00826DB7"/>
    <w:rsid w:val="00826E6A"/>
    <w:rsid w:val="00832C9D"/>
    <w:rsid w:val="00833C47"/>
    <w:rsid w:val="00834272"/>
    <w:rsid w:val="00835C5D"/>
    <w:rsid w:val="00836807"/>
    <w:rsid w:val="00836BDF"/>
    <w:rsid w:val="00836EA4"/>
    <w:rsid w:val="008400FD"/>
    <w:rsid w:val="00840B7D"/>
    <w:rsid w:val="00840E28"/>
    <w:rsid w:val="00841353"/>
    <w:rsid w:val="00842040"/>
    <w:rsid w:val="00842517"/>
    <w:rsid w:val="00842553"/>
    <w:rsid w:val="0084278E"/>
    <w:rsid w:val="008434FE"/>
    <w:rsid w:val="008437A7"/>
    <w:rsid w:val="00844F89"/>
    <w:rsid w:val="0084524A"/>
    <w:rsid w:val="008458DF"/>
    <w:rsid w:val="00846419"/>
    <w:rsid w:val="0084721B"/>
    <w:rsid w:val="00847346"/>
    <w:rsid w:val="00851F15"/>
    <w:rsid w:val="00852393"/>
    <w:rsid w:val="00852D76"/>
    <w:rsid w:val="00853087"/>
    <w:rsid w:val="00853B8A"/>
    <w:rsid w:val="0085467C"/>
    <w:rsid w:val="00855109"/>
    <w:rsid w:val="00855275"/>
    <w:rsid w:val="00856538"/>
    <w:rsid w:val="00856A90"/>
    <w:rsid w:val="00857CED"/>
    <w:rsid w:val="00857D90"/>
    <w:rsid w:val="00857F12"/>
    <w:rsid w:val="00860F92"/>
    <w:rsid w:val="008639DD"/>
    <w:rsid w:val="008653D6"/>
    <w:rsid w:val="0086578F"/>
    <w:rsid w:val="00865D25"/>
    <w:rsid w:val="00865FCB"/>
    <w:rsid w:val="008669F6"/>
    <w:rsid w:val="00866D05"/>
    <w:rsid w:val="00867CC6"/>
    <w:rsid w:val="00870324"/>
    <w:rsid w:val="008717DD"/>
    <w:rsid w:val="00871BE1"/>
    <w:rsid w:val="0087203A"/>
    <w:rsid w:val="00873169"/>
    <w:rsid w:val="00873CAD"/>
    <w:rsid w:val="008747B6"/>
    <w:rsid w:val="00874B64"/>
    <w:rsid w:val="00875CC1"/>
    <w:rsid w:val="00876078"/>
    <w:rsid w:val="008769B1"/>
    <w:rsid w:val="00876ED6"/>
    <w:rsid w:val="00880C6F"/>
    <w:rsid w:val="008810B8"/>
    <w:rsid w:val="008816B8"/>
    <w:rsid w:val="00881C5D"/>
    <w:rsid w:val="0088210F"/>
    <w:rsid w:val="00882BEC"/>
    <w:rsid w:val="00883054"/>
    <w:rsid w:val="00883FCE"/>
    <w:rsid w:val="00884667"/>
    <w:rsid w:val="00884859"/>
    <w:rsid w:val="00884A01"/>
    <w:rsid w:val="00885A39"/>
    <w:rsid w:val="008866C6"/>
    <w:rsid w:val="00886C90"/>
    <w:rsid w:val="00887580"/>
    <w:rsid w:val="00887A0F"/>
    <w:rsid w:val="008908D0"/>
    <w:rsid w:val="00890936"/>
    <w:rsid w:val="00890BEF"/>
    <w:rsid w:val="00891282"/>
    <w:rsid w:val="00891ACE"/>
    <w:rsid w:val="00891EF4"/>
    <w:rsid w:val="00893621"/>
    <w:rsid w:val="00893637"/>
    <w:rsid w:val="008949F2"/>
    <w:rsid w:val="00894B2F"/>
    <w:rsid w:val="00894EE6"/>
    <w:rsid w:val="00895993"/>
    <w:rsid w:val="00895A4D"/>
    <w:rsid w:val="00895C5C"/>
    <w:rsid w:val="00895C5F"/>
    <w:rsid w:val="00897910"/>
    <w:rsid w:val="00897A45"/>
    <w:rsid w:val="008A0B22"/>
    <w:rsid w:val="008A22BE"/>
    <w:rsid w:val="008A2717"/>
    <w:rsid w:val="008A3012"/>
    <w:rsid w:val="008A3D27"/>
    <w:rsid w:val="008A3E2F"/>
    <w:rsid w:val="008A4648"/>
    <w:rsid w:val="008A4EC1"/>
    <w:rsid w:val="008A5178"/>
    <w:rsid w:val="008A5A48"/>
    <w:rsid w:val="008A73DE"/>
    <w:rsid w:val="008B0355"/>
    <w:rsid w:val="008B1353"/>
    <w:rsid w:val="008B3439"/>
    <w:rsid w:val="008B3F05"/>
    <w:rsid w:val="008B3F5A"/>
    <w:rsid w:val="008B48D0"/>
    <w:rsid w:val="008B57BF"/>
    <w:rsid w:val="008B67DB"/>
    <w:rsid w:val="008B6D24"/>
    <w:rsid w:val="008B7891"/>
    <w:rsid w:val="008B7C40"/>
    <w:rsid w:val="008C13CC"/>
    <w:rsid w:val="008C1BBE"/>
    <w:rsid w:val="008C2D15"/>
    <w:rsid w:val="008C2DDA"/>
    <w:rsid w:val="008C36EE"/>
    <w:rsid w:val="008C3A9A"/>
    <w:rsid w:val="008C4969"/>
    <w:rsid w:val="008C5C5E"/>
    <w:rsid w:val="008C61FB"/>
    <w:rsid w:val="008C649A"/>
    <w:rsid w:val="008C6A0F"/>
    <w:rsid w:val="008C701C"/>
    <w:rsid w:val="008C73FE"/>
    <w:rsid w:val="008C79E5"/>
    <w:rsid w:val="008D0C11"/>
    <w:rsid w:val="008D129D"/>
    <w:rsid w:val="008D1FF9"/>
    <w:rsid w:val="008D3F78"/>
    <w:rsid w:val="008D4CF7"/>
    <w:rsid w:val="008D5E29"/>
    <w:rsid w:val="008D62DA"/>
    <w:rsid w:val="008D6ECE"/>
    <w:rsid w:val="008D6F14"/>
    <w:rsid w:val="008D7BE7"/>
    <w:rsid w:val="008E0F5F"/>
    <w:rsid w:val="008E1603"/>
    <w:rsid w:val="008E2436"/>
    <w:rsid w:val="008E2A35"/>
    <w:rsid w:val="008E2ABE"/>
    <w:rsid w:val="008E2DB9"/>
    <w:rsid w:val="008E3365"/>
    <w:rsid w:val="008E356D"/>
    <w:rsid w:val="008E42CE"/>
    <w:rsid w:val="008E73E0"/>
    <w:rsid w:val="008E740C"/>
    <w:rsid w:val="008F031B"/>
    <w:rsid w:val="008F0751"/>
    <w:rsid w:val="008F0B99"/>
    <w:rsid w:val="008F0DAB"/>
    <w:rsid w:val="008F1E39"/>
    <w:rsid w:val="008F1E5E"/>
    <w:rsid w:val="008F215E"/>
    <w:rsid w:val="008F2B03"/>
    <w:rsid w:val="008F2EBE"/>
    <w:rsid w:val="008F3ABB"/>
    <w:rsid w:val="008F42A5"/>
    <w:rsid w:val="008F4849"/>
    <w:rsid w:val="008F4C02"/>
    <w:rsid w:val="008F4FD1"/>
    <w:rsid w:val="008F569E"/>
    <w:rsid w:val="008F5799"/>
    <w:rsid w:val="008F5BE6"/>
    <w:rsid w:val="008F6134"/>
    <w:rsid w:val="00901F1E"/>
    <w:rsid w:val="00902AF3"/>
    <w:rsid w:val="009039A9"/>
    <w:rsid w:val="00903AC5"/>
    <w:rsid w:val="009041F9"/>
    <w:rsid w:val="00904CBB"/>
    <w:rsid w:val="009054D2"/>
    <w:rsid w:val="009055BB"/>
    <w:rsid w:val="00906FB9"/>
    <w:rsid w:val="009079D6"/>
    <w:rsid w:val="00910A22"/>
    <w:rsid w:val="0091102F"/>
    <w:rsid w:val="00911561"/>
    <w:rsid w:val="00911A56"/>
    <w:rsid w:val="00911A7F"/>
    <w:rsid w:val="00911A89"/>
    <w:rsid w:val="00911CD6"/>
    <w:rsid w:val="00911CF0"/>
    <w:rsid w:val="00911DC1"/>
    <w:rsid w:val="00913BD3"/>
    <w:rsid w:val="009148EF"/>
    <w:rsid w:val="00915704"/>
    <w:rsid w:val="00915CB2"/>
    <w:rsid w:val="009167B3"/>
    <w:rsid w:val="00916B38"/>
    <w:rsid w:val="00916EDA"/>
    <w:rsid w:val="00917286"/>
    <w:rsid w:val="00917B14"/>
    <w:rsid w:val="009201BA"/>
    <w:rsid w:val="009207EB"/>
    <w:rsid w:val="009215B3"/>
    <w:rsid w:val="00921958"/>
    <w:rsid w:val="00922177"/>
    <w:rsid w:val="0092227B"/>
    <w:rsid w:val="00922845"/>
    <w:rsid w:val="009229C4"/>
    <w:rsid w:val="009241BF"/>
    <w:rsid w:val="00925558"/>
    <w:rsid w:val="009255D3"/>
    <w:rsid w:val="00925EDC"/>
    <w:rsid w:val="00926426"/>
    <w:rsid w:val="0092755B"/>
    <w:rsid w:val="0093010B"/>
    <w:rsid w:val="0093024A"/>
    <w:rsid w:val="0093078E"/>
    <w:rsid w:val="009308C5"/>
    <w:rsid w:val="0093128C"/>
    <w:rsid w:val="00931757"/>
    <w:rsid w:val="009319AB"/>
    <w:rsid w:val="00931EE7"/>
    <w:rsid w:val="009321F7"/>
    <w:rsid w:val="009333EF"/>
    <w:rsid w:val="009335DF"/>
    <w:rsid w:val="00933869"/>
    <w:rsid w:val="009339BC"/>
    <w:rsid w:val="00935C21"/>
    <w:rsid w:val="009368B9"/>
    <w:rsid w:val="00940675"/>
    <w:rsid w:val="009409E3"/>
    <w:rsid w:val="00940B91"/>
    <w:rsid w:val="00940C4C"/>
    <w:rsid w:val="009411DF"/>
    <w:rsid w:val="00941278"/>
    <w:rsid w:val="00941EBC"/>
    <w:rsid w:val="009421C8"/>
    <w:rsid w:val="00942663"/>
    <w:rsid w:val="00943782"/>
    <w:rsid w:val="009457F0"/>
    <w:rsid w:val="00945EF9"/>
    <w:rsid w:val="00946103"/>
    <w:rsid w:val="009462C1"/>
    <w:rsid w:val="00946B38"/>
    <w:rsid w:val="00946FB3"/>
    <w:rsid w:val="00947A80"/>
    <w:rsid w:val="00947F4B"/>
    <w:rsid w:val="00951497"/>
    <w:rsid w:val="0095218A"/>
    <w:rsid w:val="00952807"/>
    <w:rsid w:val="00952FBE"/>
    <w:rsid w:val="00953DF6"/>
    <w:rsid w:val="009549CD"/>
    <w:rsid w:val="00954B54"/>
    <w:rsid w:val="00954D77"/>
    <w:rsid w:val="00955051"/>
    <w:rsid w:val="00955C20"/>
    <w:rsid w:val="00955E6F"/>
    <w:rsid w:val="00955EDE"/>
    <w:rsid w:val="009564E8"/>
    <w:rsid w:val="0095701E"/>
    <w:rsid w:val="009577F0"/>
    <w:rsid w:val="00957B1E"/>
    <w:rsid w:val="0096076C"/>
    <w:rsid w:val="00960C5A"/>
    <w:rsid w:val="00962845"/>
    <w:rsid w:val="00962A2B"/>
    <w:rsid w:val="00963ED8"/>
    <w:rsid w:val="00964186"/>
    <w:rsid w:val="009647BA"/>
    <w:rsid w:val="00965441"/>
    <w:rsid w:val="00966E15"/>
    <w:rsid w:val="009674EC"/>
    <w:rsid w:val="00970F2E"/>
    <w:rsid w:val="00971247"/>
    <w:rsid w:val="00972E4C"/>
    <w:rsid w:val="00972E82"/>
    <w:rsid w:val="00973C2B"/>
    <w:rsid w:val="00973DCF"/>
    <w:rsid w:val="00973E13"/>
    <w:rsid w:val="00974FAE"/>
    <w:rsid w:val="00975063"/>
    <w:rsid w:val="0097526C"/>
    <w:rsid w:val="009755C2"/>
    <w:rsid w:val="009758E2"/>
    <w:rsid w:val="00976248"/>
    <w:rsid w:val="00976904"/>
    <w:rsid w:val="00977DCB"/>
    <w:rsid w:val="00977F4A"/>
    <w:rsid w:val="00977F6B"/>
    <w:rsid w:val="0098190F"/>
    <w:rsid w:val="00981C71"/>
    <w:rsid w:val="009836C5"/>
    <w:rsid w:val="00983986"/>
    <w:rsid w:val="00983B62"/>
    <w:rsid w:val="00984AB5"/>
    <w:rsid w:val="00984E35"/>
    <w:rsid w:val="009856F5"/>
    <w:rsid w:val="00985EFF"/>
    <w:rsid w:val="009870C2"/>
    <w:rsid w:val="009878A9"/>
    <w:rsid w:val="00987A80"/>
    <w:rsid w:val="009900EC"/>
    <w:rsid w:val="0099011E"/>
    <w:rsid w:val="009907E6"/>
    <w:rsid w:val="00990DFE"/>
    <w:rsid w:val="00991652"/>
    <w:rsid w:val="00991799"/>
    <w:rsid w:val="0099186A"/>
    <w:rsid w:val="009921EE"/>
    <w:rsid w:val="0099344F"/>
    <w:rsid w:val="00993610"/>
    <w:rsid w:val="00994075"/>
    <w:rsid w:val="009945EB"/>
    <w:rsid w:val="00994A32"/>
    <w:rsid w:val="009950E8"/>
    <w:rsid w:val="0099583A"/>
    <w:rsid w:val="0099639B"/>
    <w:rsid w:val="009970BD"/>
    <w:rsid w:val="00997F2C"/>
    <w:rsid w:val="009A1663"/>
    <w:rsid w:val="009A17B0"/>
    <w:rsid w:val="009A1AD0"/>
    <w:rsid w:val="009A1B9F"/>
    <w:rsid w:val="009A2452"/>
    <w:rsid w:val="009A2E88"/>
    <w:rsid w:val="009A2F42"/>
    <w:rsid w:val="009A3698"/>
    <w:rsid w:val="009A3A11"/>
    <w:rsid w:val="009A3C11"/>
    <w:rsid w:val="009A410A"/>
    <w:rsid w:val="009A4757"/>
    <w:rsid w:val="009A4EED"/>
    <w:rsid w:val="009A5294"/>
    <w:rsid w:val="009A558E"/>
    <w:rsid w:val="009A6C26"/>
    <w:rsid w:val="009A7AA5"/>
    <w:rsid w:val="009B00F1"/>
    <w:rsid w:val="009B23D5"/>
    <w:rsid w:val="009B2D49"/>
    <w:rsid w:val="009B3003"/>
    <w:rsid w:val="009B3139"/>
    <w:rsid w:val="009B3CB7"/>
    <w:rsid w:val="009B404A"/>
    <w:rsid w:val="009B410C"/>
    <w:rsid w:val="009B44BB"/>
    <w:rsid w:val="009B52A0"/>
    <w:rsid w:val="009B5860"/>
    <w:rsid w:val="009B5F9D"/>
    <w:rsid w:val="009B67A6"/>
    <w:rsid w:val="009B76A0"/>
    <w:rsid w:val="009B78F4"/>
    <w:rsid w:val="009B7E8F"/>
    <w:rsid w:val="009C03EA"/>
    <w:rsid w:val="009C0C5E"/>
    <w:rsid w:val="009C191E"/>
    <w:rsid w:val="009C23C1"/>
    <w:rsid w:val="009C2617"/>
    <w:rsid w:val="009C2970"/>
    <w:rsid w:val="009C29C4"/>
    <w:rsid w:val="009C38A5"/>
    <w:rsid w:val="009C39AE"/>
    <w:rsid w:val="009C3B66"/>
    <w:rsid w:val="009C50E9"/>
    <w:rsid w:val="009C5290"/>
    <w:rsid w:val="009C5300"/>
    <w:rsid w:val="009C542E"/>
    <w:rsid w:val="009C5BAE"/>
    <w:rsid w:val="009C683F"/>
    <w:rsid w:val="009C6A31"/>
    <w:rsid w:val="009C6CE8"/>
    <w:rsid w:val="009C6F5A"/>
    <w:rsid w:val="009C75B4"/>
    <w:rsid w:val="009D00F8"/>
    <w:rsid w:val="009D0BC6"/>
    <w:rsid w:val="009D107B"/>
    <w:rsid w:val="009D355C"/>
    <w:rsid w:val="009D3C3D"/>
    <w:rsid w:val="009D47FB"/>
    <w:rsid w:val="009D5C11"/>
    <w:rsid w:val="009D5FE8"/>
    <w:rsid w:val="009D6085"/>
    <w:rsid w:val="009D63F3"/>
    <w:rsid w:val="009D6A59"/>
    <w:rsid w:val="009D7050"/>
    <w:rsid w:val="009D7D5F"/>
    <w:rsid w:val="009D7F88"/>
    <w:rsid w:val="009E0868"/>
    <w:rsid w:val="009E10AE"/>
    <w:rsid w:val="009E1205"/>
    <w:rsid w:val="009E1278"/>
    <w:rsid w:val="009E15AB"/>
    <w:rsid w:val="009E1937"/>
    <w:rsid w:val="009E19B5"/>
    <w:rsid w:val="009E30AF"/>
    <w:rsid w:val="009E3B7B"/>
    <w:rsid w:val="009E3EE0"/>
    <w:rsid w:val="009E4328"/>
    <w:rsid w:val="009E507A"/>
    <w:rsid w:val="009E5143"/>
    <w:rsid w:val="009E5F45"/>
    <w:rsid w:val="009E7D8A"/>
    <w:rsid w:val="009F099B"/>
    <w:rsid w:val="009F0FD3"/>
    <w:rsid w:val="009F18D3"/>
    <w:rsid w:val="009F1A36"/>
    <w:rsid w:val="009F1E4C"/>
    <w:rsid w:val="009F237B"/>
    <w:rsid w:val="009F3021"/>
    <w:rsid w:val="009F3265"/>
    <w:rsid w:val="009F3E48"/>
    <w:rsid w:val="009F4897"/>
    <w:rsid w:val="009F4A42"/>
    <w:rsid w:val="009F52A0"/>
    <w:rsid w:val="009F53A8"/>
    <w:rsid w:val="009F5833"/>
    <w:rsid w:val="009F5B8A"/>
    <w:rsid w:val="009F5EC9"/>
    <w:rsid w:val="009F691F"/>
    <w:rsid w:val="009F6BE1"/>
    <w:rsid w:val="00A00999"/>
    <w:rsid w:val="00A00A3E"/>
    <w:rsid w:val="00A00D04"/>
    <w:rsid w:val="00A01122"/>
    <w:rsid w:val="00A01263"/>
    <w:rsid w:val="00A012DE"/>
    <w:rsid w:val="00A015FC"/>
    <w:rsid w:val="00A01C9F"/>
    <w:rsid w:val="00A01EB0"/>
    <w:rsid w:val="00A023A4"/>
    <w:rsid w:val="00A02A4F"/>
    <w:rsid w:val="00A02BC6"/>
    <w:rsid w:val="00A02C05"/>
    <w:rsid w:val="00A03908"/>
    <w:rsid w:val="00A0482E"/>
    <w:rsid w:val="00A04A07"/>
    <w:rsid w:val="00A06325"/>
    <w:rsid w:val="00A06920"/>
    <w:rsid w:val="00A069F8"/>
    <w:rsid w:val="00A06CCF"/>
    <w:rsid w:val="00A07D2B"/>
    <w:rsid w:val="00A1018A"/>
    <w:rsid w:val="00A1073F"/>
    <w:rsid w:val="00A109B1"/>
    <w:rsid w:val="00A115DB"/>
    <w:rsid w:val="00A11E07"/>
    <w:rsid w:val="00A12215"/>
    <w:rsid w:val="00A12260"/>
    <w:rsid w:val="00A12CC4"/>
    <w:rsid w:val="00A12E5C"/>
    <w:rsid w:val="00A13270"/>
    <w:rsid w:val="00A13B5B"/>
    <w:rsid w:val="00A150BC"/>
    <w:rsid w:val="00A1780A"/>
    <w:rsid w:val="00A2073F"/>
    <w:rsid w:val="00A22041"/>
    <w:rsid w:val="00A2316B"/>
    <w:rsid w:val="00A23C78"/>
    <w:rsid w:val="00A23FB3"/>
    <w:rsid w:val="00A24AE6"/>
    <w:rsid w:val="00A24E17"/>
    <w:rsid w:val="00A253DC"/>
    <w:rsid w:val="00A25800"/>
    <w:rsid w:val="00A25A70"/>
    <w:rsid w:val="00A25DC8"/>
    <w:rsid w:val="00A2607B"/>
    <w:rsid w:val="00A2631A"/>
    <w:rsid w:val="00A26906"/>
    <w:rsid w:val="00A2725C"/>
    <w:rsid w:val="00A312A9"/>
    <w:rsid w:val="00A31A35"/>
    <w:rsid w:val="00A31B94"/>
    <w:rsid w:val="00A329A6"/>
    <w:rsid w:val="00A32A0F"/>
    <w:rsid w:val="00A33336"/>
    <w:rsid w:val="00A36195"/>
    <w:rsid w:val="00A364BD"/>
    <w:rsid w:val="00A404B3"/>
    <w:rsid w:val="00A405AF"/>
    <w:rsid w:val="00A40D24"/>
    <w:rsid w:val="00A40F11"/>
    <w:rsid w:val="00A4135F"/>
    <w:rsid w:val="00A4138E"/>
    <w:rsid w:val="00A423AF"/>
    <w:rsid w:val="00A4264F"/>
    <w:rsid w:val="00A4298D"/>
    <w:rsid w:val="00A42D78"/>
    <w:rsid w:val="00A435EA"/>
    <w:rsid w:val="00A43C27"/>
    <w:rsid w:val="00A43F95"/>
    <w:rsid w:val="00A45F1A"/>
    <w:rsid w:val="00A4687C"/>
    <w:rsid w:val="00A47643"/>
    <w:rsid w:val="00A50E70"/>
    <w:rsid w:val="00A510D2"/>
    <w:rsid w:val="00A51100"/>
    <w:rsid w:val="00A512F9"/>
    <w:rsid w:val="00A51526"/>
    <w:rsid w:val="00A518F5"/>
    <w:rsid w:val="00A52446"/>
    <w:rsid w:val="00A5301C"/>
    <w:rsid w:val="00A53302"/>
    <w:rsid w:val="00A556D5"/>
    <w:rsid w:val="00A55720"/>
    <w:rsid w:val="00A558FB"/>
    <w:rsid w:val="00A55B3F"/>
    <w:rsid w:val="00A56199"/>
    <w:rsid w:val="00A5744C"/>
    <w:rsid w:val="00A604AD"/>
    <w:rsid w:val="00A60697"/>
    <w:rsid w:val="00A60CAA"/>
    <w:rsid w:val="00A60F15"/>
    <w:rsid w:val="00A61813"/>
    <w:rsid w:val="00A62CD9"/>
    <w:rsid w:val="00A63000"/>
    <w:rsid w:val="00A63010"/>
    <w:rsid w:val="00A6371B"/>
    <w:rsid w:val="00A63894"/>
    <w:rsid w:val="00A64183"/>
    <w:rsid w:val="00A6452D"/>
    <w:rsid w:val="00A6472C"/>
    <w:rsid w:val="00A65088"/>
    <w:rsid w:val="00A65C7E"/>
    <w:rsid w:val="00A66432"/>
    <w:rsid w:val="00A66998"/>
    <w:rsid w:val="00A66AE4"/>
    <w:rsid w:val="00A6754C"/>
    <w:rsid w:val="00A6776D"/>
    <w:rsid w:val="00A70D82"/>
    <w:rsid w:val="00A70EAE"/>
    <w:rsid w:val="00A7119E"/>
    <w:rsid w:val="00A71699"/>
    <w:rsid w:val="00A71DA6"/>
    <w:rsid w:val="00A72099"/>
    <w:rsid w:val="00A72D7E"/>
    <w:rsid w:val="00A746CA"/>
    <w:rsid w:val="00A74CDB"/>
    <w:rsid w:val="00A74D57"/>
    <w:rsid w:val="00A753EB"/>
    <w:rsid w:val="00A765A2"/>
    <w:rsid w:val="00A77D70"/>
    <w:rsid w:val="00A80613"/>
    <w:rsid w:val="00A80BCE"/>
    <w:rsid w:val="00A80C31"/>
    <w:rsid w:val="00A80C3B"/>
    <w:rsid w:val="00A80E15"/>
    <w:rsid w:val="00A815C2"/>
    <w:rsid w:val="00A81E00"/>
    <w:rsid w:val="00A8363E"/>
    <w:rsid w:val="00A84579"/>
    <w:rsid w:val="00A84712"/>
    <w:rsid w:val="00A84FD0"/>
    <w:rsid w:val="00A857BC"/>
    <w:rsid w:val="00A8591F"/>
    <w:rsid w:val="00A85C8B"/>
    <w:rsid w:val="00A85F69"/>
    <w:rsid w:val="00A86541"/>
    <w:rsid w:val="00A86FD1"/>
    <w:rsid w:val="00A87665"/>
    <w:rsid w:val="00A878B1"/>
    <w:rsid w:val="00A87BDD"/>
    <w:rsid w:val="00A87C79"/>
    <w:rsid w:val="00A90084"/>
    <w:rsid w:val="00A90B60"/>
    <w:rsid w:val="00A93CD3"/>
    <w:rsid w:val="00A942AD"/>
    <w:rsid w:val="00A94363"/>
    <w:rsid w:val="00A964B6"/>
    <w:rsid w:val="00A97D96"/>
    <w:rsid w:val="00AA030A"/>
    <w:rsid w:val="00AA0342"/>
    <w:rsid w:val="00AA0DDA"/>
    <w:rsid w:val="00AA0E03"/>
    <w:rsid w:val="00AA1AA9"/>
    <w:rsid w:val="00AA26F6"/>
    <w:rsid w:val="00AA2957"/>
    <w:rsid w:val="00AA298C"/>
    <w:rsid w:val="00AA30F5"/>
    <w:rsid w:val="00AA32AA"/>
    <w:rsid w:val="00AA33B1"/>
    <w:rsid w:val="00AA39A0"/>
    <w:rsid w:val="00AA56DF"/>
    <w:rsid w:val="00AA64DC"/>
    <w:rsid w:val="00AA660C"/>
    <w:rsid w:val="00AA68AD"/>
    <w:rsid w:val="00AA7DAF"/>
    <w:rsid w:val="00AB0253"/>
    <w:rsid w:val="00AB075D"/>
    <w:rsid w:val="00AB0AE3"/>
    <w:rsid w:val="00AB0AFD"/>
    <w:rsid w:val="00AB0C39"/>
    <w:rsid w:val="00AB2958"/>
    <w:rsid w:val="00AB4063"/>
    <w:rsid w:val="00AB4284"/>
    <w:rsid w:val="00AB4336"/>
    <w:rsid w:val="00AB48FB"/>
    <w:rsid w:val="00AB49F4"/>
    <w:rsid w:val="00AB51EA"/>
    <w:rsid w:val="00AB6C8A"/>
    <w:rsid w:val="00AB79E7"/>
    <w:rsid w:val="00AB7A9B"/>
    <w:rsid w:val="00AB7D06"/>
    <w:rsid w:val="00AB7D4E"/>
    <w:rsid w:val="00AC04E9"/>
    <w:rsid w:val="00AC0991"/>
    <w:rsid w:val="00AC21E2"/>
    <w:rsid w:val="00AC4C86"/>
    <w:rsid w:val="00AC4F7E"/>
    <w:rsid w:val="00AC50CB"/>
    <w:rsid w:val="00AC5CA2"/>
    <w:rsid w:val="00AC73F7"/>
    <w:rsid w:val="00AC741D"/>
    <w:rsid w:val="00AC7803"/>
    <w:rsid w:val="00AD0A14"/>
    <w:rsid w:val="00AD1138"/>
    <w:rsid w:val="00AD1774"/>
    <w:rsid w:val="00AD18B9"/>
    <w:rsid w:val="00AD1D21"/>
    <w:rsid w:val="00AD392A"/>
    <w:rsid w:val="00AD44B0"/>
    <w:rsid w:val="00AD4E3A"/>
    <w:rsid w:val="00AD5B30"/>
    <w:rsid w:val="00AD60AD"/>
    <w:rsid w:val="00AD618B"/>
    <w:rsid w:val="00AD6CEA"/>
    <w:rsid w:val="00AD7B5C"/>
    <w:rsid w:val="00AE06B3"/>
    <w:rsid w:val="00AE2061"/>
    <w:rsid w:val="00AE28C7"/>
    <w:rsid w:val="00AE31FC"/>
    <w:rsid w:val="00AE3B10"/>
    <w:rsid w:val="00AE3F34"/>
    <w:rsid w:val="00AE437C"/>
    <w:rsid w:val="00AE49E2"/>
    <w:rsid w:val="00AE5F15"/>
    <w:rsid w:val="00AE7CAB"/>
    <w:rsid w:val="00AF06D7"/>
    <w:rsid w:val="00AF089A"/>
    <w:rsid w:val="00AF0FC4"/>
    <w:rsid w:val="00AF1BB9"/>
    <w:rsid w:val="00AF253D"/>
    <w:rsid w:val="00AF2A98"/>
    <w:rsid w:val="00AF2C8C"/>
    <w:rsid w:val="00AF320F"/>
    <w:rsid w:val="00AF3413"/>
    <w:rsid w:val="00AF58AE"/>
    <w:rsid w:val="00AF593A"/>
    <w:rsid w:val="00AF6AB4"/>
    <w:rsid w:val="00AF6F1C"/>
    <w:rsid w:val="00AF7449"/>
    <w:rsid w:val="00B00B68"/>
    <w:rsid w:val="00B02715"/>
    <w:rsid w:val="00B02810"/>
    <w:rsid w:val="00B0297B"/>
    <w:rsid w:val="00B03C85"/>
    <w:rsid w:val="00B05237"/>
    <w:rsid w:val="00B05A6E"/>
    <w:rsid w:val="00B05E0D"/>
    <w:rsid w:val="00B0685B"/>
    <w:rsid w:val="00B07065"/>
    <w:rsid w:val="00B079B3"/>
    <w:rsid w:val="00B079D3"/>
    <w:rsid w:val="00B109CC"/>
    <w:rsid w:val="00B10CC1"/>
    <w:rsid w:val="00B11288"/>
    <w:rsid w:val="00B11D21"/>
    <w:rsid w:val="00B11EFD"/>
    <w:rsid w:val="00B134C0"/>
    <w:rsid w:val="00B138B4"/>
    <w:rsid w:val="00B145C2"/>
    <w:rsid w:val="00B146B0"/>
    <w:rsid w:val="00B14761"/>
    <w:rsid w:val="00B14AA0"/>
    <w:rsid w:val="00B14CF6"/>
    <w:rsid w:val="00B14EF5"/>
    <w:rsid w:val="00B160BA"/>
    <w:rsid w:val="00B1679A"/>
    <w:rsid w:val="00B16874"/>
    <w:rsid w:val="00B173A6"/>
    <w:rsid w:val="00B17738"/>
    <w:rsid w:val="00B17EAF"/>
    <w:rsid w:val="00B20277"/>
    <w:rsid w:val="00B20F92"/>
    <w:rsid w:val="00B218BF"/>
    <w:rsid w:val="00B226A8"/>
    <w:rsid w:val="00B227C2"/>
    <w:rsid w:val="00B22F73"/>
    <w:rsid w:val="00B23207"/>
    <w:rsid w:val="00B23916"/>
    <w:rsid w:val="00B2443A"/>
    <w:rsid w:val="00B2584A"/>
    <w:rsid w:val="00B25986"/>
    <w:rsid w:val="00B259AD"/>
    <w:rsid w:val="00B25D4F"/>
    <w:rsid w:val="00B26467"/>
    <w:rsid w:val="00B2702C"/>
    <w:rsid w:val="00B2769C"/>
    <w:rsid w:val="00B3289E"/>
    <w:rsid w:val="00B32D05"/>
    <w:rsid w:val="00B331BA"/>
    <w:rsid w:val="00B33C99"/>
    <w:rsid w:val="00B340CE"/>
    <w:rsid w:val="00B3434F"/>
    <w:rsid w:val="00B34381"/>
    <w:rsid w:val="00B34DC4"/>
    <w:rsid w:val="00B36042"/>
    <w:rsid w:val="00B36975"/>
    <w:rsid w:val="00B36B0A"/>
    <w:rsid w:val="00B403B2"/>
    <w:rsid w:val="00B409D3"/>
    <w:rsid w:val="00B41B8D"/>
    <w:rsid w:val="00B436A6"/>
    <w:rsid w:val="00B44A1F"/>
    <w:rsid w:val="00B44A22"/>
    <w:rsid w:val="00B45215"/>
    <w:rsid w:val="00B47E91"/>
    <w:rsid w:val="00B502D1"/>
    <w:rsid w:val="00B50739"/>
    <w:rsid w:val="00B5125A"/>
    <w:rsid w:val="00B513B5"/>
    <w:rsid w:val="00B51F2E"/>
    <w:rsid w:val="00B549C3"/>
    <w:rsid w:val="00B55090"/>
    <w:rsid w:val="00B55219"/>
    <w:rsid w:val="00B55D12"/>
    <w:rsid w:val="00B56151"/>
    <w:rsid w:val="00B5649E"/>
    <w:rsid w:val="00B56D04"/>
    <w:rsid w:val="00B56F25"/>
    <w:rsid w:val="00B60807"/>
    <w:rsid w:val="00B60CEB"/>
    <w:rsid w:val="00B616A3"/>
    <w:rsid w:val="00B61C07"/>
    <w:rsid w:val="00B64123"/>
    <w:rsid w:val="00B64FD3"/>
    <w:rsid w:val="00B66423"/>
    <w:rsid w:val="00B6675C"/>
    <w:rsid w:val="00B67197"/>
    <w:rsid w:val="00B6764F"/>
    <w:rsid w:val="00B67777"/>
    <w:rsid w:val="00B6781D"/>
    <w:rsid w:val="00B67A50"/>
    <w:rsid w:val="00B70E54"/>
    <w:rsid w:val="00B7103E"/>
    <w:rsid w:val="00B713A2"/>
    <w:rsid w:val="00B71AAC"/>
    <w:rsid w:val="00B72C78"/>
    <w:rsid w:val="00B73570"/>
    <w:rsid w:val="00B73B58"/>
    <w:rsid w:val="00B747ED"/>
    <w:rsid w:val="00B75699"/>
    <w:rsid w:val="00B76582"/>
    <w:rsid w:val="00B76877"/>
    <w:rsid w:val="00B76F98"/>
    <w:rsid w:val="00B77AE1"/>
    <w:rsid w:val="00B80AD6"/>
    <w:rsid w:val="00B80B3A"/>
    <w:rsid w:val="00B81673"/>
    <w:rsid w:val="00B81A07"/>
    <w:rsid w:val="00B81E0E"/>
    <w:rsid w:val="00B82120"/>
    <w:rsid w:val="00B8292F"/>
    <w:rsid w:val="00B832E2"/>
    <w:rsid w:val="00B83D6D"/>
    <w:rsid w:val="00B83D7B"/>
    <w:rsid w:val="00B8544F"/>
    <w:rsid w:val="00B8583C"/>
    <w:rsid w:val="00B85857"/>
    <w:rsid w:val="00B86140"/>
    <w:rsid w:val="00B86864"/>
    <w:rsid w:val="00B873C3"/>
    <w:rsid w:val="00B877CE"/>
    <w:rsid w:val="00B87810"/>
    <w:rsid w:val="00B87F97"/>
    <w:rsid w:val="00B9127E"/>
    <w:rsid w:val="00B9409B"/>
    <w:rsid w:val="00B94E34"/>
    <w:rsid w:val="00B94F6D"/>
    <w:rsid w:val="00B968B6"/>
    <w:rsid w:val="00B96B61"/>
    <w:rsid w:val="00B9711A"/>
    <w:rsid w:val="00B97815"/>
    <w:rsid w:val="00BA01F6"/>
    <w:rsid w:val="00BA0CFD"/>
    <w:rsid w:val="00BA12B2"/>
    <w:rsid w:val="00BA1A2B"/>
    <w:rsid w:val="00BA1D80"/>
    <w:rsid w:val="00BA2D18"/>
    <w:rsid w:val="00BA443A"/>
    <w:rsid w:val="00BA470A"/>
    <w:rsid w:val="00BA5072"/>
    <w:rsid w:val="00BA5515"/>
    <w:rsid w:val="00BA6C01"/>
    <w:rsid w:val="00BA74D1"/>
    <w:rsid w:val="00BB0425"/>
    <w:rsid w:val="00BB12A9"/>
    <w:rsid w:val="00BB1772"/>
    <w:rsid w:val="00BB1F63"/>
    <w:rsid w:val="00BB2618"/>
    <w:rsid w:val="00BB2939"/>
    <w:rsid w:val="00BB2B9D"/>
    <w:rsid w:val="00BB330C"/>
    <w:rsid w:val="00BB3923"/>
    <w:rsid w:val="00BB3B36"/>
    <w:rsid w:val="00BB3BD5"/>
    <w:rsid w:val="00BB3F7A"/>
    <w:rsid w:val="00BB4891"/>
    <w:rsid w:val="00BB57D3"/>
    <w:rsid w:val="00BB5CA0"/>
    <w:rsid w:val="00BB7AC2"/>
    <w:rsid w:val="00BB7E0C"/>
    <w:rsid w:val="00BC0E96"/>
    <w:rsid w:val="00BC107B"/>
    <w:rsid w:val="00BC109F"/>
    <w:rsid w:val="00BC1277"/>
    <w:rsid w:val="00BC69F6"/>
    <w:rsid w:val="00BC6F30"/>
    <w:rsid w:val="00BC6F8C"/>
    <w:rsid w:val="00BD0A3C"/>
    <w:rsid w:val="00BD0AB4"/>
    <w:rsid w:val="00BD1287"/>
    <w:rsid w:val="00BD153D"/>
    <w:rsid w:val="00BD15F2"/>
    <w:rsid w:val="00BD1D0C"/>
    <w:rsid w:val="00BD24A9"/>
    <w:rsid w:val="00BD24CE"/>
    <w:rsid w:val="00BD2AEF"/>
    <w:rsid w:val="00BD2C7E"/>
    <w:rsid w:val="00BD2E81"/>
    <w:rsid w:val="00BD3662"/>
    <w:rsid w:val="00BD3BAF"/>
    <w:rsid w:val="00BD45D5"/>
    <w:rsid w:val="00BD508C"/>
    <w:rsid w:val="00BD5F6D"/>
    <w:rsid w:val="00BD68E0"/>
    <w:rsid w:val="00BD6AF2"/>
    <w:rsid w:val="00BD6BB5"/>
    <w:rsid w:val="00BE0BE0"/>
    <w:rsid w:val="00BE16C0"/>
    <w:rsid w:val="00BE1CCA"/>
    <w:rsid w:val="00BE2730"/>
    <w:rsid w:val="00BE2C8F"/>
    <w:rsid w:val="00BE2F58"/>
    <w:rsid w:val="00BE51A0"/>
    <w:rsid w:val="00BE5996"/>
    <w:rsid w:val="00BE59C9"/>
    <w:rsid w:val="00BE5C33"/>
    <w:rsid w:val="00BE687C"/>
    <w:rsid w:val="00BE69CD"/>
    <w:rsid w:val="00BE6B30"/>
    <w:rsid w:val="00BE6FA7"/>
    <w:rsid w:val="00BE7812"/>
    <w:rsid w:val="00BE7D86"/>
    <w:rsid w:val="00BE7E49"/>
    <w:rsid w:val="00BF0B63"/>
    <w:rsid w:val="00BF1346"/>
    <w:rsid w:val="00BF1A0E"/>
    <w:rsid w:val="00BF1DC1"/>
    <w:rsid w:val="00BF2161"/>
    <w:rsid w:val="00BF2BA5"/>
    <w:rsid w:val="00BF393A"/>
    <w:rsid w:val="00BF440F"/>
    <w:rsid w:val="00BF4483"/>
    <w:rsid w:val="00BF4874"/>
    <w:rsid w:val="00BF4E38"/>
    <w:rsid w:val="00BF5581"/>
    <w:rsid w:val="00BF56E3"/>
    <w:rsid w:val="00BF5993"/>
    <w:rsid w:val="00BF6433"/>
    <w:rsid w:val="00C0097E"/>
    <w:rsid w:val="00C00D54"/>
    <w:rsid w:val="00C01C16"/>
    <w:rsid w:val="00C0256F"/>
    <w:rsid w:val="00C025DE"/>
    <w:rsid w:val="00C03392"/>
    <w:rsid w:val="00C03EB0"/>
    <w:rsid w:val="00C04438"/>
    <w:rsid w:val="00C04D54"/>
    <w:rsid w:val="00C05C96"/>
    <w:rsid w:val="00C05CFB"/>
    <w:rsid w:val="00C05ED8"/>
    <w:rsid w:val="00C0639D"/>
    <w:rsid w:val="00C0659A"/>
    <w:rsid w:val="00C108BA"/>
    <w:rsid w:val="00C11A9F"/>
    <w:rsid w:val="00C13BAF"/>
    <w:rsid w:val="00C147EE"/>
    <w:rsid w:val="00C14E8D"/>
    <w:rsid w:val="00C14F7E"/>
    <w:rsid w:val="00C15265"/>
    <w:rsid w:val="00C158CD"/>
    <w:rsid w:val="00C16551"/>
    <w:rsid w:val="00C16963"/>
    <w:rsid w:val="00C17127"/>
    <w:rsid w:val="00C171C7"/>
    <w:rsid w:val="00C17544"/>
    <w:rsid w:val="00C201FE"/>
    <w:rsid w:val="00C214A6"/>
    <w:rsid w:val="00C21740"/>
    <w:rsid w:val="00C220CC"/>
    <w:rsid w:val="00C22F93"/>
    <w:rsid w:val="00C23E97"/>
    <w:rsid w:val="00C24186"/>
    <w:rsid w:val="00C25330"/>
    <w:rsid w:val="00C25493"/>
    <w:rsid w:val="00C2572D"/>
    <w:rsid w:val="00C263B4"/>
    <w:rsid w:val="00C2650D"/>
    <w:rsid w:val="00C26734"/>
    <w:rsid w:val="00C2673A"/>
    <w:rsid w:val="00C26753"/>
    <w:rsid w:val="00C26915"/>
    <w:rsid w:val="00C26B8C"/>
    <w:rsid w:val="00C2723C"/>
    <w:rsid w:val="00C31425"/>
    <w:rsid w:val="00C31B78"/>
    <w:rsid w:val="00C31C2B"/>
    <w:rsid w:val="00C33F81"/>
    <w:rsid w:val="00C3418C"/>
    <w:rsid w:val="00C3503F"/>
    <w:rsid w:val="00C3524E"/>
    <w:rsid w:val="00C35509"/>
    <w:rsid w:val="00C359DD"/>
    <w:rsid w:val="00C36315"/>
    <w:rsid w:val="00C3759B"/>
    <w:rsid w:val="00C37D0A"/>
    <w:rsid w:val="00C4055A"/>
    <w:rsid w:val="00C40C31"/>
    <w:rsid w:val="00C40EF8"/>
    <w:rsid w:val="00C4131A"/>
    <w:rsid w:val="00C4136F"/>
    <w:rsid w:val="00C41457"/>
    <w:rsid w:val="00C4167A"/>
    <w:rsid w:val="00C416E0"/>
    <w:rsid w:val="00C42C48"/>
    <w:rsid w:val="00C430C1"/>
    <w:rsid w:val="00C43497"/>
    <w:rsid w:val="00C437D7"/>
    <w:rsid w:val="00C43825"/>
    <w:rsid w:val="00C43E65"/>
    <w:rsid w:val="00C4405B"/>
    <w:rsid w:val="00C44684"/>
    <w:rsid w:val="00C44737"/>
    <w:rsid w:val="00C44749"/>
    <w:rsid w:val="00C4475C"/>
    <w:rsid w:val="00C452DE"/>
    <w:rsid w:val="00C45B32"/>
    <w:rsid w:val="00C45C99"/>
    <w:rsid w:val="00C463BD"/>
    <w:rsid w:val="00C50527"/>
    <w:rsid w:val="00C512E1"/>
    <w:rsid w:val="00C51B85"/>
    <w:rsid w:val="00C51D9B"/>
    <w:rsid w:val="00C5244B"/>
    <w:rsid w:val="00C5289F"/>
    <w:rsid w:val="00C528C9"/>
    <w:rsid w:val="00C52BC5"/>
    <w:rsid w:val="00C537E5"/>
    <w:rsid w:val="00C541CB"/>
    <w:rsid w:val="00C54958"/>
    <w:rsid w:val="00C562BD"/>
    <w:rsid w:val="00C56DBB"/>
    <w:rsid w:val="00C56E58"/>
    <w:rsid w:val="00C60EEE"/>
    <w:rsid w:val="00C6117D"/>
    <w:rsid w:val="00C62B3B"/>
    <w:rsid w:val="00C62DFE"/>
    <w:rsid w:val="00C62F98"/>
    <w:rsid w:val="00C62FC0"/>
    <w:rsid w:val="00C63970"/>
    <w:rsid w:val="00C64A6E"/>
    <w:rsid w:val="00C64CC8"/>
    <w:rsid w:val="00C64DEC"/>
    <w:rsid w:val="00C65E05"/>
    <w:rsid w:val="00C65F18"/>
    <w:rsid w:val="00C664F8"/>
    <w:rsid w:val="00C667AB"/>
    <w:rsid w:val="00C66869"/>
    <w:rsid w:val="00C6698E"/>
    <w:rsid w:val="00C67351"/>
    <w:rsid w:val="00C70BA3"/>
    <w:rsid w:val="00C70D4E"/>
    <w:rsid w:val="00C713AA"/>
    <w:rsid w:val="00C71E65"/>
    <w:rsid w:val="00C72ED2"/>
    <w:rsid w:val="00C73A5A"/>
    <w:rsid w:val="00C748AA"/>
    <w:rsid w:val="00C74F5C"/>
    <w:rsid w:val="00C75871"/>
    <w:rsid w:val="00C75D5C"/>
    <w:rsid w:val="00C77800"/>
    <w:rsid w:val="00C811DA"/>
    <w:rsid w:val="00C82131"/>
    <w:rsid w:val="00C826F4"/>
    <w:rsid w:val="00C8353E"/>
    <w:rsid w:val="00C83DC1"/>
    <w:rsid w:val="00C8425F"/>
    <w:rsid w:val="00C84AC5"/>
    <w:rsid w:val="00C85334"/>
    <w:rsid w:val="00C8536D"/>
    <w:rsid w:val="00C865F7"/>
    <w:rsid w:val="00C866B7"/>
    <w:rsid w:val="00C86E23"/>
    <w:rsid w:val="00C87062"/>
    <w:rsid w:val="00C87069"/>
    <w:rsid w:val="00C87074"/>
    <w:rsid w:val="00C90D36"/>
    <w:rsid w:val="00C9146F"/>
    <w:rsid w:val="00C91EB0"/>
    <w:rsid w:val="00C9322D"/>
    <w:rsid w:val="00C93E1E"/>
    <w:rsid w:val="00C94943"/>
    <w:rsid w:val="00C949C4"/>
    <w:rsid w:val="00C94E6F"/>
    <w:rsid w:val="00C950CA"/>
    <w:rsid w:val="00C95788"/>
    <w:rsid w:val="00C95F4B"/>
    <w:rsid w:val="00C95F52"/>
    <w:rsid w:val="00C96166"/>
    <w:rsid w:val="00C96DDC"/>
    <w:rsid w:val="00C979B2"/>
    <w:rsid w:val="00CA0B98"/>
    <w:rsid w:val="00CA1A62"/>
    <w:rsid w:val="00CA1EF1"/>
    <w:rsid w:val="00CA24A7"/>
    <w:rsid w:val="00CA2EC6"/>
    <w:rsid w:val="00CA2F3A"/>
    <w:rsid w:val="00CA2F64"/>
    <w:rsid w:val="00CA4976"/>
    <w:rsid w:val="00CA5A18"/>
    <w:rsid w:val="00CA6C7B"/>
    <w:rsid w:val="00CA7651"/>
    <w:rsid w:val="00CB085B"/>
    <w:rsid w:val="00CB146B"/>
    <w:rsid w:val="00CB1D13"/>
    <w:rsid w:val="00CB2760"/>
    <w:rsid w:val="00CB2A57"/>
    <w:rsid w:val="00CB2F2A"/>
    <w:rsid w:val="00CB32BF"/>
    <w:rsid w:val="00CB3779"/>
    <w:rsid w:val="00CB49F5"/>
    <w:rsid w:val="00CB4CA3"/>
    <w:rsid w:val="00CB5215"/>
    <w:rsid w:val="00CB5A57"/>
    <w:rsid w:val="00CB6655"/>
    <w:rsid w:val="00CB67FA"/>
    <w:rsid w:val="00CB6A85"/>
    <w:rsid w:val="00CB6FDA"/>
    <w:rsid w:val="00CB72D1"/>
    <w:rsid w:val="00CB7626"/>
    <w:rsid w:val="00CB7714"/>
    <w:rsid w:val="00CB7CBE"/>
    <w:rsid w:val="00CB7DB6"/>
    <w:rsid w:val="00CC012F"/>
    <w:rsid w:val="00CC0C07"/>
    <w:rsid w:val="00CC211F"/>
    <w:rsid w:val="00CC309C"/>
    <w:rsid w:val="00CC35A4"/>
    <w:rsid w:val="00CC4989"/>
    <w:rsid w:val="00CC51DF"/>
    <w:rsid w:val="00CC522E"/>
    <w:rsid w:val="00CC55EE"/>
    <w:rsid w:val="00CC5E16"/>
    <w:rsid w:val="00CC5FBB"/>
    <w:rsid w:val="00CC6928"/>
    <w:rsid w:val="00CC6BA4"/>
    <w:rsid w:val="00CC703D"/>
    <w:rsid w:val="00CC7507"/>
    <w:rsid w:val="00CD0BA9"/>
    <w:rsid w:val="00CD14BB"/>
    <w:rsid w:val="00CD1A77"/>
    <w:rsid w:val="00CD1E0E"/>
    <w:rsid w:val="00CD1F72"/>
    <w:rsid w:val="00CD2151"/>
    <w:rsid w:val="00CD251A"/>
    <w:rsid w:val="00CD38DC"/>
    <w:rsid w:val="00CD3AB8"/>
    <w:rsid w:val="00CD4066"/>
    <w:rsid w:val="00CD4B0D"/>
    <w:rsid w:val="00CD5D89"/>
    <w:rsid w:val="00CD5F4E"/>
    <w:rsid w:val="00CD6106"/>
    <w:rsid w:val="00CD6B6A"/>
    <w:rsid w:val="00CD7735"/>
    <w:rsid w:val="00CD7CC8"/>
    <w:rsid w:val="00CD7CCE"/>
    <w:rsid w:val="00CE00EF"/>
    <w:rsid w:val="00CE0456"/>
    <w:rsid w:val="00CE0983"/>
    <w:rsid w:val="00CE0B38"/>
    <w:rsid w:val="00CE1367"/>
    <w:rsid w:val="00CE3BE8"/>
    <w:rsid w:val="00CE4165"/>
    <w:rsid w:val="00CE481B"/>
    <w:rsid w:val="00CE6B65"/>
    <w:rsid w:val="00CE6F2A"/>
    <w:rsid w:val="00CE71EC"/>
    <w:rsid w:val="00CE7F43"/>
    <w:rsid w:val="00CF0373"/>
    <w:rsid w:val="00CF08A5"/>
    <w:rsid w:val="00CF16AD"/>
    <w:rsid w:val="00CF1883"/>
    <w:rsid w:val="00CF199B"/>
    <w:rsid w:val="00CF2046"/>
    <w:rsid w:val="00CF3387"/>
    <w:rsid w:val="00CF3EA3"/>
    <w:rsid w:val="00CF4332"/>
    <w:rsid w:val="00CF5016"/>
    <w:rsid w:val="00CF5511"/>
    <w:rsid w:val="00CF5609"/>
    <w:rsid w:val="00CF5A1C"/>
    <w:rsid w:val="00CF6430"/>
    <w:rsid w:val="00CF7538"/>
    <w:rsid w:val="00CF7A43"/>
    <w:rsid w:val="00D00DF8"/>
    <w:rsid w:val="00D014A1"/>
    <w:rsid w:val="00D01710"/>
    <w:rsid w:val="00D019F1"/>
    <w:rsid w:val="00D02050"/>
    <w:rsid w:val="00D0217B"/>
    <w:rsid w:val="00D02432"/>
    <w:rsid w:val="00D02B6D"/>
    <w:rsid w:val="00D05085"/>
    <w:rsid w:val="00D05AF0"/>
    <w:rsid w:val="00D063A6"/>
    <w:rsid w:val="00D06C66"/>
    <w:rsid w:val="00D1059E"/>
    <w:rsid w:val="00D11849"/>
    <w:rsid w:val="00D11B65"/>
    <w:rsid w:val="00D13562"/>
    <w:rsid w:val="00D13B32"/>
    <w:rsid w:val="00D13B58"/>
    <w:rsid w:val="00D14B32"/>
    <w:rsid w:val="00D1553B"/>
    <w:rsid w:val="00D16344"/>
    <w:rsid w:val="00D165C3"/>
    <w:rsid w:val="00D16FD9"/>
    <w:rsid w:val="00D1775A"/>
    <w:rsid w:val="00D179EB"/>
    <w:rsid w:val="00D17ED2"/>
    <w:rsid w:val="00D20343"/>
    <w:rsid w:val="00D21E91"/>
    <w:rsid w:val="00D22091"/>
    <w:rsid w:val="00D2225C"/>
    <w:rsid w:val="00D22316"/>
    <w:rsid w:val="00D22530"/>
    <w:rsid w:val="00D2383D"/>
    <w:rsid w:val="00D23C22"/>
    <w:rsid w:val="00D23F86"/>
    <w:rsid w:val="00D24DD9"/>
    <w:rsid w:val="00D253C8"/>
    <w:rsid w:val="00D258BE"/>
    <w:rsid w:val="00D25B76"/>
    <w:rsid w:val="00D25F73"/>
    <w:rsid w:val="00D26B79"/>
    <w:rsid w:val="00D27776"/>
    <w:rsid w:val="00D27EA4"/>
    <w:rsid w:val="00D30931"/>
    <w:rsid w:val="00D32017"/>
    <w:rsid w:val="00D327DE"/>
    <w:rsid w:val="00D3375C"/>
    <w:rsid w:val="00D33B55"/>
    <w:rsid w:val="00D34DB8"/>
    <w:rsid w:val="00D3598B"/>
    <w:rsid w:val="00D36BB6"/>
    <w:rsid w:val="00D37138"/>
    <w:rsid w:val="00D37BA8"/>
    <w:rsid w:val="00D37DDD"/>
    <w:rsid w:val="00D40139"/>
    <w:rsid w:val="00D408B5"/>
    <w:rsid w:val="00D40A7B"/>
    <w:rsid w:val="00D41CC9"/>
    <w:rsid w:val="00D41CED"/>
    <w:rsid w:val="00D430BE"/>
    <w:rsid w:val="00D43A8B"/>
    <w:rsid w:val="00D446BF"/>
    <w:rsid w:val="00D44A8A"/>
    <w:rsid w:val="00D44B98"/>
    <w:rsid w:val="00D45BAF"/>
    <w:rsid w:val="00D460EC"/>
    <w:rsid w:val="00D4789C"/>
    <w:rsid w:val="00D47C74"/>
    <w:rsid w:val="00D47E04"/>
    <w:rsid w:val="00D50BDC"/>
    <w:rsid w:val="00D51471"/>
    <w:rsid w:val="00D518B6"/>
    <w:rsid w:val="00D51DB5"/>
    <w:rsid w:val="00D52AB7"/>
    <w:rsid w:val="00D540A0"/>
    <w:rsid w:val="00D556F9"/>
    <w:rsid w:val="00D56587"/>
    <w:rsid w:val="00D56FBF"/>
    <w:rsid w:val="00D574AF"/>
    <w:rsid w:val="00D6083E"/>
    <w:rsid w:val="00D61D07"/>
    <w:rsid w:val="00D62D27"/>
    <w:rsid w:val="00D63576"/>
    <w:rsid w:val="00D6391E"/>
    <w:rsid w:val="00D6418C"/>
    <w:rsid w:val="00D65BF2"/>
    <w:rsid w:val="00D66485"/>
    <w:rsid w:val="00D667F6"/>
    <w:rsid w:val="00D66866"/>
    <w:rsid w:val="00D6740F"/>
    <w:rsid w:val="00D6769F"/>
    <w:rsid w:val="00D70894"/>
    <w:rsid w:val="00D70E1D"/>
    <w:rsid w:val="00D7163D"/>
    <w:rsid w:val="00D71E9E"/>
    <w:rsid w:val="00D72A1F"/>
    <w:rsid w:val="00D73329"/>
    <w:rsid w:val="00D76718"/>
    <w:rsid w:val="00D7764C"/>
    <w:rsid w:val="00D77C64"/>
    <w:rsid w:val="00D77E8B"/>
    <w:rsid w:val="00D77ECC"/>
    <w:rsid w:val="00D80588"/>
    <w:rsid w:val="00D81283"/>
    <w:rsid w:val="00D815EE"/>
    <w:rsid w:val="00D81825"/>
    <w:rsid w:val="00D82531"/>
    <w:rsid w:val="00D82558"/>
    <w:rsid w:val="00D82C46"/>
    <w:rsid w:val="00D833A2"/>
    <w:rsid w:val="00D83417"/>
    <w:rsid w:val="00D836E4"/>
    <w:rsid w:val="00D8374A"/>
    <w:rsid w:val="00D84F48"/>
    <w:rsid w:val="00D85849"/>
    <w:rsid w:val="00D85B1C"/>
    <w:rsid w:val="00D86CBF"/>
    <w:rsid w:val="00D86E00"/>
    <w:rsid w:val="00D879FB"/>
    <w:rsid w:val="00D905F7"/>
    <w:rsid w:val="00D906A4"/>
    <w:rsid w:val="00D9088A"/>
    <w:rsid w:val="00D90CF1"/>
    <w:rsid w:val="00D91525"/>
    <w:rsid w:val="00D91DFA"/>
    <w:rsid w:val="00D9250A"/>
    <w:rsid w:val="00D9320E"/>
    <w:rsid w:val="00D93416"/>
    <w:rsid w:val="00D938D7"/>
    <w:rsid w:val="00D94BF6"/>
    <w:rsid w:val="00D95094"/>
    <w:rsid w:val="00D963B6"/>
    <w:rsid w:val="00D968DF"/>
    <w:rsid w:val="00D96D15"/>
    <w:rsid w:val="00D96EF4"/>
    <w:rsid w:val="00DA0CEE"/>
    <w:rsid w:val="00DA0E1A"/>
    <w:rsid w:val="00DA1664"/>
    <w:rsid w:val="00DA1BF4"/>
    <w:rsid w:val="00DA2851"/>
    <w:rsid w:val="00DA2896"/>
    <w:rsid w:val="00DA2BB4"/>
    <w:rsid w:val="00DA32E1"/>
    <w:rsid w:val="00DA3553"/>
    <w:rsid w:val="00DA3D0D"/>
    <w:rsid w:val="00DA3E7F"/>
    <w:rsid w:val="00DA4142"/>
    <w:rsid w:val="00DA5539"/>
    <w:rsid w:val="00DA56A7"/>
    <w:rsid w:val="00DB03E5"/>
    <w:rsid w:val="00DB1315"/>
    <w:rsid w:val="00DB226B"/>
    <w:rsid w:val="00DB254E"/>
    <w:rsid w:val="00DB2D01"/>
    <w:rsid w:val="00DB366D"/>
    <w:rsid w:val="00DB3E2B"/>
    <w:rsid w:val="00DB3F25"/>
    <w:rsid w:val="00DB478D"/>
    <w:rsid w:val="00DB4DA2"/>
    <w:rsid w:val="00DB52FE"/>
    <w:rsid w:val="00DB5634"/>
    <w:rsid w:val="00DB5C65"/>
    <w:rsid w:val="00DB6733"/>
    <w:rsid w:val="00DB69A9"/>
    <w:rsid w:val="00DB6A60"/>
    <w:rsid w:val="00DB6AD0"/>
    <w:rsid w:val="00DB75BC"/>
    <w:rsid w:val="00DB775A"/>
    <w:rsid w:val="00DB7E76"/>
    <w:rsid w:val="00DC0E02"/>
    <w:rsid w:val="00DC0EF1"/>
    <w:rsid w:val="00DC1502"/>
    <w:rsid w:val="00DC1BA9"/>
    <w:rsid w:val="00DC1CBC"/>
    <w:rsid w:val="00DC210A"/>
    <w:rsid w:val="00DC2F56"/>
    <w:rsid w:val="00DC4944"/>
    <w:rsid w:val="00DC5099"/>
    <w:rsid w:val="00DC671C"/>
    <w:rsid w:val="00DC7AED"/>
    <w:rsid w:val="00DC7C2C"/>
    <w:rsid w:val="00DD024B"/>
    <w:rsid w:val="00DD08EE"/>
    <w:rsid w:val="00DD0ADB"/>
    <w:rsid w:val="00DD0DFB"/>
    <w:rsid w:val="00DD10B0"/>
    <w:rsid w:val="00DD147E"/>
    <w:rsid w:val="00DD15A8"/>
    <w:rsid w:val="00DD2530"/>
    <w:rsid w:val="00DD2C1E"/>
    <w:rsid w:val="00DD3539"/>
    <w:rsid w:val="00DD37AE"/>
    <w:rsid w:val="00DD4383"/>
    <w:rsid w:val="00DD4D8F"/>
    <w:rsid w:val="00DD51AC"/>
    <w:rsid w:val="00DD5BF2"/>
    <w:rsid w:val="00DD5DF4"/>
    <w:rsid w:val="00DD6251"/>
    <w:rsid w:val="00DD6EA2"/>
    <w:rsid w:val="00DD6F97"/>
    <w:rsid w:val="00DD7768"/>
    <w:rsid w:val="00DE10DD"/>
    <w:rsid w:val="00DE1616"/>
    <w:rsid w:val="00DE1C17"/>
    <w:rsid w:val="00DE25A4"/>
    <w:rsid w:val="00DE361A"/>
    <w:rsid w:val="00DE361F"/>
    <w:rsid w:val="00DE4014"/>
    <w:rsid w:val="00DE4E3C"/>
    <w:rsid w:val="00DE521A"/>
    <w:rsid w:val="00DE596D"/>
    <w:rsid w:val="00DE5D46"/>
    <w:rsid w:val="00DE639D"/>
    <w:rsid w:val="00DE6512"/>
    <w:rsid w:val="00DE789A"/>
    <w:rsid w:val="00DF004F"/>
    <w:rsid w:val="00DF0A00"/>
    <w:rsid w:val="00DF10FE"/>
    <w:rsid w:val="00DF23AB"/>
    <w:rsid w:val="00DF31FE"/>
    <w:rsid w:val="00DF3E8D"/>
    <w:rsid w:val="00DF540B"/>
    <w:rsid w:val="00DF551F"/>
    <w:rsid w:val="00DF5A16"/>
    <w:rsid w:val="00DF5F87"/>
    <w:rsid w:val="00DF5F98"/>
    <w:rsid w:val="00DF5FC8"/>
    <w:rsid w:val="00DF6FB9"/>
    <w:rsid w:val="00DF7285"/>
    <w:rsid w:val="00DF7D51"/>
    <w:rsid w:val="00E00893"/>
    <w:rsid w:val="00E00E90"/>
    <w:rsid w:val="00E01157"/>
    <w:rsid w:val="00E02093"/>
    <w:rsid w:val="00E02919"/>
    <w:rsid w:val="00E030A2"/>
    <w:rsid w:val="00E030E3"/>
    <w:rsid w:val="00E0336A"/>
    <w:rsid w:val="00E03B4C"/>
    <w:rsid w:val="00E03BAB"/>
    <w:rsid w:val="00E03C7B"/>
    <w:rsid w:val="00E03ECC"/>
    <w:rsid w:val="00E03EE7"/>
    <w:rsid w:val="00E03F7F"/>
    <w:rsid w:val="00E056C4"/>
    <w:rsid w:val="00E0574D"/>
    <w:rsid w:val="00E06584"/>
    <w:rsid w:val="00E0729D"/>
    <w:rsid w:val="00E072B1"/>
    <w:rsid w:val="00E07D25"/>
    <w:rsid w:val="00E07DCF"/>
    <w:rsid w:val="00E1060C"/>
    <w:rsid w:val="00E108E0"/>
    <w:rsid w:val="00E10DFC"/>
    <w:rsid w:val="00E12508"/>
    <w:rsid w:val="00E1295F"/>
    <w:rsid w:val="00E12AD8"/>
    <w:rsid w:val="00E134C7"/>
    <w:rsid w:val="00E13C2E"/>
    <w:rsid w:val="00E14334"/>
    <w:rsid w:val="00E1528A"/>
    <w:rsid w:val="00E1554F"/>
    <w:rsid w:val="00E155F5"/>
    <w:rsid w:val="00E156D4"/>
    <w:rsid w:val="00E156DF"/>
    <w:rsid w:val="00E160B8"/>
    <w:rsid w:val="00E161BC"/>
    <w:rsid w:val="00E16E10"/>
    <w:rsid w:val="00E2015D"/>
    <w:rsid w:val="00E20372"/>
    <w:rsid w:val="00E20782"/>
    <w:rsid w:val="00E20ACB"/>
    <w:rsid w:val="00E21187"/>
    <w:rsid w:val="00E21847"/>
    <w:rsid w:val="00E21941"/>
    <w:rsid w:val="00E21EB9"/>
    <w:rsid w:val="00E23022"/>
    <w:rsid w:val="00E2481B"/>
    <w:rsid w:val="00E24AF6"/>
    <w:rsid w:val="00E25AF9"/>
    <w:rsid w:val="00E26148"/>
    <w:rsid w:val="00E265F4"/>
    <w:rsid w:val="00E26FB5"/>
    <w:rsid w:val="00E2756B"/>
    <w:rsid w:val="00E27B4E"/>
    <w:rsid w:val="00E27EBA"/>
    <w:rsid w:val="00E27F9A"/>
    <w:rsid w:val="00E3030E"/>
    <w:rsid w:val="00E31BB3"/>
    <w:rsid w:val="00E323FB"/>
    <w:rsid w:val="00E3289F"/>
    <w:rsid w:val="00E339F2"/>
    <w:rsid w:val="00E343C3"/>
    <w:rsid w:val="00E36AA7"/>
    <w:rsid w:val="00E37074"/>
    <w:rsid w:val="00E3779D"/>
    <w:rsid w:val="00E37AD5"/>
    <w:rsid w:val="00E37B9A"/>
    <w:rsid w:val="00E402BD"/>
    <w:rsid w:val="00E40E25"/>
    <w:rsid w:val="00E418B3"/>
    <w:rsid w:val="00E41D8C"/>
    <w:rsid w:val="00E42BE9"/>
    <w:rsid w:val="00E432D1"/>
    <w:rsid w:val="00E442E6"/>
    <w:rsid w:val="00E4574C"/>
    <w:rsid w:val="00E4577F"/>
    <w:rsid w:val="00E45E5C"/>
    <w:rsid w:val="00E45FAC"/>
    <w:rsid w:val="00E465FC"/>
    <w:rsid w:val="00E46630"/>
    <w:rsid w:val="00E4783B"/>
    <w:rsid w:val="00E50775"/>
    <w:rsid w:val="00E50A22"/>
    <w:rsid w:val="00E51691"/>
    <w:rsid w:val="00E519ED"/>
    <w:rsid w:val="00E524E7"/>
    <w:rsid w:val="00E53AB6"/>
    <w:rsid w:val="00E53E1A"/>
    <w:rsid w:val="00E55A49"/>
    <w:rsid w:val="00E56126"/>
    <w:rsid w:val="00E569EF"/>
    <w:rsid w:val="00E56CC6"/>
    <w:rsid w:val="00E56EC0"/>
    <w:rsid w:val="00E601FD"/>
    <w:rsid w:val="00E6038A"/>
    <w:rsid w:val="00E60547"/>
    <w:rsid w:val="00E60861"/>
    <w:rsid w:val="00E608F5"/>
    <w:rsid w:val="00E614BF"/>
    <w:rsid w:val="00E617C0"/>
    <w:rsid w:val="00E61B78"/>
    <w:rsid w:val="00E6263B"/>
    <w:rsid w:val="00E6269D"/>
    <w:rsid w:val="00E628E4"/>
    <w:rsid w:val="00E63779"/>
    <w:rsid w:val="00E63BA9"/>
    <w:rsid w:val="00E641B7"/>
    <w:rsid w:val="00E64D03"/>
    <w:rsid w:val="00E654C1"/>
    <w:rsid w:val="00E65648"/>
    <w:rsid w:val="00E6609B"/>
    <w:rsid w:val="00E66807"/>
    <w:rsid w:val="00E67408"/>
    <w:rsid w:val="00E6764C"/>
    <w:rsid w:val="00E67D0B"/>
    <w:rsid w:val="00E67DB8"/>
    <w:rsid w:val="00E707B2"/>
    <w:rsid w:val="00E715D5"/>
    <w:rsid w:val="00E72CB4"/>
    <w:rsid w:val="00E72E3E"/>
    <w:rsid w:val="00E731EE"/>
    <w:rsid w:val="00E73625"/>
    <w:rsid w:val="00E73C75"/>
    <w:rsid w:val="00E7451F"/>
    <w:rsid w:val="00E74992"/>
    <w:rsid w:val="00E74BF1"/>
    <w:rsid w:val="00E74E3F"/>
    <w:rsid w:val="00E751E4"/>
    <w:rsid w:val="00E76A88"/>
    <w:rsid w:val="00E7737B"/>
    <w:rsid w:val="00E77408"/>
    <w:rsid w:val="00E77BE3"/>
    <w:rsid w:val="00E80072"/>
    <w:rsid w:val="00E804AC"/>
    <w:rsid w:val="00E804B1"/>
    <w:rsid w:val="00E8119A"/>
    <w:rsid w:val="00E813E1"/>
    <w:rsid w:val="00E821CD"/>
    <w:rsid w:val="00E82D93"/>
    <w:rsid w:val="00E83472"/>
    <w:rsid w:val="00E83AC3"/>
    <w:rsid w:val="00E83CF9"/>
    <w:rsid w:val="00E842D5"/>
    <w:rsid w:val="00E84927"/>
    <w:rsid w:val="00E8492A"/>
    <w:rsid w:val="00E85738"/>
    <w:rsid w:val="00E85D01"/>
    <w:rsid w:val="00E86BC4"/>
    <w:rsid w:val="00E870F3"/>
    <w:rsid w:val="00E872A0"/>
    <w:rsid w:val="00E872CE"/>
    <w:rsid w:val="00E902B2"/>
    <w:rsid w:val="00E91092"/>
    <w:rsid w:val="00E9120B"/>
    <w:rsid w:val="00E914F6"/>
    <w:rsid w:val="00E91578"/>
    <w:rsid w:val="00E915C4"/>
    <w:rsid w:val="00E91A45"/>
    <w:rsid w:val="00E92898"/>
    <w:rsid w:val="00E92A0A"/>
    <w:rsid w:val="00E92E60"/>
    <w:rsid w:val="00E94EF4"/>
    <w:rsid w:val="00E97424"/>
    <w:rsid w:val="00E979C1"/>
    <w:rsid w:val="00EA06B4"/>
    <w:rsid w:val="00EA0C2E"/>
    <w:rsid w:val="00EA101E"/>
    <w:rsid w:val="00EA20D4"/>
    <w:rsid w:val="00EA2765"/>
    <w:rsid w:val="00EA283E"/>
    <w:rsid w:val="00EA30AF"/>
    <w:rsid w:val="00EA32B1"/>
    <w:rsid w:val="00EA379E"/>
    <w:rsid w:val="00EA5B2A"/>
    <w:rsid w:val="00EA5BA1"/>
    <w:rsid w:val="00EA5FA1"/>
    <w:rsid w:val="00EA7FA8"/>
    <w:rsid w:val="00EB0987"/>
    <w:rsid w:val="00EB1009"/>
    <w:rsid w:val="00EB11D1"/>
    <w:rsid w:val="00EB16C1"/>
    <w:rsid w:val="00EB223C"/>
    <w:rsid w:val="00EB2E15"/>
    <w:rsid w:val="00EB3094"/>
    <w:rsid w:val="00EB3D4B"/>
    <w:rsid w:val="00EB45F5"/>
    <w:rsid w:val="00EB57C3"/>
    <w:rsid w:val="00EB6EEB"/>
    <w:rsid w:val="00EB7061"/>
    <w:rsid w:val="00EB70D4"/>
    <w:rsid w:val="00EB7654"/>
    <w:rsid w:val="00EB7695"/>
    <w:rsid w:val="00EC004F"/>
    <w:rsid w:val="00EC0150"/>
    <w:rsid w:val="00EC0541"/>
    <w:rsid w:val="00EC0639"/>
    <w:rsid w:val="00EC063F"/>
    <w:rsid w:val="00EC1CE4"/>
    <w:rsid w:val="00EC35FF"/>
    <w:rsid w:val="00EC4FE6"/>
    <w:rsid w:val="00EC51F0"/>
    <w:rsid w:val="00EC54B5"/>
    <w:rsid w:val="00EC6124"/>
    <w:rsid w:val="00EC62F1"/>
    <w:rsid w:val="00EC6EA7"/>
    <w:rsid w:val="00EC7D97"/>
    <w:rsid w:val="00ED0423"/>
    <w:rsid w:val="00ED20B1"/>
    <w:rsid w:val="00ED2386"/>
    <w:rsid w:val="00ED4A3D"/>
    <w:rsid w:val="00ED4BD4"/>
    <w:rsid w:val="00ED4C4B"/>
    <w:rsid w:val="00ED5FE0"/>
    <w:rsid w:val="00ED63A1"/>
    <w:rsid w:val="00ED7931"/>
    <w:rsid w:val="00EE04D4"/>
    <w:rsid w:val="00EE0D5D"/>
    <w:rsid w:val="00EE1154"/>
    <w:rsid w:val="00EE1480"/>
    <w:rsid w:val="00EE209C"/>
    <w:rsid w:val="00EE2BC3"/>
    <w:rsid w:val="00EE2E97"/>
    <w:rsid w:val="00EE352F"/>
    <w:rsid w:val="00EE4A31"/>
    <w:rsid w:val="00EE4E5B"/>
    <w:rsid w:val="00EE551A"/>
    <w:rsid w:val="00EE56FA"/>
    <w:rsid w:val="00EE6D2D"/>
    <w:rsid w:val="00EE72E6"/>
    <w:rsid w:val="00EE7743"/>
    <w:rsid w:val="00EE7CDE"/>
    <w:rsid w:val="00EF0098"/>
    <w:rsid w:val="00EF071B"/>
    <w:rsid w:val="00EF0CA7"/>
    <w:rsid w:val="00EF1493"/>
    <w:rsid w:val="00EF352C"/>
    <w:rsid w:val="00EF41E6"/>
    <w:rsid w:val="00EF4509"/>
    <w:rsid w:val="00EF573D"/>
    <w:rsid w:val="00EF7598"/>
    <w:rsid w:val="00EF7D29"/>
    <w:rsid w:val="00EF7D5F"/>
    <w:rsid w:val="00F0026B"/>
    <w:rsid w:val="00F00961"/>
    <w:rsid w:val="00F015D6"/>
    <w:rsid w:val="00F01D9B"/>
    <w:rsid w:val="00F028AC"/>
    <w:rsid w:val="00F02B9F"/>
    <w:rsid w:val="00F0309F"/>
    <w:rsid w:val="00F03B92"/>
    <w:rsid w:val="00F03DC6"/>
    <w:rsid w:val="00F03FDA"/>
    <w:rsid w:val="00F04C46"/>
    <w:rsid w:val="00F04E6C"/>
    <w:rsid w:val="00F052C0"/>
    <w:rsid w:val="00F056AC"/>
    <w:rsid w:val="00F056D5"/>
    <w:rsid w:val="00F05899"/>
    <w:rsid w:val="00F063EA"/>
    <w:rsid w:val="00F06555"/>
    <w:rsid w:val="00F065DB"/>
    <w:rsid w:val="00F07CDC"/>
    <w:rsid w:val="00F10177"/>
    <w:rsid w:val="00F103AF"/>
    <w:rsid w:val="00F113AC"/>
    <w:rsid w:val="00F1204D"/>
    <w:rsid w:val="00F126AD"/>
    <w:rsid w:val="00F12A09"/>
    <w:rsid w:val="00F13DB1"/>
    <w:rsid w:val="00F14093"/>
    <w:rsid w:val="00F1431A"/>
    <w:rsid w:val="00F15E0B"/>
    <w:rsid w:val="00F15E5B"/>
    <w:rsid w:val="00F16827"/>
    <w:rsid w:val="00F1768F"/>
    <w:rsid w:val="00F17F96"/>
    <w:rsid w:val="00F20772"/>
    <w:rsid w:val="00F2084B"/>
    <w:rsid w:val="00F21F72"/>
    <w:rsid w:val="00F23755"/>
    <w:rsid w:val="00F238BC"/>
    <w:rsid w:val="00F23B85"/>
    <w:rsid w:val="00F26579"/>
    <w:rsid w:val="00F267B9"/>
    <w:rsid w:val="00F26F1A"/>
    <w:rsid w:val="00F26F5F"/>
    <w:rsid w:val="00F27CEA"/>
    <w:rsid w:val="00F30517"/>
    <w:rsid w:val="00F30711"/>
    <w:rsid w:val="00F319A1"/>
    <w:rsid w:val="00F321A2"/>
    <w:rsid w:val="00F32BF6"/>
    <w:rsid w:val="00F34095"/>
    <w:rsid w:val="00F3495B"/>
    <w:rsid w:val="00F34B00"/>
    <w:rsid w:val="00F35496"/>
    <w:rsid w:val="00F36280"/>
    <w:rsid w:val="00F3674E"/>
    <w:rsid w:val="00F40196"/>
    <w:rsid w:val="00F40CBA"/>
    <w:rsid w:val="00F40DCA"/>
    <w:rsid w:val="00F419EC"/>
    <w:rsid w:val="00F41C70"/>
    <w:rsid w:val="00F4221B"/>
    <w:rsid w:val="00F42B6E"/>
    <w:rsid w:val="00F42E05"/>
    <w:rsid w:val="00F435F3"/>
    <w:rsid w:val="00F4466C"/>
    <w:rsid w:val="00F44F2B"/>
    <w:rsid w:val="00F44F5D"/>
    <w:rsid w:val="00F46A78"/>
    <w:rsid w:val="00F46AD9"/>
    <w:rsid w:val="00F4799F"/>
    <w:rsid w:val="00F5090D"/>
    <w:rsid w:val="00F50FBB"/>
    <w:rsid w:val="00F52F82"/>
    <w:rsid w:val="00F535D0"/>
    <w:rsid w:val="00F54331"/>
    <w:rsid w:val="00F5481F"/>
    <w:rsid w:val="00F54A93"/>
    <w:rsid w:val="00F56FF8"/>
    <w:rsid w:val="00F5718B"/>
    <w:rsid w:val="00F572FD"/>
    <w:rsid w:val="00F57B51"/>
    <w:rsid w:val="00F602DF"/>
    <w:rsid w:val="00F60E94"/>
    <w:rsid w:val="00F60F11"/>
    <w:rsid w:val="00F611F6"/>
    <w:rsid w:val="00F612F3"/>
    <w:rsid w:val="00F6132E"/>
    <w:rsid w:val="00F61BDC"/>
    <w:rsid w:val="00F6216B"/>
    <w:rsid w:val="00F62189"/>
    <w:rsid w:val="00F6223C"/>
    <w:rsid w:val="00F6273B"/>
    <w:rsid w:val="00F62D57"/>
    <w:rsid w:val="00F632DE"/>
    <w:rsid w:val="00F63D28"/>
    <w:rsid w:val="00F63E8C"/>
    <w:rsid w:val="00F63ED7"/>
    <w:rsid w:val="00F64019"/>
    <w:rsid w:val="00F64674"/>
    <w:rsid w:val="00F649AB"/>
    <w:rsid w:val="00F649B9"/>
    <w:rsid w:val="00F66576"/>
    <w:rsid w:val="00F70A90"/>
    <w:rsid w:val="00F710BF"/>
    <w:rsid w:val="00F715C8"/>
    <w:rsid w:val="00F7162B"/>
    <w:rsid w:val="00F71E63"/>
    <w:rsid w:val="00F72EA1"/>
    <w:rsid w:val="00F734B9"/>
    <w:rsid w:val="00F734D8"/>
    <w:rsid w:val="00F73937"/>
    <w:rsid w:val="00F74DCB"/>
    <w:rsid w:val="00F74E31"/>
    <w:rsid w:val="00F74EFC"/>
    <w:rsid w:val="00F7562A"/>
    <w:rsid w:val="00F75633"/>
    <w:rsid w:val="00F759DD"/>
    <w:rsid w:val="00F75DF6"/>
    <w:rsid w:val="00F7698C"/>
    <w:rsid w:val="00F76F2A"/>
    <w:rsid w:val="00F77A51"/>
    <w:rsid w:val="00F807AA"/>
    <w:rsid w:val="00F81C3B"/>
    <w:rsid w:val="00F81D0E"/>
    <w:rsid w:val="00F81FE6"/>
    <w:rsid w:val="00F848EE"/>
    <w:rsid w:val="00F85D7A"/>
    <w:rsid w:val="00F85E35"/>
    <w:rsid w:val="00F8764A"/>
    <w:rsid w:val="00F879A9"/>
    <w:rsid w:val="00F87C8A"/>
    <w:rsid w:val="00F87FB2"/>
    <w:rsid w:val="00F90820"/>
    <w:rsid w:val="00F910FF"/>
    <w:rsid w:val="00F9116A"/>
    <w:rsid w:val="00F918A0"/>
    <w:rsid w:val="00F91BCC"/>
    <w:rsid w:val="00F922FB"/>
    <w:rsid w:val="00F9307F"/>
    <w:rsid w:val="00F931AA"/>
    <w:rsid w:val="00F9380F"/>
    <w:rsid w:val="00F95A1B"/>
    <w:rsid w:val="00F95B99"/>
    <w:rsid w:val="00F96D12"/>
    <w:rsid w:val="00F96E1B"/>
    <w:rsid w:val="00F97FCD"/>
    <w:rsid w:val="00FA03D0"/>
    <w:rsid w:val="00FA09EE"/>
    <w:rsid w:val="00FA0A44"/>
    <w:rsid w:val="00FA0C1B"/>
    <w:rsid w:val="00FA1CA7"/>
    <w:rsid w:val="00FA1EE2"/>
    <w:rsid w:val="00FA301D"/>
    <w:rsid w:val="00FA331B"/>
    <w:rsid w:val="00FA3846"/>
    <w:rsid w:val="00FA397B"/>
    <w:rsid w:val="00FA449E"/>
    <w:rsid w:val="00FA5228"/>
    <w:rsid w:val="00FA6F21"/>
    <w:rsid w:val="00FA743E"/>
    <w:rsid w:val="00FA7C2A"/>
    <w:rsid w:val="00FB049E"/>
    <w:rsid w:val="00FB0825"/>
    <w:rsid w:val="00FB0D7A"/>
    <w:rsid w:val="00FB0FC5"/>
    <w:rsid w:val="00FB2CEC"/>
    <w:rsid w:val="00FB3A7E"/>
    <w:rsid w:val="00FB5B14"/>
    <w:rsid w:val="00FB5D0F"/>
    <w:rsid w:val="00FB6652"/>
    <w:rsid w:val="00FB71A4"/>
    <w:rsid w:val="00FC090C"/>
    <w:rsid w:val="00FC0969"/>
    <w:rsid w:val="00FC180E"/>
    <w:rsid w:val="00FC20D0"/>
    <w:rsid w:val="00FC2303"/>
    <w:rsid w:val="00FC3076"/>
    <w:rsid w:val="00FC3BED"/>
    <w:rsid w:val="00FC3DE6"/>
    <w:rsid w:val="00FC445A"/>
    <w:rsid w:val="00FC4E1C"/>
    <w:rsid w:val="00FC5C6F"/>
    <w:rsid w:val="00FC6006"/>
    <w:rsid w:val="00FC6725"/>
    <w:rsid w:val="00FC6A11"/>
    <w:rsid w:val="00FC6B50"/>
    <w:rsid w:val="00FC7328"/>
    <w:rsid w:val="00FC7981"/>
    <w:rsid w:val="00FD08B0"/>
    <w:rsid w:val="00FD09ED"/>
    <w:rsid w:val="00FD0B2C"/>
    <w:rsid w:val="00FD10DD"/>
    <w:rsid w:val="00FD1689"/>
    <w:rsid w:val="00FD28ED"/>
    <w:rsid w:val="00FD2AE5"/>
    <w:rsid w:val="00FD354F"/>
    <w:rsid w:val="00FD3B14"/>
    <w:rsid w:val="00FD48BD"/>
    <w:rsid w:val="00FD5833"/>
    <w:rsid w:val="00FD6756"/>
    <w:rsid w:val="00FD6903"/>
    <w:rsid w:val="00FD722B"/>
    <w:rsid w:val="00FD7716"/>
    <w:rsid w:val="00FE0608"/>
    <w:rsid w:val="00FE0611"/>
    <w:rsid w:val="00FE07E1"/>
    <w:rsid w:val="00FE150C"/>
    <w:rsid w:val="00FE16BC"/>
    <w:rsid w:val="00FE17C2"/>
    <w:rsid w:val="00FE29E6"/>
    <w:rsid w:val="00FE3A3E"/>
    <w:rsid w:val="00FE46F0"/>
    <w:rsid w:val="00FE61E2"/>
    <w:rsid w:val="00FE6C19"/>
    <w:rsid w:val="00FF0148"/>
    <w:rsid w:val="00FF060F"/>
    <w:rsid w:val="00FF2239"/>
    <w:rsid w:val="00FF29D3"/>
    <w:rsid w:val="00FF36CA"/>
    <w:rsid w:val="00FF6AC5"/>
    <w:rsid w:val="00FF6E2A"/>
    <w:rsid w:val="00FF6E96"/>
    <w:rsid w:val="00FF722F"/>
    <w:rsid w:val="00FF7AC5"/>
    <w:rsid w:val="00FF7EB3"/>
    <w:rsid w:val="00FF7F2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D40F16"/>
  <w15:docId w15:val="{274A01E5-08E4-4ADF-B475-9F50E93BF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215"/>
    <w:rPr>
      <w:lang w:val="en-US"/>
    </w:rPr>
  </w:style>
  <w:style w:type="paragraph" w:styleId="Heading1">
    <w:name w:val="heading 1"/>
    <w:basedOn w:val="Normal"/>
    <w:next w:val="Normal"/>
    <w:link w:val="Heading1Char"/>
    <w:uiPriority w:val="9"/>
    <w:qFormat/>
    <w:rsid w:val="00490D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9339B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092"/>
    <w:pPr>
      <w:ind w:left="720"/>
      <w:contextualSpacing/>
    </w:pPr>
  </w:style>
  <w:style w:type="character" w:styleId="CommentReference">
    <w:name w:val="annotation reference"/>
    <w:basedOn w:val="DefaultParagraphFont"/>
    <w:uiPriority w:val="99"/>
    <w:semiHidden/>
    <w:unhideWhenUsed/>
    <w:rsid w:val="00E91092"/>
    <w:rPr>
      <w:sz w:val="16"/>
      <w:szCs w:val="16"/>
    </w:rPr>
  </w:style>
  <w:style w:type="paragraph" w:styleId="CommentText">
    <w:name w:val="annotation text"/>
    <w:basedOn w:val="Normal"/>
    <w:link w:val="CommentTextChar"/>
    <w:uiPriority w:val="99"/>
    <w:unhideWhenUsed/>
    <w:rsid w:val="00E91092"/>
    <w:pPr>
      <w:spacing w:line="240" w:lineRule="auto"/>
    </w:pPr>
    <w:rPr>
      <w:sz w:val="20"/>
      <w:szCs w:val="20"/>
    </w:rPr>
  </w:style>
  <w:style w:type="character" w:customStyle="1" w:styleId="CommentTextChar">
    <w:name w:val="Comment Text Char"/>
    <w:basedOn w:val="DefaultParagraphFont"/>
    <w:link w:val="CommentText"/>
    <w:uiPriority w:val="99"/>
    <w:rsid w:val="00E91092"/>
    <w:rPr>
      <w:sz w:val="20"/>
      <w:szCs w:val="20"/>
      <w:lang w:val="en-GB"/>
    </w:rPr>
  </w:style>
  <w:style w:type="paragraph" w:styleId="BalloonText">
    <w:name w:val="Balloon Text"/>
    <w:basedOn w:val="Normal"/>
    <w:link w:val="BalloonTextChar"/>
    <w:uiPriority w:val="99"/>
    <w:semiHidden/>
    <w:unhideWhenUsed/>
    <w:rsid w:val="00E910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092"/>
    <w:rPr>
      <w:rFonts w:ascii="Segoe UI" w:hAnsi="Segoe UI" w:cs="Segoe UI"/>
      <w:noProof/>
      <w:sz w:val="18"/>
      <w:szCs w:val="18"/>
      <w:lang w:val="en-GB"/>
    </w:rPr>
  </w:style>
  <w:style w:type="character" w:styleId="Strong">
    <w:name w:val="Strong"/>
    <w:basedOn w:val="DefaultParagraphFont"/>
    <w:uiPriority w:val="22"/>
    <w:qFormat/>
    <w:rsid w:val="00496F6F"/>
    <w:rPr>
      <w:b/>
      <w:bCs/>
    </w:rPr>
  </w:style>
  <w:style w:type="paragraph" w:styleId="CommentSubject">
    <w:name w:val="annotation subject"/>
    <w:basedOn w:val="CommentText"/>
    <w:next w:val="CommentText"/>
    <w:link w:val="CommentSubjectChar"/>
    <w:uiPriority w:val="99"/>
    <w:semiHidden/>
    <w:unhideWhenUsed/>
    <w:rsid w:val="00EB223C"/>
    <w:rPr>
      <w:b/>
      <w:bCs/>
      <w:noProof/>
    </w:rPr>
  </w:style>
  <w:style w:type="character" w:customStyle="1" w:styleId="CommentSubjectChar">
    <w:name w:val="Comment Subject Char"/>
    <w:basedOn w:val="CommentTextChar"/>
    <w:link w:val="CommentSubject"/>
    <w:uiPriority w:val="99"/>
    <w:semiHidden/>
    <w:rsid w:val="00EB223C"/>
    <w:rPr>
      <w:b/>
      <w:bCs/>
      <w:noProof/>
      <w:sz w:val="20"/>
      <w:szCs w:val="20"/>
      <w:lang w:val="en-GB"/>
    </w:rPr>
  </w:style>
  <w:style w:type="paragraph" w:styleId="HTMLPreformatted">
    <w:name w:val="HTML Preformatted"/>
    <w:basedOn w:val="Normal"/>
    <w:link w:val="HTMLPreformattedChar"/>
    <w:uiPriority w:val="99"/>
    <w:unhideWhenUsed/>
    <w:rsid w:val="00291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rsid w:val="00291E78"/>
    <w:rPr>
      <w:rFonts w:ascii="Courier New" w:eastAsia="Times New Roman" w:hAnsi="Courier New" w:cs="Courier New"/>
      <w:sz w:val="20"/>
      <w:szCs w:val="20"/>
      <w:lang w:eastAsia="nl-NL"/>
    </w:rPr>
  </w:style>
  <w:style w:type="character" w:customStyle="1" w:styleId="gnkrckgcgsb">
    <w:name w:val="gnkrckgcgsb"/>
    <w:basedOn w:val="DefaultParagraphFont"/>
    <w:rsid w:val="00291E78"/>
  </w:style>
  <w:style w:type="table" w:styleId="TableGrid">
    <w:name w:val="Table Grid"/>
    <w:basedOn w:val="TableNormal"/>
    <w:uiPriority w:val="39"/>
    <w:rsid w:val="001B3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5A4"/>
    <w:pPr>
      <w:spacing w:after="0" w:line="240" w:lineRule="auto"/>
    </w:pPr>
    <w:rPr>
      <w:lang w:val="en-US"/>
    </w:rPr>
  </w:style>
  <w:style w:type="paragraph" w:styleId="NormalWeb">
    <w:name w:val="Normal (Web)"/>
    <w:basedOn w:val="Normal"/>
    <w:uiPriority w:val="99"/>
    <w:semiHidden/>
    <w:unhideWhenUsed/>
    <w:rsid w:val="00174AF2"/>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Hyperlink">
    <w:name w:val="Hyperlink"/>
    <w:basedOn w:val="DefaultParagraphFont"/>
    <w:uiPriority w:val="99"/>
    <w:unhideWhenUsed/>
    <w:rsid w:val="00A85C8B"/>
    <w:rPr>
      <w:color w:val="0563C1" w:themeColor="hyperlink"/>
      <w:u w:val="single"/>
    </w:rPr>
  </w:style>
  <w:style w:type="paragraph" w:styleId="Header">
    <w:name w:val="header"/>
    <w:basedOn w:val="Normal"/>
    <w:link w:val="HeaderChar"/>
    <w:uiPriority w:val="99"/>
    <w:unhideWhenUsed/>
    <w:rsid w:val="00A4264F"/>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264F"/>
    <w:rPr>
      <w:lang w:val="en-US"/>
    </w:rPr>
  </w:style>
  <w:style w:type="paragraph" w:styleId="Footer">
    <w:name w:val="footer"/>
    <w:basedOn w:val="Normal"/>
    <w:link w:val="FooterChar"/>
    <w:uiPriority w:val="99"/>
    <w:unhideWhenUsed/>
    <w:rsid w:val="00A4264F"/>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264F"/>
    <w:rPr>
      <w:lang w:val="en-US"/>
    </w:rPr>
  </w:style>
  <w:style w:type="character" w:styleId="LineNumber">
    <w:name w:val="line number"/>
    <w:basedOn w:val="DefaultParagraphFont"/>
    <w:uiPriority w:val="99"/>
    <w:semiHidden/>
    <w:unhideWhenUsed/>
    <w:rsid w:val="00A4264F"/>
  </w:style>
  <w:style w:type="paragraph" w:customStyle="1" w:styleId="Default">
    <w:name w:val="Default"/>
    <w:rsid w:val="00672E81"/>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1317B1"/>
    <w:rPr>
      <w:color w:val="954F72" w:themeColor="followedHyperlink"/>
      <w:u w:val="single"/>
    </w:rPr>
  </w:style>
  <w:style w:type="paragraph" w:styleId="DocumentMap">
    <w:name w:val="Document Map"/>
    <w:basedOn w:val="Normal"/>
    <w:link w:val="DocumentMapChar"/>
    <w:uiPriority w:val="99"/>
    <w:semiHidden/>
    <w:unhideWhenUsed/>
    <w:rsid w:val="007E6C6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E6C6E"/>
    <w:rPr>
      <w:rFonts w:ascii="Tahoma" w:hAnsi="Tahoma" w:cs="Tahoma"/>
      <w:sz w:val="16"/>
      <w:szCs w:val="16"/>
      <w:lang w:val="en-US"/>
    </w:rPr>
  </w:style>
  <w:style w:type="character" w:customStyle="1" w:styleId="identifier">
    <w:name w:val="identifier"/>
    <w:basedOn w:val="DefaultParagraphFont"/>
    <w:rsid w:val="00FC0969"/>
  </w:style>
  <w:style w:type="character" w:customStyle="1" w:styleId="id-label">
    <w:name w:val="id-label"/>
    <w:basedOn w:val="DefaultParagraphFont"/>
    <w:rsid w:val="00FC0969"/>
  </w:style>
  <w:style w:type="character" w:customStyle="1" w:styleId="apple-converted-space">
    <w:name w:val="apple-converted-space"/>
    <w:basedOn w:val="DefaultParagraphFont"/>
    <w:rsid w:val="00FC0969"/>
  </w:style>
  <w:style w:type="character" w:customStyle="1" w:styleId="UnresolvedMention1">
    <w:name w:val="Unresolved Mention1"/>
    <w:basedOn w:val="DefaultParagraphFont"/>
    <w:uiPriority w:val="99"/>
    <w:semiHidden/>
    <w:unhideWhenUsed/>
    <w:rsid w:val="00262F42"/>
    <w:rPr>
      <w:color w:val="605E5C"/>
      <w:shd w:val="clear" w:color="auto" w:fill="E1DFDD"/>
    </w:rPr>
  </w:style>
  <w:style w:type="character" w:customStyle="1" w:styleId="UnresolvedMention2">
    <w:name w:val="Unresolved Mention2"/>
    <w:basedOn w:val="DefaultParagraphFont"/>
    <w:uiPriority w:val="99"/>
    <w:semiHidden/>
    <w:unhideWhenUsed/>
    <w:rsid w:val="00557666"/>
    <w:rPr>
      <w:color w:val="605E5C"/>
      <w:shd w:val="clear" w:color="auto" w:fill="E1DFDD"/>
    </w:rPr>
  </w:style>
  <w:style w:type="character" w:customStyle="1" w:styleId="Onopgelostemelding1">
    <w:name w:val="Onopgeloste melding1"/>
    <w:basedOn w:val="DefaultParagraphFont"/>
    <w:uiPriority w:val="99"/>
    <w:semiHidden/>
    <w:unhideWhenUsed/>
    <w:rsid w:val="00C26753"/>
    <w:rPr>
      <w:color w:val="605E5C"/>
      <w:shd w:val="clear" w:color="auto" w:fill="E1DFDD"/>
    </w:rPr>
  </w:style>
  <w:style w:type="table" w:customStyle="1" w:styleId="TableGrid1">
    <w:name w:val="Table Grid1"/>
    <w:basedOn w:val="TableNormal"/>
    <w:next w:val="TableGrid"/>
    <w:uiPriority w:val="39"/>
    <w:rsid w:val="00B25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F7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E1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7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2579B6"/>
    <w:rPr>
      <w:color w:val="605E5C"/>
      <w:shd w:val="clear" w:color="auto" w:fill="E1DFDD"/>
    </w:rPr>
  </w:style>
  <w:style w:type="character" w:customStyle="1" w:styleId="Heading1Char">
    <w:name w:val="Heading 1 Char"/>
    <w:basedOn w:val="DefaultParagraphFont"/>
    <w:link w:val="Heading1"/>
    <w:uiPriority w:val="9"/>
    <w:rsid w:val="00490DCD"/>
    <w:rPr>
      <w:rFonts w:asciiTheme="majorHAnsi" w:eastAsiaTheme="majorEastAsia" w:hAnsiTheme="majorHAnsi" w:cstheme="majorBidi"/>
      <w:color w:val="2E74B5" w:themeColor="accent1" w:themeShade="BF"/>
      <w:sz w:val="32"/>
      <w:szCs w:val="32"/>
      <w:lang w:val="en-US"/>
    </w:rPr>
  </w:style>
  <w:style w:type="character" w:customStyle="1" w:styleId="Heading4Char">
    <w:name w:val="Heading 4 Char"/>
    <w:basedOn w:val="DefaultParagraphFont"/>
    <w:link w:val="Heading4"/>
    <w:uiPriority w:val="9"/>
    <w:semiHidden/>
    <w:rsid w:val="009339BC"/>
    <w:rPr>
      <w:rFonts w:asciiTheme="majorHAnsi" w:eastAsiaTheme="majorEastAsia" w:hAnsiTheme="majorHAnsi" w:cstheme="majorBidi"/>
      <w:i/>
      <w:iCs/>
      <w:color w:val="2E74B5" w:themeColor="accent1" w:themeShade="BF"/>
      <w:lang w:val="en-US"/>
    </w:rPr>
  </w:style>
  <w:style w:type="character" w:styleId="PlaceholderText">
    <w:name w:val="Placeholder Text"/>
    <w:basedOn w:val="DefaultParagraphFont"/>
    <w:uiPriority w:val="99"/>
    <w:semiHidden/>
    <w:rsid w:val="00F6273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735416">
      <w:bodyDiv w:val="1"/>
      <w:marLeft w:val="0"/>
      <w:marRight w:val="0"/>
      <w:marTop w:val="0"/>
      <w:marBottom w:val="0"/>
      <w:divBdr>
        <w:top w:val="none" w:sz="0" w:space="0" w:color="auto"/>
        <w:left w:val="none" w:sz="0" w:space="0" w:color="auto"/>
        <w:bottom w:val="none" w:sz="0" w:space="0" w:color="auto"/>
        <w:right w:val="none" w:sz="0" w:space="0" w:color="auto"/>
      </w:divBdr>
    </w:div>
    <w:div w:id="271016303">
      <w:bodyDiv w:val="1"/>
      <w:marLeft w:val="0"/>
      <w:marRight w:val="0"/>
      <w:marTop w:val="0"/>
      <w:marBottom w:val="0"/>
      <w:divBdr>
        <w:top w:val="none" w:sz="0" w:space="0" w:color="auto"/>
        <w:left w:val="none" w:sz="0" w:space="0" w:color="auto"/>
        <w:bottom w:val="none" w:sz="0" w:space="0" w:color="auto"/>
        <w:right w:val="none" w:sz="0" w:space="0" w:color="auto"/>
      </w:divBdr>
    </w:div>
    <w:div w:id="443424777">
      <w:bodyDiv w:val="1"/>
      <w:marLeft w:val="0"/>
      <w:marRight w:val="0"/>
      <w:marTop w:val="0"/>
      <w:marBottom w:val="0"/>
      <w:divBdr>
        <w:top w:val="none" w:sz="0" w:space="0" w:color="auto"/>
        <w:left w:val="none" w:sz="0" w:space="0" w:color="auto"/>
        <w:bottom w:val="none" w:sz="0" w:space="0" w:color="auto"/>
        <w:right w:val="none" w:sz="0" w:space="0" w:color="auto"/>
      </w:divBdr>
    </w:div>
    <w:div w:id="529993563">
      <w:bodyDiv w:val="1"/>
      <w:marLeft w:val="0"/>
      <w:marRight w:val="0"/>
      <w:marTop w:val="0"/>
      <w:marBottom w:val="0"/>
      <w:divBdr>
        <w:top w:val="none" w:sz="0" w:space="0" w:color="auto"/>
        <w:left w:val="none" w:sz="0" w:space="0" w:color="auto"/>
        <w:bottom w:val="none" w:sz="0" w:space="0" w:color="auto"/>
        <w:right w:val="none" w:sz="0" w:space="0" w:color="auto"/>
      </w:divBdr>
    </w:div>
    <w:div w:id="576520333">
      <w:bodyDiv w:val="1"/>
      <w:marLeft w:val="0"/>
      <w:marRight w:val="0"/>
      <w:marTop w:val="0"/>
      <w:marBottom w:val="0"/>
      <w:divBdr>
        <w:top w:val="none" w:sz="0" w:space="0" w:color="auto"/>
        <w:left w:val="none" w:sz="0" w:space="0" w:color="auto"/>
        <w:bottom w:val="none" w:sz="0" w:space="0" w:color="auto"/>
        <w:right w:val="none" w:sz="0" w:space="0" w:color="auto"/>
      </w:divBdr>
    </w:div>
    <w:div w:id="622348430">
      <w:bodyDiv w:val="1"/>
      <w:marLeft w:val="0"/>
      <w:marRight w:val="0"/>
      <w:marTop w:val="0"/>
      <w:marBottom w:val="0"/>
      <w:divBdr>
        <w:top w:val="none" w:sz="0" w:space="0" w:color="auto"/>
        <w:left w:val="none" w:sz="0" w:space="0" w:color="auto"/>
        <w:bottom w:val="none" w:sz="0" w:space="0" w:color="auto"/>
        <w:right w:val="none" w:sz="0" w:space="0" w:color="auto"/>
      </w:divBdr>
      <w:divsChild>
        <w:div w:id="1566644493">
          <w:marLeft w:val="0"/>
          <w:marRight w:val="0"/>
          <w:marTop w:val="0"/>
          <w:marBottom w:val="0"/>
          <w:divBdr>
            <w:top w:val="none" w:sz="0" w:space="0" w:color="auto"/>
            <w:left w:val="none" w:sz="0" w:space="0" w:color="auto"/>
            <w:bottom w:val="none" w:sz="0" w:space="0" w:color="auto"/>
            <w:right w:val="none" w:sz="0" w:space="0" w:color="auto"/>
          </w:divBdr>
          <w:divsChild>
            <w:div w:id="1714034155">
              <w:marLeft w:val="0"/>
              <w:marRight w:val="0"/>
              <w:marTop w:val="0"/>
              <w:marBottom w:val="0"/>
              <w:divBdr>
                <w:top w:val="none" w:sz="0" w:space="0" w:color="auto"/>
                <w:left w:val="none" w:sz="0" w:space="0" w:color="auto"/>
                <w:bottom w:val="none" w:sz="0" w:space="0" w:color="auto"/>
                <w:right w:val="none" w:sz="0" w:space="0" w:color="auto"/>
              </w:divBdr>
              <w:divsChild>
                <w:div w:id="138498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577956">
      <w:bodyDiv w:val="1"/>
      <w:marLeft w:val="0"/>
      <w:marRight w:val="0"/>
      <w:marTop w:val="0"/>
      <w:marBottom w:val="0"/>
      <w:divBdr>
        <w:top w:val="none" w:sz="0" w:space="0" w:color="auto"/>
        <w:left w:val="none" w:sz="0" w:space="0" w:color="auto"/>
        <w:bottom w:val="none" w:sz="0" w:space="0" w:color="auto"/>
        <w:right w:val="none" w:sz="0" w:space="0" w:color="auto"/>
      </w:divBdr>
    </w:div>
    <w:div w:id="712576112">
      <w:bodyDiv w:val="1"/>
      <w:marLeft w:val="0"/>
      <w:marRight w:val="0"/>
      <w:marTop w:val="0"/>
      <w:marBottom w:val="0"/>
      <w:divBdr>
        <w:top w:val="none" w:sz="0" w:space="0" w:color="auto"/>
        <w:left w:val="none" w:sz="0" w:space="0" w:color="auto"/>
        <w:bottom w:val="none" w:sz="0" w:space="0" w:color="auto"/>
        <w:right w:val="none" w:sz="0" w:space="0" w:color="auto"/>
      </w:divBdr>
    </w:div>
    <w:div w:id="738407851">
      <w:bodyDiv w:val="1"/>
      <w:marLeft w:val="0"/>
      <w:marRight w:val="0"/>
      <w:marTop w:val="0"/>
      <w:marBottom w:val="0"/>
      <w:divBdr>
        <w:top w:val="none" w:sz="0" w:space="0" w:color="auto"/>
        <w:left w:val="none" w:sz="0" w:space="0" w:color="auto"/>
        <w:bottom w:val="none" w:sz="0" w:space="0" w:color="auto"/>
        <w:right w:val="none" w:sz="0" w:space="0" w:color="auto"/>
      </w:divBdr>
    </w:div>
    <w:div w:id="755202043">
      <w:bodyDiv w:val="1"/>
      <w:marLeft w:val="0"/>
      <w:marRight w:val="0"/>
      <w:marTop w:val="0"/>
      <w:marBottom w:val="0"/>
      <w:divBdr>
        <w:top w:val="none" w:sz="0" w:space="0" w:color="auto"/>
        <w:left w:val="none" w:sz="0" w:space="0" w:color="auto"/>
        <w:bottom w:val="none" w:sz="0" w:space="0" w:color="auto"/>
        <w:right w:val="none" w:sz="0" w:space="0" w:color="auto"/>
      </w:divBdr>
    </w:div>
    <w:div w:id="922567420">
      <w:bodyDiv w:val="1"/>
      <w:marLeft w:val="0"/>
      <w:marRight w:val="0"/>
      <w:marTop w:val="0"/>
      <w:marBottom w:val="0"/>
      <w:divBdr>
        <w:top w:val="none" w:sz="0" w:space="0" w:color="auto"/>
        <w:left w:val="none" w:sz="0" w:space="0" w:color="auto"/>
        <w:bottom w:val="none" w:sz="0" w:space="0" w:color="auto"/>
        <w:right w:val="none" w:sz="0" w:space="0" w:color="auto"/>
      </w:divBdr>
    </w:div>
    <w:div w:id="1274903913">
      <w:bodyDiv w:val="1"/>
      <w:marLeft w:val="0"/>
      <w:marRight w:val="0"/>
      <w:marTop w:val="0"/>
      <w:marBottom w:val="0"/>
      <w:divBdr>
        <w:top w:val="none" w:sz="0" w:space="0" w:color="auto"/>
        <w:left w:val="none" w:sz="0" w:space="0" w:color="auto"/>
        <w:bottom w:val="none" w:sz="0" w:space="0" w:color="auto"/>
        <w:right w:val="none" w:sz="0" w:space="0" w:color="auto"/>
      </w:divBdr>
    </w:div>
    <w:div w:id="1491285541">
      <w:bodyDiv w:val="1"/>
      <w:marLeft w:val="0"/>
      <w:marRight w:val="0"/>
      <w:marTop w:val="0"/>
      <w:marBottom w:val="0"/>
      <w:divBdr>
        <w:top w:val="none" w:sz="0" w:space="0" w:color="auto"/>
        <w:left w:val="none" w:sz="0" w:space="0" w:color="auto"/>
        <w:bottom w:val="none" w:sz="0" w:space="0" w:color="auto"/>
        <w:right w:val="none" w:sz="0" w:space="0" w:color="auto"/>
      </w:divBdr>
    </w:div>
    <w:div w:id="1795127492">
      <w:bodyDiv w:val="1"/>
      <w:marLeft w:val="0"/>
      <w:marRight w:val="0"/>
      <w:marTop w:val="0"/>
      <w:marBottom w:val="0"/>
      <w:divBdr>
        <w:top w:val="none" w:sz="0" w:space="0" w:color="auto"/>
        <w:left w:val="none" w:sz="0" w:space="0" w:color="auto"/>
        <w:bottom w:val="none" w:sz="0" w:space="0" w:color="auto"/>
        <w:right w:val="none" w:sz="0" w:space="0" w:color="auto"/>
      </w:divBdr>
    </w:div>
    <w:div w:id="1981959648">
      <w:bodyDiv w:val="1"/>
      <w:marLeft w:val="0"/>
      <w:marRight w:val="0"/>
      <w:marTop w:val="0"/>
      <w:marBottom w:val="0"/>
      <w:divBdr>
        <w:top w:val="none" w:sz="0" w:space="0" w:color="auto"/>
        <w:left w:val="none" w:sz="0" w:space="0" w:color="auto"/>
        <w:bottom w:val="none" w:sz="0" w:space="0" w:color="auto"/>
        <w:right w:val="none" w:sz="0" w:space="0" w:color="auto"/>
      </w:divBdr>
    </w:div>
    <w:div w:id="204081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705-7227" TargetMode="External"/><Relationship Id="rId13" Type="http://schemas.openxmlformats.org/officeDocument/2006/relationships/hyperlink" Target="https://orcid.org/0000-0002-5624-3234" TargetMode="Externa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orcid.org/0000-0002-5649-6768"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5785-9228" TargetMode="External"/><Relationship Id="rId24" Type="http://schemas.openxmlformats.org/officeDocument/2006/relationships/image" Target="media/image8.png"/><Relationship Id="rId32"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hyperlink" Target="mailto:v.coupe@amsterdamumc.nl" TargetMode="Externa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hyperlink" Target="https://orcid.org/0000-0001-5248-1676" TargetMode="Externa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https://orcid.org/0000-0002-4921-227X" TargetMode="External"/><Relationship Id="rId14" Type="http://schemas.openxmlformats.org/officeDocument/2006/relationships/hyperlink" Target="https://orcid.org/0000-0002-9553-9791"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SourceType>Journal Article</b:SourceType>
    <b:Title>Metastatic non-small cell lung cancer: ESMO Clinical Practice Guidelines for diagnosis, treatment and follow-up.</b:Title>
    <b:Year>2018</b:Year>
    <b:Month>10</b:Month>
    <b:StandardNumber>1569-8041</b:StandardNumber>
    <b:Pages>iv192-iv237</b:Pages>
    <b:JournalName>Annals of oncology : official journal of the European Society for Medical Oncology</b:JournalName>
    <b:Volume>29</b:Volume>
    <b:Issue>Suppl 4</b:Issue>
    <b:Author>
      <b:Author>
        <b:NameList>
          <b:Person>
            <b:First>D.</b:First>
            <b:Last>Planchard</b:Last>
          </b:Person>
          <b:Person>
            <b:First>S.</b:First>
            <b:Last>Popat</b:Last>
          </b:Person>
          <b:Person>
            <b:First>K.</b:First>
            <b:Last>Kerr</b:Last>
          </b:Person>
          <b:Person>
            <b:First>S.</b:First>
            <b:Last>Novello</b:Last>
          </b:Person>
          <b:Person>
            <b:First>E F</b:First>
            <b:Last>Smit</b:Last>
          </b:Person>
          <b:Person>
            <b:First>C.</b:First>
            <b:Last>Faivre-Finn</b:Last>
          </b:Person>
          <b:Person>
            <b:First>T S</b:First>
            <b:Last>Mok</b:Last>
          </b:Person>
          <b:Person>
            <b:First>M.</b:First>
            <b:Last>Reck</b:Last>
          </b:Person>
          <b:Person>
            <b:First>P E</b:First>
            <b:Last>Van Schil</b:Last>
          </b:Person>
          <b:Person>
            <b:First>M D</b:First>
            <b:Last>Hellmann</b:Last>
          </b:Person>
          <b:Person>
            <b:First>S</b:First>
            <b:Last>Peters</b:Last>
          </b:Person>
          <b:Person>
            <b:First/>
            <b:Last>ESMO Guidelines Committee</b:Last>
          </b:Person>
        </b:NameList>
      </b:Author>
      <b:Editor>
        <b:NameList>
				</b:NameList>
      </b:Editor>
    </b:Author>
    <b:URL>https://www.esmo.org/Guidelines/Lung-and-Chest-Tumours/Metastatic-Non-Small-Cell-Lung-Cancer</b:URL>
    <b:URL>https://linkinghub.elsevier.com/retrieve/pii/S0923753419317107</b:URL>
    <b:URL>http://www.ncbi.nlm.nih.gov/pubmed/30285222</b:URL>
    <b:Tag>metastatic-non-small-cell-lung-cancer:-esmo-clinical-practice-guidelines-for-diagnosis,-treatment-and-follow-up.</b:Tag>
    <b:RefOrder>1</b:RefOrder>
  </b:Source>
</b:Sources>
</file>

<file path=customXml/itemProps1.xml><?xml version="1.0" encoding="utf-8"?>
<ds:datastoreItem xmlns:ds="http://schemas.openxmlformats.org/officeDocument/2006/customXml" ds:itemID="{0B863D0E-37D0-409C-A8B6-0F8D7F2FC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34808</Words>
  <Characters>198407</Characters>
  <Application>Microsoft Office Word</Application>
  <DocSecurity>0</DocSecurity>
  <Lines>1653</Lines>
  <Paragraphs>465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VUmc</Company>
  <LinksUpToDate>false</LinksUpToDate>
  <CharactersWithSpaces>232750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Mfumbilwa, Z.A. (Zakile)</dc:creator>
  <cp:keywords/>
  <dc:description/>
  <cp:lastModifiedBy>VNOB-0859</cp:lastModifiedBy>
  <cp:revision>5</cp:revision>
  <dcterms:created xsi:type="dcterms:W3CDTF">2022-01-16T19:43:00Z</dcterms:created>
  <dcterms:modified xsi:type="dcterms:W3CDTF">2022-01-19T10:43:00Z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7af99063-1097-311e-8cb6-7f0567e09134</vt:lpwstr>
  </property>
</Properties>
</file>