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67F" w:rsidRPr="000A2270" w:rsidRDefault="0003767F" w:rsidP="0003767F">
      <w:pPr>
        <w:pStyle w:val="Titre1"/>
        <w:shd w:val="clear" w:color="auto" w:fill="FFFFFF"/>
        <w:spacing w:before="240" w:beforeAutospacing="0" w:after="120" w:afterAutospacing="0" w:line="324" w:lineRule="atLeast"/>
        <w:jc w:val="both"/>
        <w:rPr>
          <w:rFonts w:asciiTheme="minorHAnsi" w:hAnsiTheme="minorHAnsi" w:cstheme="majorBidi"/>
          <w:color w:val="000000"/>
          <w:sz w:val="28"/>
          <w:szCs w:val="28"/>
          <w:lang w:val="en-US"/>
        </w:rPr>
      </w:pPr>
      <w:r w:rsidRPr="000A2270">
        <w:rPr>
          <w:rFonts w:asciiTheme="minorHAnsi" w:hAnsiTheme="minorHAnsi" w:cstheme="majorBidi"/>
          <w:color w:val="000000"/>
          <w:sz w:val="28"/>
          <w:szCs w:val="28"/>
          <w:lang w:val="en-US"/>
        </w:rPr>
        <w:t>TITLE</w:t>
      </w:r>
    </w:p>
    <w:p w:rsidR="0003767F" w:rsidRPr="008A14C4" w:rsidRDefault="0003767F" w:rsidP="0003767F">
      <w:pPr>
        <w:pStyle w:val="Titre1"/>
        <w:shd w:val="clear" w:color="auto" w:fill="FFFFFF"/>
        <w:spacing w:before="240" w:beforeAutospacing="0" w:after="120" w:afterAutospacing="0" w:line="324" w:lineRule="atLeast"/>
        <w:jc w:val="both"/>
        <w:rPr>
          <w:rFonts w:asciiTheme="minorHAnsi" w:hAnsiTheme="minorHAnsi" w:cstheme="majorBidi"/>
          <w:color w:val="000000"/>
          <w:sz w:val="24"/>
          <w:szCs w:val="24"/>
          <w:lang w:val="en-US"/>
        </w:rPr>
      </w:pPr>
      <w:r w:rsidRPr="008A14C4">
        <w:rPr>
          <w:rFonts w:asciiTheme="minorHAnsi" w:hAnsiTheme="minorHAnsi" w:cstheme="majorBidi"/>
          <w:color w:val="000000"/>
          <w:sz w:val="24"/>
          <w:szCs w:val="24"/>
          <w:lang w:val="en-US"/>
        </w:rPr>
        <w:t xml:space="preserve">Immune checkpoint molecules </w:t>
      </w:r>
      <w:r w:rsidRPr="008A14C4">
        <w:rPr>
          <w:rFonts w:asciiTheme="minorHAnsi" w:hAnsiTheme="minorHAnsi" w:cstheme="majorBidi"/>
          <w:sz w:val="24"/>
          <w:szCs w:val="24"/>
          <w:lang w:val="en-US"/>
        </w:rPr>
        <w:t xml:space="preserve">B7-H6 and PD-L1 co-pattern the tumor inflammatory microenvironment: associations and clinical significance in human breast cancer </w:t>
      </w:r>
    </w:p>
    <w:p w:rsidR="0003767F" w:rsidRPr="008A14C4" w:rsidRDefault="0003767F" w:rsidP="0003767F">
      <w:pPr>
        <w:jc w:val="both"/>
        <w:rPr>
          <w:rFonts w:cstheme="majorBidi"/>
          <w:sz w:val="28"/>
          <w:szCs w:val="28"/>
          <w:lang w:val="en-US"/>
        </w:rPr>
      </w:pPr>
    </w:p>
    <w:p w:rsidR="0003767F" w:rsidRPr="008A14C4" w:rsidRDefault="0003767F" w:rsidP="0003767F">
      <w:pPr>
        <w:jc w:val="both"/>
        <w:rPr>
          <w:rFonts w:cstheme="majorBidi"/>
          <w:b/>
          <w:bCs/>
          <w:sz w:val="28"/>
          <w:szCs w:val="28"/>
          <w:lang w:val="en-US"/>
        </w:rPr>
      </w:pPr>
      <w:r w:rsidRPr="008A14C4">
        <w:rPr>
          <w:rFonts w:cstheme="majorBidi"/>
          <w:b/>
          <w:bCs/>
          <w:sz w:val="28"/>
          <w:szCs w:val="28"/>
          <w:lang w:val="en-US"/>
        </w:rPr>
        <w:t xml:space="preserve">AUTHORS </w:t>
      </w:r>
    </w:p>
    <w:p w:rsidR="0003767F" w:rsidRPr="008A14C4" w:rsidRDefault="0003767F" w:rsidP="0003767F">
      <w:pPr>
        <w:spacing w:line="240" w:lineRule="auto"/>
        <w:rPr>
          <w:rFonts w:cstheme="majorBidi"/>
          <w:sz w:val="24"/>
          <w:szCs w:val="24"/>
          <w:vertAlign w:val="superscript"/>
          <w:lang w:val="en-US"/>
        </w:rPr>
      </w:pPr>
      <w:r w:rsidRPr="008A14C4">
        <w:rPr>
          <w:rFonts w:cstheme="majorBidi"/>
          <w:sz w:val="24"/>
          <w:szCs w:val="24"/>
          <w:lang w:val="en-US"/>
        </w:rPr>
        <w:t>Boutheina Cherif</w:t>
      </w:r>
      <w:r w:rsidRPr="008A14C4">
        <w:rPr>
          <w:rFonts w:cstheme="majorBidi"/>
          <w:sz w:val="24"/>
          <w:szCs w:val="24"/>
          <w:vertAlign w:val="superscript"/>
          <w:lang w:val="en-US"/>
        </w:rPr>
        <w:t>1*</w:t>
      </w:r>
      <w:r w:rsidRPr="008A14C4">
        <w:rPr>
          <w:rFonts w:cstheme="majorBidi"/>
          <w:sz w:val="24"/>
          <w:szCs w:val="24"/>
          <w:lang w:val="en-US"/>
        </w:rPr>
        <w:t>,Hana Triki</w:t>
      </w:r>
      <w:r w:rsidRPr="008A14C4">
        <w:rPr>
          <w:rFonts w:cstheme="majorBidi"/>
          <w:sz w:val="24"/>
          <w:szCs w:val="24"/>
          <w:vertAlign w:val="superscript"/>
          <w:lang w:val="en-US"/>
        </w:rPr>
        <w:t>1,2</w:t>
      </w:r>
      <w:r w:rsidRPr="008A14C4">
        <w:rPr>
          <w:rFonts w:cstheme="majorBidi"/>
          <w:sz w:val="24"/>
          <w:szCs w:val="24"/>
          <w:lang w:val="en-US"/>
        </w:rPr>
        <w:t>,</w:t>
      </w:r>
      <w:r w:rsidRPr="008A14C4">
        <w:rPr>
          <w:rFonts w:cstheme="majorBidi"/>
          <w:sz w:val="24"/>
          <w:szCs w:val="24"/>
          <w:vertAlign w:val="superscript"/>
          <w:lang w:val="en-US"/>
        </w:rPr>
        <w:t xml:space="preserve"> </w:t>
      </w:r>
      <w:r w:rsidRPr="008A14C4">
        <w:rPr>
          <w:rFonts w:cstheme="majorBidi"/>
          <w:sz w:val="24"/>
          <w:szCs w:val="24"/>
          <w:lang w:val="en-US"/>
        </w:rPr>
        <w:t>Slim Charfi</w:t>
      </w:r>
      <w:r w:rsidRPr="008A14C4">
        <w:rPr>
          <w:rFonts w:cstheme="majorBidi"/>
          <w:sz w:val="24"/>
          <w:szCs w:val="24"/>
          <w:vertAlign w:val="superscript"/>
          <w:lang w:val="en-US"/>
        </w:rPr>
        <w:t>2</w:t>
      </w:r>
      <w:r w:rsidRPr="008A14C4">
        <w:rPr>
          <w:rFonts w:cstheme="majorBidi"/>
          <w:sz w:val="24"/>
          <w:szCs w:val="24"/>
          <w:lang w:val="en-US"/>
        </w:rPr>
        <w:t>,Lobna Bouzidi</w:t>
      </w:r>
      <w:r w:rsidRPr="008A14C4">
        <w:rPr>
          <w:rFonts w:cstheme="majorBidi"/>
          <w:sz w:val="24"/>
          <w:szCs w:val="24"/>
          <w:vertAlign w:val="superscript"/>
          <w:lang w:val="en-US"/>
        </w:rPr>
        <w:t>2</w:t>
      </w:r>
      <w:r w:rsidRPr="008A14C4">
        <w:rPr>
          <w:rFonts w:cstheme="majorBidi"/>
          <w:sz w:val="24"/>
          <w:szCs w:val="24"/>
          <w:lang w:val="en-US"/>
        </w:rPr>
        <w:t xml:space="preserve">, </w:t>
      </w:r>
      <w:hyperlink r:id="rId6" w:history="1">
        <w:r w:rsidRPr="008A14C4">
          <w:rPr>
            <w:rFonts w:cstheme="majorBidi"/>
            <w:sz w:val="24"/>
            <w:szCs w:val="24"/>
            <w:lang w:val="en-US"/>
          </w:rPr>
          <w:t>Wala Ben Kridis</w:t>
        </w:r>
      </w:hyperlink>
      <w:r w:rsidRPr="008A14C4">
        <w:rPr>
          <w:rFonts w:cstheme="majorBidi"/>
          <w:sz w:val="24"/>
          <w:szCs w:val="24"/>
          <w:vertAlign w:val="superscript"/>
          <w:lang w:val="en-US"/>
        </w:rPr>
        <w:t>3</w:t>
      </w:r>
      <w:r w:rsidRPr="008A14C4">
        <w:rPr>
          <w:rFonts w:cstheme="majorBidi"/>
          <w:sz w:val="24"/>
          <w:szCs w:val="24"/>
          <w:lang w:val="en-US"/>
        </w:rPr>
        <w:t>,</w:t>
      </w:r>
      <w:r w:rsidRPr="008A14C4" w:rsidDel="00914DDF">
        <w:rPr>
          <w:rFonts w:cstheme="majorBidi"/>
          <w:sz w:val="24"/>
          <w:szCs w:val="24"/>
          <w:lang w:val="en-US"/>
        </w:rPr>
        <w:t xml:space="preserve"> </w:t>
      </w:r>
      <w:r w:rsidRPr="008A14C4">
        <w:rPr>
          <w:rFonts w:cstheme="majorBidi"/>
          <w:sz w:val="24"/>
          <w:szCs w:val="24"/>
          <w:lang w:val="en-US"/>
        </w:rPr>
        <w:t>Afef Khanfir</w:t>
      </w:r>
      <w:r w:rsidRPr="008A14C4">
        <w:rPr>
          <w:rFonts w:cstheme="majorBidi"/>
          <w:sz w:val="24"/>
          <w:szCs w:val="24"/>
          <w:vertAlign w:val="superscript"/>
          <w:lang w:val="en-US"/>
        </w:rPr>
        <w:t>3</w:t>
      </w:r>
      <w:r w:rsidRPr="008A14C4">
        <w:rPr>
          <w:rFonts w:cstheme="majorBidi"/>
          <w:sz w:val="24"/>
          <w:szCs w:val="24"/>
          <w:lang w:val="en-US"/>
        </w:rPr>
        <w:t>,</w:t>
      </w:r>
      <w:r w:rsidRPr="008A14C4">
        <w:rPr>
          <w:rFonts w:cstheme="majorBidi"/>
          <w:sz w:val="24"/>
          <w:szCs w:val="24"/>
          <w:vertAlign w:val="superscript"/>
          <w:lang w:val="en-US"/>
        </w:rPr>
        <w:t xml:space="preserve"> </w:t>
      </w:r>
      <w:r w:rsidRPr="008A14C4">
        <w:rPr>
          <w:rFonts w:cstheme="majorBidi"/>
          <w:sz w:val="24"/>
          <w:szCs w:val="24"/>
          <w:lang w:val="en-US"/>
        </w:rPr>
        <w:t>Kais Chaabane</w:t>
      </w:r>
      <w:r w:rsidRPr="008A14C4">
        <w:rPr>
          <w:rFonts w:cstheme="majorBidi"/>
          <w:sz w:val="24"/>
          <w:szCs w:val="24"/>
          <w:vertAlign w:val="superscript"/>
          <w:lang w:val="en-US"/>
        </w:rPr>
        <w:t>4</w:t>
      </w:r>
      <w:r w:rsidRPr="008A14C4">
        <w:rPr>
          <w:rFonts w:cstheme="majorBidi"/>
          <w:sz w:val="24"/>
          <w:szCs w:val="24"/>
          <w:lang w:val="en-US"/>
        </w:rPr>
        <w:t>,Tah</w:t>
      </w:r>
      <w:r>
        <w:rPr>
          <w:rFonts w:cstheme="majorBidi"/>
          <w:sz w:val="24"/>
          <w:szCs w:val="24"/>
          <w:lang w:val="en-US"/>
        </w:rPr>
        <w:t>y</w:t>
      </w:r>
      <w:r w:rsidRPr="008A14C4">
        <w:rPr>
          <w:rFonts w:cstheme="majorBidi"/>
          <w:sz w:val="24"/>
          <w:szCs w:val="24"/>
          <w:lang w:val="en-US"/>
        </w:rPr>
        <w:t>a Sellami-Boudawara</w:t>
      </w:r>
      <w:r w:rsidRPr="008A14C4">
        <w:rPr>
          <w:rFonts w:cstheme="majorBidi"/>
          <w:sz w:val="24"/>
          <w:szCs w:val="24"/>
          <w:vertAlign w:val="superscript"/>
          <w:lang w:val="en-US"/>
        </w:rPr>
        <w:t>2</w:t>
      </w:r>
      <w:r w:rsidRPr="008A14C4">
        <w:rPr>
          <w:rFonts w:cstheme="majorBidi"/>
          <w:sz w:val="24"/>
          <w:szCs w:val="24"/>
          <w:lang w:val="en-US"/>
        </w:rPr>
        <w:t>, and</w:t>
      </w:r>
      <w:r w:rsidRPr="008A14C4">
        <w:rPr>
          <w:rFonts w:cstheme="majorBidi"/>
          <w:sz w:val="24"/>
          <w:szCs w:val="24"/>
          <w:vertAlign w:val="superscript"/>
          <w:lang w:val="en-US"/>
        </w:rPr>
        <w:t xml:space="preserve"> </w:t>
      </w:r>
      <w:r w:rsidRPr="008A14C4">
        <w:rPr>
          <w:rFonts w:cstheme="majorBidi"/>
          <w:sz w:val="24"/>
          <w:szCs w:val="24"/>
          <w:lang w:val="en-US"/>
        </w:rPr>
        <w:t>Ahmed Rebai</w:t>
      </w:r>
      <w:r w:rsidRPr="008A14C4">
        <w:rPr>
          <w:rFonts w:cstheme="majorBidi"/>
          <w:sz w:val="24"/>
          <w:szCs w:val="24"/>
          <w:vertAlign w:val="superscript"/>
          <w:lang w:val="en-US"/>
        </w:rPr>
        <w:t>1</w:t>
      </w:r>
    </w:p>
    <w:p w:rsidR="0003767F" w:rsidRPr="008A14C4" w:rsidRDefault="0003767F" w:rsidP="0003767F">
      <w:pPr>
        <w:spacing w:after="0" w:line="360" w:lineRule="auto"/>
        <w:jc w:val="both"/>
        <w:rPr>
          <w:rFonts w:cstheme="majorBidi"/>
          <w:sz w:val="24"/>
          <w:szCs w:val="24"/>
          <w:vertAlign w:val="superscript"/>
          <w:lang w:val="en-US"/>
        </w:rPr>
      </w:pPr>
    </w:p>
    <w:p w:rsidR="0003767F" w:rsidRPr="008A14C4" w:rsidRDefault="0003767F" w:rsidP="0003767F">
      <w:pPr>
        <w:jc w:val="both"/>
        <w:rPr>
          <w:rFonts w:cstheme="majorBidi"/>
          <w:b/>
          <w:bCs/>
          <w:lang w:val="en-US"/>
        </w:rPr>
      </w:pPr>
      <w:r w:rsidRPr="008A14C4">
        <w:rPr>
          <w:rFonts w:cstheme="majorBidi"/>
          <w:b/>
          <w:bCs/>
          <w:lang w:val="en-US"/>
        </w:rPr>
        <w:t>Authors’ affiliation</w:t>
      </w:r>
    </w:p>
    <w:p w:rsidR="0003767F" w:rsidRPr="008A14C4" w:rsidRDefault="0003767F" w:rsidP="0003767F">
      <w:pPr>
        <w:spacing w:line="240" w:lineRule="auto"/>
        <w:jc w:val="both"/>
        <w:rPr>
          <w:rFonts w:cstheme="majorBidi"/>
          <w:b/>
          <w:bCs/>
          <w:lang w:val="en-US"/>
        </w:rPr>
      </w:pPr>
      <w:r w:rsidRPr="008A14C4">
        <w:rPr>
          <w:rFonts w:cstheme="majorBidi"/>
          <w:vertAlign w:val="superscript"/>
          <w:lang w:val="en-US"/>
        </w:rPr>
        <w:t>1</w:t>
      </w:r>
      <w:r w:rsidRPr="008A14C4">
        <w:rPr>
          <w:rFonts w:cstheme="majorBidi"/>
          <w:lang w:val="en-US"/>
        </w:rPr>
        <w:t>Laboratory of Molecular and Cellular Screening Processes, Center of Biotechnology of Sfax, Sfax University, Sfax, Tunisia</w:t>
      </w:r>
    </w:p>
    <w:p w:rsidR="0003767F" w:rsidRPr="008A14C4" w:rsidRDefault="0003767F" w:rsidP="0003767F">
      <w:pPr>
        <w:spacing w:line="240" w:lineRule="auto"/>
        <w:jc w:val="both"/>
        <w:rPr>
          <w:rFonts w:cstheme="majorBidi"/>
          <w:vertAlign w:val="superscript"/>
          <w:lang w:val="en-US"/>
        </w:rPr>
      </w:pPr>
      <w:r w:rsidRPr="008A14C4">
        <w:rPr>
          <w:rFonts w:cstheme="majorBidi"/>
          <w:vertAlign w:val="superscript"/>
          <w:lang w:val="en-US"/>
        </w:rPr>
        <w:t>2</w:t>
      </w:r>
      <w:r w:rsidRPr="008A14C4">
        <w:rPr>
          <w:rFonts w:cstheme="majorBidi"/>
          <w:lang w:val="en-US"/>
        </w:rPr>
        <w:t>Department of Pathology, University Hospital Habib Bourguiba, Sfax, Tunisia</w:t>
      </w:r>
    </w:p>
    <w:p w:rsidR="0003767F" w:rsidRPr="008A14C4" w:rsidRDefault="0003767F" w:rsidP="0003767F">
      <w:pPr>
        <w:spacing w:line="240" w:lineRule="auto"/>
        <w:jc w:val="both"/>
        <w:rPr>
          <w:rFonts w:cstheme="majorBidi"/>
          <w:lang w:val="en-US"/>
        </w:rPr>
      </w:pPr>
      <w:r w:rsidRPr="008A14C4">
        <w:rPr>
          <w:rFonts w:cstheme="majorBidi"/>
          <w:vertAlign w:val="superscript"/>
          <w:lang w:val="en-US"/>
        </w:rPr>
        <w:t>3</w:t>
      </w:r>
      <w:r w:rsidRPr="008A14C4">
        <w:rPr>
          <w:rFonts w:cstheme="majorBidi"/>
          <w:lang w:val="en-US"/>
        </w:rPr>
        <w:t xml:space="preserve">Department of Medical Oncology, University Hospital Habib Bourguiba, Sfax, Tunisia </w:t>
      </w:r>
    </w:p>
    <w:p w:rsidR="0003767F" w:rsidRPr="008A14C4" w:rsidRDefault="0003767F" w:rsidP="0003767F">
      <w:pPr>
        <w:spacing w:line="240" w:lineRule="auto"/>
        <w:jc w:val="both"/>
        <w:rPr>
          <w:rFonts w:cstheme="majorBidi"/>
          <w:lang w:val="en-US"/>
        </w:rPr>
      </w:pPr>
      <w:r w:rsidRPr="008A14C4">
        <w:rPr>
          <w:rFonts w:cstheme="majorBidi"/>
          <w:vertAlign w:val="superscript"/>
          <w:lang w:val="en-US"/>
        </w:rPr>
        <w:t>4</w:t>
      </w:r>
      <w:r w:rsidRPr="008A14C4">
        <w:rPr>
          <w:rFonts w:cstheme="majorBidi"/>
          <w:lang w:val="en-US"/>
        </w:rPr>
        <w:t>Department of Gynecology, University Hospital Hédi Chaker, Sfax, Tunisia</w:t>
      </w:r>
    </w:p>
    <w:p w:rsidR="0003767F" w:rsidRPr="008A14C4" w:rsidRDefault="0003767F" w:rsidP="0003767F">
      <w:pPr>
        <w:spacing w:after="0" w:line="276" w:lineRule="auto"/>
        <w:jc w:val="both"/>
        <w:rPr>
          <w:rFonts w:cstheme="majorBidi"/>
          <w:lang w:val="en-US"/>
        </w:rPr>
      </w:pPr>
    </w:p>
    <w:p w:rsidR="0003767F" w:rsidRPr="008A14C4" w:rsidRDefault="0003767F" w:rsidP="0003767F">
      <w:pPr>
        <w:jc w:val="both"/>
        <w:rPr>
          <w:rFonts w:cstheme="majorBidi"/>
          <w:b/>
          <w:bCs/>
          <w:lang w:val="en-US"/>
        </w:rPr>
      </w:pPr>
      <w:r w:rsidRPr="008A14C4">
        <w:rPr>
          <w:rFonts w:cstheme="majorBidi"/>
          <w:b/>
          <w:bCs/>
          <w:lang w:val="en-US"/>
        </w:rPr>
        <w:t xml:space="preserve">*Corresponding author </w:t>
      </w:r>
    </w:p>
    <w:p w:rsidR="0003767F" w:rsidRPr="00B611AB" w:rsidRDefault="0003767F" w:rsidP="0003767F">
      <w:pPr>
        <w:spacing w:after="0" w:line="240" w:lineRule="auto"/>
        <w:jc w:val="both"/>
        <w:rPr>
          <w:lang w:val="en-US"/>
        </w:rPr>
      </w:pPr>
      <w:r w:rsidRPr="008A14C4">
        <w:rPr>
          <w:rFonts w:cstheme="majorBidi"/>
          <w:lang w:val="en-US"/>
        </w:rPr>
        <w:t xml:space="preserve">E-mail: </w:t>
      </w:r>
      <w:hyperlink r:id="rId7" w:history="1">
        <w:r w:rsidRPr="008A14C4">
          <w:rPr>
            <w:rStyle w:val="Lienhypertexte"/>
            <w:rFonts w:cstheme="majorBidi"/>
            <w:lang w:val="en-US"/>
          </w:rPr>
          <w:t>boutheina.cherif.cbs@gmail.com</w:t>
        </w:r>
      </w:hyperlink>
    </w:p>
    <w:p w:rsidR="0003767F" w:rsidRPr="00B611AB" w:rsidRDefault="00C24D98" w:rsidP="0003767F">
      <w:pPr>
        <w:spacing w:after="0" w:line="240" w:lineRule="auto"/>
        <w:ind w:firstLine="708"/>
        <w:jc w:val="both"/>
        <w:rPr>
          <w:rFonts w:cstheme="majorBidi"/>
          <w:lang w:val="en-US"/>
        </w:rPr>
      </w:pPr>
      <w:hyperlink r:id="rId8" w:history="1">
        <w:r w:rsidR="0003767F" w:rsidRPr="00B611AB">
          <w:rPr>
            <w:rStyle w:val="Lienhypertexte"/>
            <w:rFonts w:cstheme="majorBidi"/>
            <w:lang w:val="en-US"/>
          </w:rPr>
          <w:t>boutheina.cherif@cbs.rnrt.tn</w:t>
        </w:r>
      </w:hyperlink>
    </w:p>
    <w:p w:rsidR="0003767F" w:rsidRPr="00B611AB" w:rsidRDefault="0003767F" w:rsidP="0003767F">
      <w:pPr>
        <w:spacing w:after="0" w:line="240" w:lineRule="auto"/>
        <w:jc w:val="both"/>
        <w:rPr>
          <w:rFonts w:cstheme="majorBidi"/>
          <w:lang w:val="en-US"/>
        </w:rPr>
      </w:pPr>
      <w:r w:rsidRPr="00B611AB">
        <w:rPr>
          <w:rFonts w:cstheme="majorBidi"/>
          <w:shd w:val="clear" w:color="auto" w:fill="FFFFFF"/>
          <w:lang w:val="en-US"/>
        </w:rPr>
        <w:t>ORCID:</w:t>
      </w:r>
      <w:r w:rsidRPr="00B611AB">
        <w:rPr>
          <w:rFonts w:cstheme="majorBidi"/>
          <w:color w:val="494A4C"/>
          <w:shd w:val="clear" w:color="auto" w:fill="FFFFFF"/>
          <w:lang w:val="en-US"/>
        </w:rPr>
        <w:t xml:space="preserve"> </w:t>
      </w:r>
      <w:hyperlink r:id="rId9" w:tgtFrame="_blank" w:history="1">
        <w:r w:rsidRPr="00B611AB">
          <w:rPr>
            <w:rStyle w:val="Lienhypertexte"/>
            <w:rFonts w:cstheme="majorBidi"/>
            <w:shd w:val="clear" w:color="auto" w:fill="FFFFFF"/>
            <w:lang w:val="en-US"/>
          </w:rPr>
          <w:t>https://orcid.org/0000-0002-6923-2948</w:t>
        </w:r>
      </w:hyperlink>
    </w:p>
    <w:p w:rsidR="0003767F" w:rsidRPr="008A14C4" w:rsidRDefault="0003767F" w:rsidP="0003767F">
      <w:pPr>
        <w:spacing w:after="0" w:line="240" w:lineRule="auto"/>
        <w:jc w:val="both"/>
        <w:rPr>
          <w:rFonts w:cstheme="majorBidi"/>
          <w:color w:val="000000"/>
          <w:shd w:val="clear" w:color="auto" w:fill="FFFFFF"/>
          <w:lang w:val="en-US"/>
        </w:rPr>
      </w:pPr>
      <w:r>
        <w:rPr>
          <w:rFonts w:cstheme="majorBidi"/>
          <w:color w:val="000000"/>
          <w:shd w:val="clear" w:color="auto" w:fill="FFFFFF"/>
          <w:lang w:val="en-US"/>
        </w:rPr>
        <w:t xml:space="preserve">Personal </w:t>
      </w:r>
      <w:r w:rsidRPr="008A14C4">
        <w:rPr>
          <w:rFonts w:cstheme="majorBidi"/>
          <w:color w:val="000000"/>
          <w:shd w:val="clear" w:color="auto" w:fill="FFFFFF"/>
          <w:lang w:val="en-US"/>
        </w:rPr>
        <w:t>Phone: (+ 216) 99 825 555</w:t>
      </w:r>
    </w:p>
    <w:p w:rsidR="0003767F" w:rsidRPr="008A14C4" w:rsidRDefault="0003767F" w:rsidP="0003767F">
      <w:pPr>
        <w:spacing w:after="0" w:line="240" w:lineRule="auto"/>
        <w:rPr>
          <w:rFonts w:cstheme="majorBidi"/>
          <w:color w:val="000000"/>
          <w:lang w:val="en-US"/>
        </w:rPr>
      </w:pPr>
      <w:r w:rsidRPr="008A14C4">
        <w:rPr>
          <w:rFonts w:cstheme="majorBidi"/>
          <w:color w:val="000000"/>
          <w:shd w:val="clear" w:color="auto" w:fill="FFFFFF"/>
          <w:lang w:val="en-US"/>
        </w:rPr>
        <w:t xml:space="preserve">Postal Address: </w:t>
      </w:r>
      <w:r w:rsidRPr="008A14C4">
        <w:rPr>
          <w:rFonts w:cstheme="majorBidi"/>
          <w:color w:val="000000"/>
          <w:lang w:val="en-US"/>
        </w:rPr>
        <w:t>Center of Biotechnology of Sfax, B.P 1177 Sfax 3018 Tunisia</w:t>
      </w:r>
    </w:p>
    <w:p w:rsidR="0003767F" w:rsidRPr="008A14C4" w:rsidRDefault="0003767F" w:rsidP="0003767F">
      <w:pPr>
        <w:spacing w:after="0" w:line="240" w:lineRule="auto"/>
        <w:jc w:val="both"/>
        <w:rPr>
          <w:rFonts w:cstheme="majorBidi"/>
          <w:color w:val="000000"/>
          <w:shd w:val="clear" w:color="auto" w:fill="FFFFFF"/>
          <w:lang w:val="en-US"/>
        </w:rPr>
      </w:pPr>
      <w:r>
        <w:rPr>
          <w:rFonts w:cstheme="majorBidi"/>
          <w:color w:val="000000"/>
          <w:shd w:val="clear" w:color="auto" w:fill="FFFFFF"/>
          <w:lang w:val="en-US"/>
        </w:rPr>
        <w:t>Institutional Phone</w:t>
      </w:r>
      <w:r w:rsidRPr="008A14C4">
        <w:rPr>
          <w:rFonts w:cstheme="majorBidi"/>
          <w:color w:val="000000"/>
          <w:shd w:val="clear" w:color="auto" w:fill="FFFFFF"/>
          <w:lang w:val="en-US"/>
        </w:rPr>
        <w:t xml:space="preserve">: (+ 216) </w:t>
      </w:r>
      <w:r w:rsidRPr="007337EC">
        <w:rPr>
          <w:rFonts w:cstheme="majorBidi"/>
          <w:color w:val="000000"/>
          <w:shd w:val="clear" w:color="auto" w:fill="FFFFFF"/>
          <w:lang w:val="en-US"/>
        </w:rPr>
        <w:t>74 871 816 / 74 875 817</w:t>
      </w:r>
    </w:p>
    <w:p w:rsidR="0003767F" w:rsidRPr="008A14C4" w:rsidRDefault="0003767F" w:rsidP="0003767F">
      <w:pPr>
        <w:spacing w:after="0" w:line="240" w:lineRule="auto"/>
        <w:jc w:val="both"/>
        <w:rPr>
          <w:rFonts w:cstheme="majorBidi"/>
          <w:color w:val="000000"/>
          <w:shd w:val="clear" w:color="auto" w:fill="FFFFFF"/>
          <w:lang w:val="en-US"/>
        </w:rPr>
      </w:pPr>
      <w:r>
        <w:rPr>
          <w:rFonts w:cstheme="majorBidi"/>
          <w:color w:val="000000"/>
          <w:shd w:val="clear" w:color="auto" w:fill="FFFFFF"/>
          <w:lang w:val="en-US"/>
        </w:rPr>
        <w:t xml:space="preserve">Institutional </w:t>
      </w:r>
      <w:r w:rsidRPr="008A14C4">
        <w:rPr>
          <w:rFonts w:cstheme="majorBidi"/>
          <w:color w:val="000000"/>
          <w:shd w:val="clear" w:color="auto" w:fill="FFFFFF"/>
          <w:lang w:val="en-US"/>
        </w:rPr>
        <w:t>Fax: (+ 216) 74 87 58 18</w:t>
      </w:r>
    </w:p>
    <w:p w:rsidR="0003767F" w:rsidRDefault="0003767F" w:rsidP="0003767F">
      <w:pPr>
        <w:spacing w:after="0" w:line="360" w:lineRule="auto"/>
        <w:jc w:val="both"/>
        <w:rPr>
          <w:rFonts w:cstheme="majorBidi"/>
          <w:lang w:val="en-US"/>
        </w:rPr>
      </w:pPr>
      <w:r>
        <w:rPr>
          <w:rFonts w:cstheme="majorBidi"/>
          <w:color w:val="000000"/>
          <w:shd w:val="clear" w:color="auto" w:fill="FFFFFF"/>
          <w:lang w:val="en-US"/>
        </w:rPr>
        <w:t>Institutional</w:t>
      </w:r>
      <w:r>
        <w:rPr>
          <w:rFonts w:cstheme="majorBidi"/>
          <w:lang w:val="en-US"/>
        </w:rPr>
        <w:t xml:space="preserve"> website: </w:t>
      </w:r>
      <w:hyperlink r:id="rId10" w:history="1">
        <w:r w:rsidRPr="005318CB">
          <w:rPr>
            <w:rStyle w:val="Lienhypertexte"/>
            <w:rFonts w:cstheme="majorBidi"/>
            <w:lang w:val="en-US"/>
          </w:rPr>
          <w:t>http://www.cbs.rnrt.tn/</w:t>
        </w:r>
      </w:hyperlink>
    </w:p>
    <w:p w:rsidR="00737D0F" w:rsidRDefault="00737D0F" w:rsidP="00737D0F">
      <w:pPr>
        <w:spacing w:after="0" w:line="240" w:lineRule="auto"/>
        <w:jc w:val="both"/>
        <w:rPr>
          <w:rFonts w:cstheme="majorBidi"/>
          <w:b/>
          <w:bCs/>
          <w:lang w:val="en-US"/>
        </w:rPr>
      </w:pPr>
    </w:p>
    <w:p w:rsidR="00737D0F" w:rsidRDefault="00737D0F" w:rsidP="00737D0F">
      <w:pPr>
        <w:spacing w:after="0" w:line="240" w:lineRule="auto"/>
        <w:jc w:val="both"/>
        <w:rPr>
          <w:rFonts w:cstheme="majorBidi"/>
          <w:b/>
          <w:bCs/>
          <w:lang w:val="en-US"/>
        </w:rPr>
      </w:pPr>
    </w:p>
    <w:p w:rsidR="00737D0F" w:rsidRDefault="00737D0F" w:rsidP="00737D0F">
      <w:pPr>
        <w:spacing w:after="0" w:line="240" w:lineRule="auto"/>
        <w:jc w:val="both"/>
        <w:rPr>
          <w:rFonts w:cstheme="majorBidi"/>
          <w:b/>
          <w:bCs/>
          <w:lang w:val="en-US"/>
        </w:rPr>
      </w:pPr>
    </w:p>
    <w:p w:rsidR="00737D0F" w:rsidRDefault="00737D0F" w:rsidP="00737D0F">
      <w:pPr>
        <w:spacing w:after="0" w:line="240" w:lineRule="auto"/>
        <w:jc w:val="both"/>
        <w:rPr>
          <w:rFonts w:cstheme="majorBidi"/>
          <w:b/>
          <w:bCs/>
          <w:lang w:val="en-US"/>
        </w:rPr>
      </w:pPr>
    </w:p>
    <w:p w:rsidR="00737D0F" w:rsidRDefault="00737D0F" w:rsidP="00737D0F">
      <w:pPr>
        <w:spacing w:after="0" w:line="240" w:lineRule="auto"/>
        <w:jc w:val="both"/>
        <w:rPr>
          <w:rFonts w:cstheme="majorBidi"/>
          <w:b/>
          <w:bCs/>
          <w:lang w:val="en-US"/>
        </w:rPr>
      </w:pPr>
    </w:p>
    <w:p w:rsidR="00737D0F" w:rsidRDefault="00737D0F" w:rsidP="00737D0F">
      <w:pPr>
        <w:spacing w:after="0" w:line="240" w:lineRule="auto"/>
        <w:jc w:val="both"/>
        <w:rPr>
          <w:rFonts w:cstheme="majorBidi"/>
          <w:b/>
          <w:bCs/>
          <w:lang w:val="en-US"/>
        </w:rPr>
      </w:pPr>
    </w:p>
    <w:p w:rsidR="00737D0F" w:rsidRDefault="00737D0F" w:rsidP="00737D0F">
      <w:pPr>
        <w:spacing w:after="0" w:line="240" w:lineRule="auto"/>
        <w:jc w:val="both"/>
        <w:rPr>
          <w:rFonts w:cstheme="majorBidi"/>
          <w:b/>
          <w:bCs/>
          <w:lang w:val="en-US"/>
        </w:rPr>
      </w:pPr>
    </w:p>
    <w:p w:rsidR="00737D0F" w:rsidRDefault="00737D0F" w:rsidP="00737D0F">
      <w:pPr>
        <w:spacing w:after="0" w:line="240" w:lineRule="auto"/>
        <w:jc w:val="both"/>
        <w:rPr>
          <w:rFonts w:cstheme="majorBidi"/>
          <w:b/>
          <w:bCs/>
          <w:lang w:val="en-US"/>
        </w:rPr>
      </w:pPr>
    </w:p>
    <w:p w:rsidR="00737D0F" w:rsidRDefault="00737D0F" w:rsidP="00737D0F">
      <w:pPr>
        <w:spacing w:after="0" w:line="240" w:lineRule="auto"/>
        <w:jc w:val="both"/>
        <w:rPr>
          <w:rFonts w:cstheme="majorBidi"/>
          <w:b/>
          <w:bCs/>
          <w:lang w:val="en-US"/>
        </w:rPr>
      </w:pPr>
    </w:p>
    <w:p w:rsidR="00737D0F" w:rsidRDefault="00737D0F" w:rsidP="00737D0F">
      <w:pPr>
        <w:spacing w:after="0" w:line="240" w:lineRule="auto"/>
        <w:jc w:val="both"/>
        <w:rPr>
          <w:rFonts w:cstheme="majorBidi"/>
          <w:b/>
          <w:bCs/>
          <w:lang w:val="en-US"/>
        </w:rPr>
      </w:pPr>
    </w:p>
    <w:p w:rsidR="00737D0F" w:rsidRDefault="00737D0F" w:rsidP="00737D0F">
      <w:pPr>
        <w:spacing w:after="0" w:line="240" w:lineRule="auto"/>
        <w:jc w:val="both"/>
        <w:rPr>
          <w:rFonts w:cstheme="majorBidi"/>
          <w:b/>
          <w:bCs/>
          <w:lang w:val="en-US"/>
        </w:rPr>
      </w:pPr>
    </w:p>
    <w:p w:rsidR="00737D0F" w:rsidRDefault="00737D0F" w:rsidP="00737D0F">
      <w:pPr>
        <w:spacing w:after="0" w:line="240" w:lineRule="auto"/>
        <w:jc w:val="both"/>
        <w:rPr>
          <w:rFonts w:cstheme="majorBidi"/>
          <w:b/>
          <w:bCs/>
          <w:lang w:val="en-US"/>
        </w:rPr>
      </w:pPr>
    </w:p>
    <w:p w:rsidR="00737D0F" w:rsidRDefault="00737D0F" w:rsidP="00737D0F">
      <w:pPr>
        <w:spacing w:after="0" w:line="240" w:lineRule="auto"/>
        <w:jc w:val="both"/>
        <w:rPr>
          <w:rFonts w:cstheme="majorBidi"/>
          <w:b/>
          <w:bCs/>
          <w:lang w:val="en-US"/>
        </w:rPr>
      </w:pPr>
    </w:p>
    <w:p w:rsidR="00737D0F" w:rsidRDefault="00737D0F" w:rsidP="00737D0F">
      <w:pPr>
        <w:spacing w:after="0" w:line="240" w:lineRule="auto"/>
        <w:jc w:val="both"/>
        <w:rPr>
          <w:rFonts w:cstheme="majorBidi"/>
          <w:b/>
          <w:bCs/>
          <w:lang w:val="en-US"/>
        </w:rPr>
      </w:pPr>
    </w:p>
    <w:p w:rsidR="00737D0F" w:rsidRDefault="00737D0F" w:rsidP="00737D0F">
      <w:pPr>
        <w:spacing w:after="0" w:line="240" w:lineRule="auto"/>
        <w:jc w:val="both"/>
        <w:rPr>
          <w:rFonts w:cstheme="majorBidi"/>
          <w:b/>
          <w:bCs/>
          <w:lang w:val="en-US"/>
        </w:rPr>
      </w:pPr>
    </w:p>
    <w:p w:rsidR="00737D0F" w:rsidRPr="009829F7" w:rsidRDefault="00737D0F" w:rsidP="00737D0F">
      <w:pPr>
        <w:spacing w:after="0" w:line="240" w:lineRule="auto"/>
        <w:jc w:val="both"/>
        <w:rPr>
          <w:rFonts w:cstheme="majorBidi"/>
          <w:b/>
          <w:bCs/>
          <w:lang w:val="en-US"/>
        </w:rPr>
      </w:pPr>
    </w:p>
    <w:p w:rsidR="009B70C0" w:rsidRPr="001C1F92" w:rsidRDefault="00AA3E87" w:rsidP="001C1F92">
      <w:pPr>
        <w:spacing w:after="0" w:line="276" w:lineRule="auto"/>
        <w:ind w:left="-993"/>
        <w:jc w:val="both"/>
        <w:outlineLvl w:val="0"/>
        <w:rPr>
          <w:rFonts w:cs="Times New Roman"/>
          <w:b/>
          <w:bCs/>
          <w:lang w:val="en-US"/>
        </w:rPr>
      </w:pPr>
      <w:r>
        <w:rPr>
          <w:rFonts w:cs="Times New Roman"/>
          <w:b/>
          <w:bCs/>
          <w:lang w:val="en-US"/>
        </w:rPr>
        <w:lastRenderedPageBreak/>
        <w:t xml:space="preserve">Supplementary </w:t>
      </w:r>
      <w:r w:rsidR="009B70C0">
        <w:rPr>
          <w:rFonts w:cs="Times New Roman"/>
          <w:b/>
          <w:bCs/>
          <w:lang w:val="en-US"/>
        </w:rPr>
        <w:t xml:space="preserve">Table: Associations of B7-H6 expression with PD-L1 and NK-TILs statutes in breast cancer tissues </w:t>
      </w:r>
    </w:p>
    <w:p w:rsidR="009B70C0" w:rsidRDefault="009B70C0" w:rsidP="009B70C0">
      <w:pPr>
        <w:rPr>
          <w:lang w:val="en-US"/>
        </w:rPr>
      </w:pPr>
    </w:p>
    <w:tbl>
      <w:tblPr>
        <w:tblpPr w:leftFromText="141" w:rightFromText="141" w:vertAnchor="page" w:horzAnchor="margin" w:tblpXSpec="center" w:tblpY="2706"/>
        <w:tblW w:w="11852" w:type="dxa"/>
        <w:tblCellMar>
          <w:left w:w="70" w:type="dxa"/>
          <w:right w:w="70" w:type="dxa"/>
        </w:tblCellMar>
        <w:tblLook w:val="04A0"/>
      </w:tblPr>
      <w:tblGrid>
        <w:gridCol w:w="1607"/>
        <w:gridCol w:w="804"/>
        <w:gridCol w:w="709"/>
        <w:gridCol w:w="629"/>
        <w:gridCol w:w="642"/>
        <w:gridCol w:w="414"/>
        <w:gridCol w:w="436"/>
        <w:gridCol w:w="767"/>
        <w:gridCol w:w="734"/>
        <w:gridCol w:w="790"/>
        <w:gridCol w:w="768"/>
        <w:gridCol w:w="137"/>
        <w:gridCol w:w="709"/>
        <w:gridCol w:w="624"/>
        <w:gridCol w:w="581"/>
        <w:gridCol w:w="767"/>
        <w:gridCol w:w="734"/>
      </w:tblGrid>
      <w:tr w:rsidR="00737D0F" w:rsidRPr="00B21B83" w:rsidTr="00737D0F">
        <w:trPr>
          <w:trHeight w:val="368"/>
        </w:trPr>
        <w:tc>
          <w:tcPr>
            <w:tcW w:w="1607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B21B8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ImmueParameter</w:t>
            </w:r>
          </w:p>
        </w:tc>
        <w:tc>
          <w:tcPr>
            <w:tcW w:w="804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  <w:t>All patients   n = 156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eastAsia="fr-FR"/>
              </w:rPr>
            </w:pPr>
            <w:r w:rsidRPr="00B21B83"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eastAsia="fr-FR"/>
              </w:rPr>
              <w:t>B7-H6 BCC</w:t>
            </w:r>
          </w:p>
        </w:tc>
        <w:tc>
          <w:tcPr>
            <w:tcW w:w="64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</w:pPr>
            <w:r w:rsidRPr="00B21B83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  <w:t>P</w:t>
            </w:r>
            <w:r w:rsidRPr="00B21B83"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  <w:t>-value</w:t>
            </w:r>
          </w:p>
        </w:tc>
        <w:tc>
          <w:tcPr>
            <w:tcW w:w="16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eastAsia="fr-FR"/>
              </w:rPr>
            </w:pPr>
            <w:r w:rsidRPr="00B21B83"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eastAsia="fr-FR"/>
              </w:rPr>
              <w:t>TILs-B7-H6</w:t>
            </w:r>
          </w:p>
        </w:tc>
        <w:tc>
          <w:tcPr>
            <w:tcW w:w="734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</w:pPr>
            <w:r w:rsidRPr="00B21B83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  <w:t>P</w:t>
            </w:r>
            <w:r w:rsidRPr="00B21B83"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  <w:t>-value</w:t>
            </w:r>
          </w:p>
        </w:tc>
        <w:tc>
          <w:tcPr>
            <w:tcW w:w="16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eastAsia="fr-FR"/>
              </w:rPr>
            </w:pPr>
            <w:r w:rsidRPr="00B21B83"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eastAsia="fr-FR"/>
              </w:rPr>
              <w:t>PD</w:t>
            </w:r>
            <w:r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eastAsia="fr-FR"/>
              </w:rPr>
              <w:t>-L</w:t>
            </w:r>
            <w:r w:rsidRPr="00B21B83"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eastAsia="fr-FR"/>
              </w:rPr>
              <w:t>1 BCC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</w:pPr>
            <w:r w:rsidRPr="00B21B83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  <w:t>P</w:t>
            </w:r>
            <w:r w:rsidRPr="00B21B83"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  <w:t>-value</w:t>
            </w:r>
          </w:p>
        </w:tc>
        <w:tc>
          <w:tcPr>
            <w:tcW w:w="19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eastAsia="fr-FR"/>
              </w:rPr>
            </w:pPr>
            <w:r w:rsidRPr="00B21B83"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eastAsia="fr-FR"/>
              </w:rPr>
              <w:t>TILs-PD</w:t>
            </w:r>
            <w:r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eastAsia="fr-FR"/>
              </w:rPr>
              <w:t>-L</w:t>
            </w:r>
            <w:r w:rsidRPr="00B21B83"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734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</w:pPr>
            <w:r w:rsidRPr="00B21B83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  <w:t>P</w:t>
            </w:r>
            <w:r w:rsidRPr="00B21B83"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  <w:t>-value</w:t>
            </w:r>
          </w:p>
        </w:tc>
      </w:tr>
      <w:tr w:rsidR="00737D0F" w:rsidRPr="00B21B83" w:rsidTr="00737D0F">
        <w:trPr>
          <w:trHeight w:val="441"/>
        </w:trPr>
        <w:tc>
          <w:tcPr>
            <w:tcW w:w="160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804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6"/>
                <w:szCs w:val="16"/>
                <w:lang w:eastAsia="fr-FR"/>
              </w:rPr>
              <w:t>&lt;median n=96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6"/>
                <w:szCs w:val="16"/>
                <w:lang w:eastAsia="fr-FR"/>
              </w:rPr>
              <w:t xml:space="preserve"> ≥ median n=60</w:t>
            </w:r>
          </w:p>
        </w:tc>
        <w:tc>
          <w:tcPr>
            <w:tcW w:w="642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6"/>
                <w:szCs w:val="16"/>
                <w:lang w:eastAsia="fr-FR"/>
              </w:rPr>
              <w:t>Low          n = 126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6"/>
                <w:szCs w:val="16"/>
                <w:lang w:eastAsia="fr-FR"/>
              </w:rPr>
              <w:t>High         n = 20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6"/>
                <w:szCs w:val="16"/>
                <w:lang w:eastAsia="fr-FR"/>
              </w:rPr>
              <w:t>Unknown n = 10</w:t>
            </w:r>
          </w:p>
        </w:tc>
        <w:tc>
          <w:tcPr>
            <w:tcW w:w="734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6"/>
                <w:szCs w:val="16"/>
                <w:lang w:eastAsia="fr-FR"/>
              </w:rPr>
              <w:t>&lt;median n=125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6"/>
                <w:szCs w:val="16"/>
                <w:lang w:eastAsia="fr-FR"/>
              </w:rPr>
              <w:t xml:space="preserve"> ≥ median n=31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6"/>
                <w:szCs w:val="16"/>
                <w:lang w:eastAsia="fr-FR"/>
              </w:rPr>
              <w:t>Low          n = 58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6"/>
                <w:szCs w:val="16"/>
                <w:lang w:eastAsia="fr-FR"/>
              </w:rPr>
              <w:t>High         n = 88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6"/>
                <w:szCs w:val="16"/>
                <w:lang w:eastAsia="fr-FR"/>
              </w:rPr>
              <w:t>Unknown n = 10</w:t>
            </w:r>
          </w:p>
        </w:tc>
        <w:tc>
          <w:tcPr>
            <w:tcW w:w="734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</w:tr>
      <w:tr w:rsidR="00737D0F" w:rsidRPr="00B21B83" w:rsidTr="00737D0F">
        <w:trPr>
          <w:trHeight w:val="294"/>
        </w:trPr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b/>
                <w:bCs/>
                <w:color w:val="FF0000"/>
                <w:sz w:val="18"/>
                <w:szCs w:val="18"/>
                <w:lang w:eastAsia="fr-FR"/>
              </w:rPr>
              <w:t>TILs-B7-H6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0.91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737D0F" w:rsidRPr="00B21B83" w:rsidTr="00737D0F">
        <w:trPr>
          <w:trHeight w:val="294"/>
        </w:trPr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Low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126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81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45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D0F" w:rsidRPr="00B21B83" w:rsidRDefault="00737D0F" w:rsidP="00737D0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737D0F" w:rsidRPr="00B21B83" w:rsidTr="00737D0F">
        <w:trPr>
          <w:trHeight w:val="294"/>
        </w:trPr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High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6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14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737D0F" w:rsidRPr="00B21B83" w:rsidTr="00737D0F">
        <w:trPr>
          <w:trHeight w:val="294"/>
        </w:trPr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Unknown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9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EECE1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EECE1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EECE1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EECE1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EECE1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EECE1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EECE1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EECE1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EECE1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EECE1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EECE1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737D0F" w:rsidRPr="00B21B83" w:rsidTr="00737D0F">
        <w:trPr>
          <w:trHeight w:val="294"/>
        </w:trPr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b/>
                <w:bCs/>
                <w:color w:val="FF0000"/>
                <w:sz w:val="18"/>
                <w:szCs w:val="18"/>
                <w:lang w:eastAsia="fr-FR"/>
              </w:rPr>
              <w:t>PD</w:t>
            </w:r>
            <w:r>
              <w:rPr>
                <w:rFonts w:eastAsia="Times New Roman" w:cs="Times New Roman"/>
                <w:b/>
                <w:bCs/>
                <w:color w:val="FF0000"/>
                <w:sz w:val="18"/>
                <w:szCs w:val="18"/>
                <w:lang w:eastAsia="fr-FR"/>
              </w:rPr>
              <w:t>-L</w:t>
            </w:r>
            <w:r w:rsidRPr="00B21B83">
              <w:rPr>
                <w:rFonts w:eastAsia="Times New Roman" w:cs="Times New Roman"/>
                <w:b/>
                <w:bCs/>
                <w:color w:val="FF0000"/>
                <w:sz w:val="18"/>
                <w:szCs w:val="18"/>
                <w:lang w:eastAsia="fr-FR"/>
              </w:rPr>
              <w:t>1 BCC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0.57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0673A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&lt;0,0</w:t>
            </w:r>
            <w:r w:rsidRPr="00B21B8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1</w:t>
            </w:r>
            <w:r w:rsidRPr="000673A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**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737D0F" w:rsidRPr="00B21B83" w:rsidTr="00737D0F">
        <w:trPr>
          <w:trHeight w:val="294"/>
        </w:trPr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Low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125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77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48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106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13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6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D0F" w:rsidRPr="00B21B83" w:rsidRDefault="00737D0F" w:rsidP="00737D0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737D0F" w:rsidRPr="00B21B83" w:rsidTr="00737D0F">
        <w:trPr>
          <w:trHeight w:val="294"/>
        </w:trPr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High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19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12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20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4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EECE1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EECE1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EECE1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EECE1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EECE1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EECE1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EECE1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737D0F" w:rsidRPr="00B21B83" w:rsidTr="00737D0F">
        <w:trPr>
          <w:trHeight w:val="294"/>
        </w:trPr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b/>
                <w:bCs/>
                <w:color w:val="FF0000"/>
                <w:sz w:val="18"/>
                <w:szCs w:val="18"/>
                <w:lang w:eastAsia="fr-FR"/>
              </w:rPr>
              <w:t>TILs-PD</w:t>
            </w:r>
            <w:r>
              <w:rPr>
                <w:rFonts w:eastAsia="Times New Roman" w:cs="Times New Roman"/>
                <w:b/>
                <w:bCs/>
                <w:color w:val="FF0000"/>
                <w:sz w:val="18"/>
                <w:szCs w:val="18"/>
                <w:lang w:eastAsia="fr-FR"/>
              </w:rPr>
              <w:t>-L</w:t>
            </w:r>
            <w:r w:rsidRPr="00B21B83">
              <w:rPr>
                <w:rFonts w:eastAsia="Times New Roman" w:cs="Times New Roman"/>
                <w:b/>
                <w:bCs/>
                <w:color w:val="FF0000"/>
                <w:sz w:val="18"/>
                <w:szCs w:val="18"/>
                <w:lang w:eastAsia="fr-FR"/>
              </w:rPr>
              <w:t>1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0.088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0.026</w:t>
            </w:r>
            <w:r w:rsidRPr="000673A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*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0.28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737D0F" w:rsidRPr="00B21B83" w:rsidTr="00737D0F">
        <w:trPr>
          <w:trHeight w:val="294"/>
        </w:trPr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Low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58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40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18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58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D0F" w:rsidRPr="00B21B83" w:rsidRDefault="00737D0F" w:rsidP="00737D0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D0F" w:rsidRPr="00B21B83" w:rsidRDefault="00737D0F" w:rsidP="00737D0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50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8</w:t>
            </w:r>
          </w:p>
        </w:tc>
        <w:tc>
          <w:tcPr>
            <w:tcW w:w="8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737D0F" w:rsidRPr="00B21B83" w:rsidTr="00737D0F">
        <w:trPr>
          <w:trHeight w:val="294"/>
        </w:trPr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High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88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47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31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68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20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D0F" w:rsidRPr="00B21B83" w:rsidRDefault="00737D0F" w:rsidP="00737D0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69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19</w:t>
            </w:r>
          </w:p>
        </w:tc>
        <w:tc>
          <w:tcPr>
            <w:tcW w:w="8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737D0F" w:rsidRPr="00B21B83" w:rsidTr="00737D0F">
        <w:trPr>
          <w:trHeight w:val="294"/>
        </w:trPr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Unknown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9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10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6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4</w:t>
            </w:r>
          </w:p>
        </w:tc>
        <w:tc>
          <w:tcPr>
            <w:tcW w:w="8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EECE1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EECE1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EECE1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EECE1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737D0F" w:rsidRPr="00B21B83" w:rsidTr="00737D0F">
        <w:trPr>
          <w:trHeight w:val="294"/>
        </w:trPr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b/>
                <w:bCs/>
                <w:color w:val="FF0000"/>
                <w:sz w:val="18"/>
                <w:szCs w:val="18"/>
                <w:lang w:eastAsia="fr-FR"/>
              </w:rPr>
              <w:t>Nk-TILs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0.35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0.041</w:t>
            </w:r>
            <w:r w:rsidRPr="000673A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*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0.023</w:t>
            </w:r>
            <w:r w:rsidRPr="000673A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*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D0F" w:rsidRPr="00B21B83" w:rsidRDefault="00737D0F" w:rsidP="00737D0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D0F" w:rsidRPr="00B21B83" w:rsidRDefault="00737D0F" w:rsidP="00737D0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D0F" w:rsidRPr="00B21B83" w:rsidRDefault="00737D0F" w:rsidP="00737D0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0.028</w:t>
            </w:r>
            <w:r w:rsidRPr="000673A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*</w:t>
            </w:r>
          </w:p>
        </w:tc>
      </w:tr>
      <w:tr w:rsidR="00737D0F" w:rsidRPr="00B21B83" w:rsidTr="00737D0F">
        <w:trPr>
          <w:trHeight w:val="294"/>
        </w:trPr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Low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111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69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42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100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11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D0F" w:rsidRPr="00B21B83" w:rsidRDefault="00737D0F" w:rsidP="00737D0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95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16</w:t>
            </w:r>
          </w:p>
        </w:tc>
        <w:tc>
          <w:tcPr>
            <w:tcW w:w="8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50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61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</w:tr>
      <w:tr w:rsidR="00737D0F" w:rsidRPr="00B21B83" w:rsidTr="00737D0F">
        <w:trPr>
          <w:trHeight w:val="294"/>
        </w:trPr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High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35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18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17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26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9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24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11</w:t>
            </w:r>
          </w:p>
        </w:tc>
        <w:tc>
          <w:tcPr>
            <w:tcW w:w="8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27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</w:tr>
      <w:tr w:rsidR="00737D0F" w:rsidRPr="00B21B83" w:rsidTr="00737D0F">
        <w:trPr>
          <w:trHeight w:val="294"/>
        </w:trPr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Unknown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9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10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6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4</w:t>
            </w:r>
          </w:p>
        </w:tc>
        <w:tc>
          <w:tcPr>
            <w:tcW w:w="8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7D0F" w:rsidRPr="00B21B83" w:rsidRDefault="00737D0F" w:rsidP="00737D0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10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7D0F" w:rsidRPr="00B21B83" w:rsidRDefault="00737D0F" w:rsidP="00737D0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B21B83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</w:tbl>
    <w:p w:rsidR="00D93739" w:rsidRPr="001C1F92" w:rsidRDefault="009B70C0" w:rsidP="001C1F92">
      <w:pPr>
        <w:autoSpaceDE w:val="0"/>
        <w:autoSpaceDN w:val="0"/>
        <w:adjustRightInd w:val="0"/>
        <w:spacing w:after="0" w:line="276" w:lineRule="auto"/>
        <w:rPr>
          <w:rFonts w:cs="AdvTT6780a46b"/>
          <w:sz w:val="20"/>
          <w:szCs w:val="20"/>
          <w:lang w:val="en-US" w:eastAsia="fr-FR"/>
        </w:rPr>
      </w:pPr>
      <w:r w:rsidRPr="00EC6AD2">
        <w:rPr>
          <w:rFonts w:cs="AdvTT6780a46b"/>
          <w:sz w:val="20"/>
          <w:szCs w:val="20"/>
          <w:lang w:val="en-US" w:eastAsia="fr-FR"/>
        </w:rPr>
        <w:t xml:space="preserve">Variable between groups presented in frequency tables evaluated by Chi-Square test. Two sided </w:t>
      </w:r>
      <w:r w:rsidRPr="00EC6AD2">
        <w:rPr>
          <w:rFonts w:cs="AdvOT65f8a23b.I"/>
          <w:sz w:val="20"/>
          <w:szCs w:val="20"/>
          <w:lang w:val="en-US" w:eastAsia="fr-FR"/>
        </w:rPr>
        <w:t>p</w:t>
      </w:r>
      <w:r w:rsidRPr="00EC6AD2">
        <w:rPr>
          <w:rFonts w:cs="AdvTT6780a46b"/>
          <w:sz w:val="20"/>
          <w:szCs w:val="20"/>
          <w:lang w:val="en-US" w:eastAsia="fr-FR"/>
        </w:rPr>
        <w:t>-values are considered statistically signi</w:t>
      </w:r>
      <w:r w:rsidRPr="00EC6AD2">
        <w:rPr>
          <w:rFonts w:cs="AdvTT6780a46b+fb"/>
          <w:sz w:val="20"/>
          <w:szCs w:val="20"/>
          <w:lang w:val="en-US" w:eastAsia="fr-FR"/>
        </w:rPr>
        <w:t>fi</w:t>
      </w:r>
      <w:r w:rsidRPr="00EC6AD2">
        <w:rPr>
          <w:rFonts w:cs="AdvTT6780a46b"/>
          <w:sz w:val="20"/>
          <w:szCs w:val="20"/>
          <w:lang w:val="en-US" w:eastAsia="fr-FR"/>
        </w:rPr>
        <w:t>cant if &lt;0.05 and are indicated in bold</w:t>
      </w:r>
      <w:r>
        <w:rPr>
          <w:rFonts w:cs="AdvTT6780a46b"/>
          <w:sz w:val="20"/>
          <w:szCs w:val="20"/>
          <w:lang w:val="en-US" w:eastAsia="fr-FR"/>
        </w:rPr>
        <w:t>.</w:t>
      </w:r>
    </w:p>
    <w:p w:rsidR="00D93739" w:rsidRDefault="00D93739" w:rsidP="009B70C0">
      <w:pPr>
        <w:tabs>
          <w:tab w:val="left" w:pos="12624"/>
        </w:tabs>
        <w:spacing w:after="0" w:line="276" w:lineRule="auto"/>
        <w:jc w:val="both"/>
        <w:outlineLvl w:val="0"/>
        <w:rPr>
          <w:rFonts w:cs="Times New Roman"/>
          <w:b/>
          <w:bCs/>
          <w:lang w:val="en-US"/>
        </w:rPr>
      </w:pPr>
      <w:r w:rsidRPr="00D93739">
        <w:rPr>
          <w:rFonts w:cs="Times New Roman"/>
          <w:b/>
          <w:bCs/>
          <w:noProof/>
          <w:lang w:eastAsia="fr-FR"/>
        </w:rPr>
        <w:lastRenderedPageBreak/>
        <w:drawing>
          <wp:inline distT="0" distB="0" distL="0" distR="0">
            <wp:extent cx="5237019" cy="6553200"/>
            <wp:effectExtent l="0" t="0" r="0" b="0"/>
            <wp:docPr id="1" name="Objet 2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5579903" cy="8165957"/>
                      <a:chOff x="620892" y="571472"/>
                      <a:chExt cx="5579903" cy="8165957"/>
                    </a:xfrm>
                  </a:grpSpPr>
                  <a:grpSp>
                    <a:nvGrpSpPr>
                      <a:cNvPr id="61" name="Groupe 60"/>
                      <a:cNvGrpSpPr/>
                    </a:nvGrpSpPr>
                    <a:grpSpPr>
                      <a:xfrm>
                        <a:off x="620892" y="571472"/>
                        <a:ext cx="5579903" cy="8165957"/>
                        <a:chOff x="620892" y="571472"/>
                        <a:chExt cx="5579903" cy="8165957"/>
                      </a:xfrm>
                    </a:grpSpPr>
                    <a:pic>
                      <a:nvPicPr>
                        <a:cNvPr id="6" name="Picture 3"/>
                        <a:cNvPicPr>
                          <a:picLocks noChangeAspect="1" noChangeArrowheads="1"/>
                        </a:cNvPicPr>
                      </a:nvPicPr>
                      <a:blipFill>
                        <a:blip r:embed="rId11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</a:blip>
                        <a:srcRect/>
                        <a:stretch>
                          <a:fillRect/>
                        </a:stretch>
                      </a:blipFill>
                      <a:spPr bwMode="auto">
                        <a:xfrm>
                          <a:off x="3914779" y="571472"/>
                          <a:ext cx="2286016" cy="242886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a:spPr>
                    </a:pic>
                    <a:sp>
                      <a:nvSpPr>
                        <a:cNvPr id="7" name="ZoneTexte 6"/>
                        <a:cNvSpPr txBox="1"/>
                      </a:nvSpPr>
                      <a:spPr>
                        <a:xfrm rot="16200000">
                          <a:off x="3238206" y="1604135"/>
                          <a:ext cx="1285884" cy="307777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a:spPr>
                      <a:txSp>
                        <a:txBody>
                          <a:bodyPr wrap="square" rtlCol="0">
                            <a:spAutoFit/>
                          </a:bodyPr>
                          <a:lstStyle>
                            <a:defPPr>
                              <a:defRPr lang="fr-FR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r>
                              <a:rPr lang="fr-FR" sz="1400" b="1" dirty="0" smtClean="0"/>
                              <a:t>H-score B7-H6</a:t>
                            </a:r>
                            <a:endParaRPr lang="fr-FR" sz="1400" b="1" dirty="0"/>
                          </a:p>
                        </a:txBody>
                        <a:useSpRect/>
                      </a:txSp>
                    </a:sp>
                    <a:sp>
                      <a:nvSpPr>
                        <a:cNvPr id="8" name="ZoneTexte 7"/>
                        <a:cNvSpPr txBox="1"/>
                      </a:nvSpPr>
                      <a:spPr>
                        <a:xfrm>
                          <a:off x="4562147" y="2705969"/>
                          <a:ext cx="1071570" cy="307777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a:spPr>
                      <a:txSp>
                        <a:txBody>
                          <a:bodyPr wrap="square" rtlCol="0">
                            <a:spAutoFit/>
                          </a:bodyPr>
                          <a:lstStyle>
                            <a:defPPr>
                              <a:defRPr lang="fr-FR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r>
                              <a:rPr lang="fr-FR" sz="1400" b="1" dirty="0" err="1" smtClean="0"/>
                              <a:t>TILs</a:t>
                            </a:r>
                            <a:r>
                              <a:rPr lang="fr-FR" sz="1400" b="1" dirty="0" smtClean="0"/>
                              <a:t>-PD-L1</a:t>
                            </a:r>
                            <a:endParaRPr lang="fr-FR" sz="1400" b="1" dirty="0"/>
                          </a:p>
                        </a:txBody>
                        <a:useSpRect/>
                      </a:txSp>
                    </a:sp>
                    <a:sp>
                      <a:nvSpPr>
                        <a:cNvPr id="9" name="ZoneTexte 8"/>
                        <a:cNvSpPr txBox="1"/>
                      </a:nvSpPr>
                      <a:spPr>
                        <a:xfrm>
                          <a:off x="4606141" y="605489"/>
                          <a:ext cx="1071570" cy="307777"/>
                        </a:xfrm>
                        <a:prstGeom prst="rect">
                          <a:avLst/>
                        </a:prstGeom>
                        <a:noFill/>
                      </a:spPr>
                      <a:txSp>
                        <a:txBody>
                          <a:bodyPr wrap="square" rtlCol="0">
                            <a:spAutoFit/>
                          </a:bodyPr>
                          <a:lstStyle>
                            <a:defPPr>
                              <a:defRPr lang="fr-FR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r>
                              <a:rPr lang="fr-FR" sz="1400" b="1" i="1" dirty="0" smtClean="0"/>
                              <a:t>p</a:t>
                            </a:r>
                            <a:r>
                              <a:rPr lang="fr-FR" sz="1400" b="1" dirty="0" smtClean="0"/>
                              <a:t> = 0.137</a:t>
                            </a:r>
                            <a:endParaRPr lang="fr-FR" sz="1400" b="1" dirty="0"/>
                          </a:p>
                        </a:txBody>
                        <a:useSpRect/>
                      </a:txSp>
                    </a:sp>
                    <a:sp>
                      <a:nvSpPr>
                        <a:cNvPr id="41" name="ZoneTexte 40"/>
                        <a:cNvSpPr txBox="1"/>
                      </a:nvSpPr>
                      <a:spPr>
                        <a:xfrm>
                          <a:off x="4229106" y="623860"/>
                          <a:ext cx="285752" cy="276999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a:spPr>
                      <a:txSp>
                        <a:txBody>
                          <a:bodyPr wrap="square" rtlCol="0">
                            <a:spAutoFit/>
                          </a:bodyPr>
                          <a:lstStyle>
                            <a:defPPr>
                              <a:defRPr lang="fr-FR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dk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dk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dk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dk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dk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dk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dk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dk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dk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r>
                              <a:rPr lang="fr-FR" sz="1200" b="1" dirty="0" smtClean="0"/>
                              <a:t>D</a:t>
                            </a:r>
                            <a:endParaRPr lang="fr-FR" sz="1200" b="1" dirty="0"/>
                          </a:p>
                        </a:txBody>
                        <a:useSpRect/>
                      </a:txSp>
                      <a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a:style>
                    </a:sp>
                    <a:pic>
                      <a:nvPicPr>
                        <a:cNvPr id="2" name="Picture 2"/>
                        <a:cNvPicPr>
                          <a:picLocks noChangeAspect="1" noChangeArrowheads="1"/>
                        </a:cNvPicPr>
                      </a:nvPicPr>
                      <a:blipFill>
                        <a:blip r:embed="rId12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</a:blip>
                        <a:srcRect/>
                        <a:stretch>
                          <a:fillRect/>
                        </a:stretch>
                      </a:blipFill>
                      <a:spPr bwMode="auto">
                        <a:xfrm>
                          <a:off x="3886976" y="3407444"/>
                          <a:ext cx="2256668" cy="243705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a:spPr>
                    </a:pic>
                    <a:sp>
                      <a:nvSpPr>
                        <a:cNvPr id="4" name="ZoneTexte 3"/>
                        <a:cNvSpPr txBox="1"/>
                      </a:nvSpPr>
                      <a:spPr>
                        <a:xfrm>
                          <a:off x="4491818" y="5550107"/>
                          <a:ext cx="1071570" cy="307777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a:spPr>
                      <a:txSp>
                        <a:txBody>
                          <a:bodyPr wrap="square" rtlCol="0">
                            <a:spAutoFit/>
                          </a:bodyPr>
                          <a:lstStyle>
                            <a:defPPr>
                              <a:defRPr lang="fr-FR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r>
                              <a:rPr lang="fr-FR" sz="1400" b="1" dirty="0" err="1" smtClean="0"/>
                              <a:t>TILs</a:t>
                            </a:r>
                            <a:r>
                              <a:rPr lang="fr-FR" sz="1400" b="1" dirty="0" smtClean="0"/>
                              <a:t>-B7-H6</a:t>
                            </a:r>
                            <a:endParaRPr lang="fr-FR" sz="1400" b="1" dirty="0"/>
                          </a:p>
                        </a:txBody>
                        <a:useSpRect/>
                      </a:txSp>
                    </a:sp>
                    <a:sp>
                      <a:nvSpPr>
                        <a:cNvPr id="5" name="ZoneTexte 4"/>
                        <a:cNvSpPr txBox="1"/>
                      </a:nvSpPr>
                      <a:spPr>
                        <a:xfrm>
                          <a:off x="4634694" y="3415610"/>
                          <a:ext cx="1008884" cy="307777"/>
                        </a:xfrm>
                        <a:prstGeom prst="rect">
                          <a:avLst/>
                        </a:prstGeom>
                        <a:noFill/>
                      </a:spPr>
                      <a:txSp>
                        <a:txBody>
                          <a:bodyPr wrap="square" rtlCol="0">
                            <a:spAutoFit/>
                          </a:bodyPr>
                          <a:lstStyle>
                            <a:defPPr>
                              <a:defRPr lang="fr-FR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r>
                              <a:rPr lang="fr-FR" sz="1400" b="1" i="1" dirty="0" smtClean="0"/>
                              <a:t>p</a:t>
                            </a:r>
                            <a:r>
                              <a:rPr lang="fr-FR" sz="1400" b="1" dirty="0" smtClean="0"/>
                              <a:t> = 0.051 </a:t>
                            </a:r>
                            <a:endParaRPr lang="fr-FR" sz="1400" b="1" dirty="0"/>
                          </a:p>
                        </a:txBody>
                        <a:useSpRect/>
                      </a:txSp>
                    </a:sp>
                    <a:sp>
                      <a:nvSpPr>
                        <a:cNvPr id="39" name="ZoneTexte 38"/>
                        <a:cNvSpPr txBox="1"/>
                      </a:nvSpPr>
                      <a:spPr>
                        <a:xfrm>
                          <a:off x="4201303" y="3458472"/>
                          <a:ext cx="285752" cy="276999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a:spPr>
                      <a:txSp>
                        <a:txBody>
                          <a:bodyPr wrap="square" rtlCol="0">
                            <a:spAutoFit/>
                          </a:bodyPr>
                          <a:lstStyle>
                            <a:defPPr>
                              <a:defRPr lang="fr-FR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dk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dk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dk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dk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dk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dk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dk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dk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dk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r>
                              <a:rPr lang="fr-FR" sz="1200" b="1" dirty="0" smtClean="0"/>
                              <a:t>E</a:t>
                            </a:r>
                            <a:endParaRPr lang="fr-FR" sz="1200" b="1" dirty="0"/>
                          </a:p>
                        </a:txBody>
                        <a:useSpRect/>
                      </a:txSp>
                      <a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a:style>
                    </a:sp>
                    <a:sp>
                      <a:nvSpPr>
                        <a:cNvPr id="24" name="ZoneTexte 23"/>
                        <a:cNvSpPr txBox="1"/>
                      </a:nvSpPr>
                      <a:spPr>
                        <a:xfrm rot="16200000">
                          <a:off x="3238206" y="4448272"/>
                          <a:ext cx="1285884" cy="307777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a:spPr>
                      <a:txSp>
                        <a:txBody>
                          <a:bodyPr wrap="square" rtlCol="0">
                            <a:spAutoFit/>
                          </a:bodyPr>
                          <a:lstStyle>
                            <a:defPPr>
                              <a:defRPr lang="fr-FR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r>
                              <a:rPr lang="fr-FR" sz="1400" b="1" dirty="0" smtClean="0"/>
                              <a:t>H-score B7-H6</a:t>
                            </a:r>
                            <a:endParaRPr lang="fr-FR" sz="1400" b="1" dirty="0"/>
                          </a:p>
                        </a:txBody>
                        <a:useSpRect/>
                      </a:txSp>
                    </a:sp>
                    <a:pic>
                      <a:nvPicPr>
                        <a:cNvPr id="10" name="Picture 4"/>
                        <a:cNvPicPr>
                          <a:picLocks noChangeAspect="1" noChangeArrowheads="1"/>
                        </a:cNvPicPr>
                      </a:nvPicPr>
                      <a:blipFill>
                        <a:blip r:embed="rId13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</a:blip>
                        <a:srcRect/>
                        <a:stretch>
                          <a:fillRect/>
                        </a:stretch>
                      </a:blipFill>
                      <a:spPr bwMode="auto">
                        <a:xfrm>
                          <a:off x="3910992" y="6235937"/>
                          <a:ext cx="2247166" cy="25003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a:spPr>
                    </a:pic>
                    <a:sp>
                      <a:nvSpPr>
                        <a:cNvPr id="11" name="ZoneTexte 10"/>
                        <a:cNvSpPr txBox="1"/>
                      </a:nvSpPr>
                      <a:spPr>
                        <a:xfrm>
                          <a:off x="4706108" y="6264487"/>
                          <a:ext cx="1071570" cy="307777"/>
                        </a:xfrm>
                        <a:prstGeom prst="rect">
                          <a:avLst/>
                        </a:prstGeom>
                        <a:noFill/>
                      </a:spPr>
                      <a:txSp>
                        <a:txBody>
                          <a:bodyPr wrap="square" rtlCol="0">
                            <a:spAutoFit/>
                          </a:bodyPr>
                          <a:lstStyle>
                            <a:defPPr>
                              <a:defRPr lang="fr-FR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r>
                              <a:rPr lang="fr-FR" sz="1400" b="1" i="1" dirty="0" smtClean="0"/>
                              <a:t>p</a:t>
                            </a:r>
                            <a:r>
                              <a:rPr lang="fr-FR" sz="1400" b="1" dirty="0" smtClean="0"/>
                              <a:t> = 0.074</a:t>
                            </a:r>
                            <a:endParaRPr lang="fr-FR" sz="1400" b="1" dirty="0"/>
                          </a:p>
                        </a:txBody>
                        <a:useSpRect/>
                      </a:txSp>
                    </a:sp>
                    <a:sp>
                      <a:nvSpPr>
                        <a:cNvPr id="12" name="ZoneTexte 11"/>
                        <a:cNvSpPr txBox="1"/>
                      </a:nvSpPr>
                      <a:spPr>
                        <a:xfrm>
                          <a:off x="4643446" y="8429652"/>
                          <a:ext cx="928694" cy="307777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a:spPr>
                      <a:txSp>
                        <a:txBody>
                          <a:bodyPr wrap="square" rtlCol="0">
                            <a:spAutoFit/>
                          </a:bodyPr>
                          <a:lstStyle>
                            <a:defPPr>
                              <a:defRPr lang="fr-FR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/>
                            <a:r>
                              <a:rPr lang="fr-FR" sz="1400" b="1" dirty="0" smtClean="0"/>
                              <a:t>NK-</a:t>
                            </a:r>
                            <a:r>
                              <a:rPr lang="fr-FR" sz="1400" b="1" dirty="0" err="1" smtClean="0"/>
                              <a:t>TILs</a:t>
                            </a:r>
                            <a:endParaRPr lang="fr-FR" sz="1400" b="1" dirty="0"/>
                          </a:p>
                        </a:txBody>
                        <a:useSpRect/>
                      </a:txSp>
                    </a:sp>
                    <a:sp>
                      <a:nvSpPr>
                        <a:cNvPr id="43" name="ZoneTexte 42"/>
                        <a:cNvSpPr txBox="1"/>
                      </a:nvSpPr>
                      <a:spPr>
                        <a:xfrm>
                          <a:off x="4218222" y="6288097"/>
                          <a:ext cx="285752" cy="276999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a:spPr>
                      <a:txSp>
                        <a:txBody>
                          <a:bodyPr wrap="square" rtlCol="0">
                            <a:spAutoFit/>
                          </a:bodyPr>
                          <a:lstStyle>
                            <a:defPPr>
                              <a:defRPr lang="fr-FR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dk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dk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dk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dk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dk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dk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dk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dk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dk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r>
                              <a:rPr lang="fr-FR" sz="1200" b="1" dirty="0" smtClean="0"/>
                              <a:t>F</a:t>
                            </a:r>
                            <a:endParaRPr lang="fr-FR" sz="1200" b="1" dirty="0"/>
                          </a:p>
                        </a:txBody>
                        <a:useSpRect/>
                      </a:txSp>
                      <a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a:style>
                    </a:sp>
                    <a:sp>
                      <a:nvSpPr>
                        <a:cNvPr id="25" name="ZoneTexte 24"/>
                        <a:cNvSpPr txBox="1"/>
                      </a:nvSpPr>
                      <a:spPr>
                        <a:xfrm rot="16200000">
                          <a:off x="3238206" y="7247736"/>
                          <a:ext cx="1285884" cy="307777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a:spPr>
                      <a:txSp>
                        <a:txBody>
                          <a:bodyPr wrap="square" rtlCol="0">
                            <a:spAutoFit/>
                          </a:bodyPr>
                          <a:lstStyle>
                            <a:defPPr>
                              <a:defRPr lang="fr-FR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r>
                              <a:rPr lang="fr-FR" sz="1400" b="1" dirty="0" smtClean="0"/>
                              <a:t>H-score B7-H6</a:t>
                            </a:r>
                            <a:endParaRPr lang="fr-FR" sz="1400" b="1" dirty="0"/>
                          </a:p>
                        </a:txBody>
                        <a:useSpRect/>
                      </a:txSp>
                    </a:sp>
                    <a:pic>
                      <a:nvPicPr>
                        <a:cNvPr id="29" name="Picture 5"/>
                        <a:cNvPicPr>
                          <a:picLocks noChangeAspect="1" noChangeArrowheads="1"/>
                        </a:cNvPicPr>
                      </a:nvPicPr>
                      <a:blipFill>
                        <a:blip r:embed="rId14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</a:blip>
                        <a:srcRect/>
                        <a:stretch>
                          <a:fillRect/>
                        </a:stretch>
                      </a:blipFill>
                      <a:spPr bwMode="auto">
                        <a:xfrm>
                          <a:off x="857232" y="3416290"/>
                          <a:ext cx="2357454" cy="242821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a:spPr>
                    </a:pic>
                    <a:sp>
                      <a:nvSpPr>
                        <a:cNvPr id="30" name="ZoneTexte 29"/>
                        <a:cNvSpPr txBox="1"/>
                      </a:nvSpPr>
                      <a:spPr>
                        <a:xfrm rot="16200000">
                          <a:off x="153864" y="4448272"/>
                          <a:ext cx="1285884" cy="307777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a:spPr>
                      <a:txSp>
                        <a:txBody>
                          <a:bodyPr wrap="square" rtlCol="0">
                            <a:spAutoFit/>
                          </a:bodyPr>
                          <a:lstStyle>
                            <a:defPPr>
                              <a:defRPr lang="fr-FR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r>
                              <a:rPr lang="fr-FR" sz="1400" b="1" dirty="0" smtClean="0"/>
                              <a:t>H-score PD-L1</a:t>
                            </a:r>
                            <a:endParaRPr lang="fr-FR" sz="1400" b="1" dirty="0"/>
                          </a:p>
                        </a:txBody>
                        <a:useSpRect/>
                      </a:txSp>
                    </a:sp>
                    <a:sp>
                      <a:nvSpPr>
                        <a:cNvPr id="31" name="ZoneTexte 30"/>
                        <a:cNvSpPr txBox="1"/>
                      </a:nvSpPr>
                      <a:spPr>
                        <a:xfrm>
                          <a:off x="1571612" y="5550107"/>
                          <a:ext cx="1071570" cy="307777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a:spPr>
                      <a:txSp>
                        <a:txBody>
                          <a:bodyPr wrap="square" rtlCol="0">
                            <a:spAutoFit/>
                          </a:bodyPr>
                          <a:lstStyle>
                            <a:defPPr>
                              <a:defRPr lang="fr-FR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r>
                              <a:rPr lang="fr-FR" sz="1400" b="1" dirty="0" err="1" smtClean="0"/>
                              <a:t>TILs</a:t>
                            </a:r>
                            <a:r>
                              <a:rPr lang="fr-FR" sz="1400" b="1" dirty="0" smtClean="0"/>
                              <a:t>-B7-H6</a:t>
                            </a:r>
                            <a:endParaRPr lang="fr-FR" sz="1400" b="1" dirty="0"/>
                          </a:p>
                        </a:txBody>
                        <a:useSpRect/>
                      </a:txSp>
                    </a:sp>
                    <a:sp>
                      <a:nvSpPr>
                        <a:cNvPr id="32" name="ZoneTexte 31"/>
                        <a:cNvSpPr txBox="1"/>
                      </a:nvSpPr>
                      <a:spPr>
                        <a:xfrm>
                          <a:off x="1571612" y="3445770"/>
                          <a:ext cx="1285884" cy="307777"/>
                        </a:xfrm>
                        <a:prstGeom prst="rect">
                          <a:avLst/>
                        </a:prstGeom>
                        <a:noFill/>
                      </a:spPr>
                      <a:txSp>
                        <a:txBody>
                          <a:bodyPr wrap="square" rtlCol="0">
                            <a:spAutoFit/>
                          </a:bodyPr>
                          <a:lstStyle>
                            <a:defPPr>
                              <a:defRPr lang="fr-FR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r>
                              <a:rPr lang="fr-FR" sz="1400" b="1" i="1" dirty="0" smtClean="0"/>
                              <a:t>p</a:t>
                            </a:r>
                            <a:r>
                              <a:rPr lang="fr-FR" sz="1400" b="1" dirty="0" smtClean="0"/>
                              <a:t> = 0.0174* </a:t>
                            </a:r>
                            <a:endParaRPr lang="fr-FR" sz="1400" b="1" dirty="0"/>
                          </a:p>
                        </a:txBody>
                        <a:useSpRect/>
                      </a:txSp>
                    </a:sp>
                    <a:pic>
                      <a:nvPicPr>
                        <a:cNvPr id="33" name="Picture 6"/>
                        <a:cNvPicPr>
                          <a:picLocks noChangeAspect="1" noChangeArrowheads="1"/>
                        </a:cNvPicPr>
                      </a:nvPicPr>
                      <a:blipFill>
                        <a:blip r:embed="rId15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</a:blip>
                        <a:srcRect/>
                        <a:stretch>
                          <a:fillRect/>
                        </a:stretch>
                      </a:blipFill>
                      <a:spPr bwMode="auto">
                        <a:xfrm>
                          <a:off x="771280" y="571472"/>
                          <a:ext cx="2443406" cy="240099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a:spPr>
                    </a:pic>
                    <a:sp>
                      <a:nvSpPr>
                        <a:cNvPr id="34" name="ZoneTexte 33"/>
                        <a:cNvSpPr txBox="1"/>
                      </a:nvSpPr>
                      <a:spPr>
                        <a:xfrm>
                          <a:off x="1516952" y="2705969"/>
                          <a:ext cx="1071570" cy="307777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a:spPr>
                      <a:txSp>
                        <a:txBody>
                          <a:bodyPr wrap="square" rtlCol="0">
                            <a:spAutoFit/>
                          </a:bodyPr>
                          <a:lstStyle>
                            <a:defPPr>
                              <a:defRPr lang="fr-FR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r>
                              <a:rPr lang="fr-FR" sz="1400" b="1" dirty="0" err="1" smtClean="0"/>
                              <a:t>TILs</a:t>
                            </a:r>
                            <a:r>
                              <a:rPr lang="fr-FR" sz="1400" b="1" dirty="0" smtClean="0"/>
                              <a:t>-PD-L1</a:t>
                            </a:r>
                            <a:endParaRPr lang="fr-FR" sz="1400" b="1" dirty="0"/>
                          </a:p>
                        </a:txBody>
                        <a:useSpRect/>
                      </a:txSp>
                    </a:sp>
                    <a:sp>
                      <a:nvSpPr>
                        <a:cNvPr id="35" name="ZoneTexte 34"/>
                        <a:cNvSpPr txBox="1"/>
                      </a:nvSpPr>
                      <a:spPr>
                        <a:xfrm rot="16200000">
                          <a:off x="131839" y="1604135"/>
                          <a:ext cx="1285884" cy="307777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a:spPr>
                      <a:txSp>
                        <a:txBody>
                          <a:bodyPr wrap="square" rtlCol="0">
                            <a:spAutoFit/>
                          </a:bodyPr>
                          <a:lstStyle>
                            <a:defPPr>
                              <a:defRPr lang="fr-FR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r>
                              <a:rPr lang="fr-FR" sz="1400" b="1" dirty="0" smtClean="0"/>
                              <a:t>H-score PD-L1</a:t>
                            </a:r>
                            <a:endParaRPr lang="fr-FR" sz="1400" b="1" dirty="0"/>
                          </a:p>
                        </a:txBody>
                        <a:useSpRect/>
                      </a:txSp>
                    </a:sp>
                    <a:sp>
                      <a:nvSpPr>
                        <a:cNvPr id="36" name="ZoneTexte 35"/>
                        <a:cNvSpPr txBox="1"/>
                      </a:nvSpPr>
                      <a:spPr>
                        <a:xfrm>
                          <a:off x="1571612" y="615014"/>
                          <a:ext cx="1071570" cy="307777"/>
                        </a:xfrm>
                        <a:prstGeom prst="rect">
                          <a:avLst/>
                        </a:prstGeom>
                        <a:noFill/>
                      </a:spPr>
                      <a:txSp>
                        <a:txBody>
                          <a:bodyPr wrap="square" rtlCol="0">
                            <a:spAutoFit/>
                          </a:bodyPr>
                          <a:lstStyle>
                            <a:defPPr>
                              <a:defRPr lang="fr-FR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r>
                              <a:rPr lang="fr-FR" sz="1400" b="1" i="1" dirty="0" smtClean="0"/>
                              <a:t>p</a:t>
                            </a:r>
                            <a:r>
                              <a:rPr lang="fr-FR" sz="1400" b="1" dirty="0" smtClean="0"/>
                              <a:t> = 0.0293*</a:t>
                            </a:r>
                            <a:endParaRPr lang="fr-FR" sz="1400" b="1" dirty="0"/>
                          </a:p>
                        </a:txBody>
                        <a:useSpRect/>
                      </a:txSp>
                    </a:sp>
                    <a:pic>
                      <a:nvPicPr>
                        <a:cNvPr id="37" name="Picture 7"/>
                        <a:cNvPicPr>
                          <a:picLocks noChangeAspect="1" noChangeArrowheads="1"/>
                        </a:cNvPicPr>
                      </a:nvPicPr>
                      <a:blipFill>
                        <a:blip r:embed="rId16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</a:blip>
                        <a:srcRect/>
                        <a:stretch>
                          <a:fillRect/>
                        </a:stretch>
                      </a:blipFill>
                      <a:spPr bwMode="auto">
                        <a:xfrm>
                          <a:off x="760170" y="6230720"/>
                          <a:ext cx="2525954" cy="248468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a:spPr>
                    </a:pic>
                    <a:sp>
                      <a:nvSpPr>
                        <a:cNvPr id="38" name="ZoneTexte 37"/>
                        <a:cNvSpPr txBox="1"/>
                      </a:nvSpPr>
                      <a:spPr>
                        <a:xfrm>
                          <a:off x="1643050" y="8429652"/>
                          <a:ext cx="928694" cy="307777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a:spPr>
                      <a:txSp>
                        <a:txBody>
                          <a:bodyPr wrap="square" rtlCol="0">
                            <a:spAutoFit/>
                          </a:bodyPr>
                          <a:lstStyle>
                            <a:defPPr>
                              <a:defRPr lang="fr-FR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/>
                            <a:r>
                              <a:rPr lang="fr-FR" sz="1400" b="1" dirty="0" smtClean="0"/>
                              <a:t>NK-</a:t>
                            </a:r>
                            <a:r>
                              <a:rPr lang="fr-FR" sz="1400" b="1" dirty="0" err="1" smtClean="0"/>
                              <a:t>TILs</a:t>
                            </a:r>
                            <a:endParaRPr lang="fr-FR" sz="1400" b="1" dirty="0"/>
                          </a:p>
                        </a:txBody>
                        <a:useSpRect/>
                      </a:txSp>
                    </a:sp>
                    <a:sp>
                      <a:nvSpPr>
                        <a:cNvPr id="40" name="ZoneTexte 39"/>
                        <a:cNvSpPr txBox="1"/>
                      </a:nvSpPr>
                      <a:spPr>
                        <a:xfrm rot="16200000">
                          <a:off x="187187" y="7247736"/>
                          <a:ext cx="1285884" cy="307777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a:spPr>
                      <a:txSp>
                        <a:txBody>
                          <a:bodyPr wrap="square" rtlCol="0">
                            <a:spAutoFit/>
                          </a:bodyPr>
                          <a:lstStyle>
                            <a:defPPr>
                              <a:defRPr lang="fr-FR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r>
                              <a:rPr lang="fr-FR" sz="1400" b="1" dirty="0" smtClean="0"/>
                              <a:t>H-score PD-L1</a:t>
                            </a:r>
                            <a:endParaRPr lang="fr-FR" sz="1400" b="1" dirty="0"/>
                          </a:p>
                        </a:txBody>
                        <a:useSpRect/>
                      </a:txSp>
                    </a:sp>
                    <a:sp>
                      <a:nvSpPr>
                        <a:cNvPr id="42" name="ZoneTexte 41"/>
                        <a:cNvSpPr txBox="1"/>
                      </a:nvSpPr>
                      <a:spPr>
                        <a:xfrm>
                          <a:off x="1604934" y="6258616"/>
                          <a:ext cx="1071570" cy="307777"/>
                        </a:xfrm>
                        <a:prstGeom prst="rect">
                          <a:avLst/>
                        </a:prstGeom>
                        <a:noFill/>
                      </a:spPr>
                      <a:txSp>
                        <a:txBody>
                          <a:bodyPr wrap="square" rtlCol="0">
                            <a:spAutoFit/>
                          </a:bodyPr>
                          <a:lstStyle>
                            <a:defPPr>
                              <a:defRPr lang="fr-FR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r>
                              <a:rPr lang="fr-FR" sz="1400" b="1" i="1" dirty="0" smtClean="0"/>
                              <a:t>p</a:t>
                            </a:r>
                            <a:r>
                              <a:rPr lang="fr-FR" sz="1400" b="1" dirty="0" smtClean="0"/>
                              <a:t> = 0.0293*</a:t>
                            </a:r>
                            <a:endParaRPr lang="fr-FR" sz="1400" b="1" dirty="0"/>
                          </a:p>
                        </a:txBody>
                        <a:useSpRect/>
                      </a:txSp>
                    </a:sp>
                    <a:sp>
                      <a:nvSpPr>
                        <a:cNvPr id="44" name="ZoneTexte 43"/>
                        <a:cNvSpPr txBox="1"/>
                      </a:nvSpPr>
                      <a:spPr>
                        <a:xfrm>
                          <a:off x="1175869" y="3467000"/>
                          <a:ext cx="285752" cy="276999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a:spPr>
                      <a:txSp>
                        <a:txBody>
                          <a:bodyPr wrap="square" rtlCol="0">
                            <a:spAutoFit/>
                          </a:bodyPr>
                          <a:lstStyle>
                            <a:defPPr>
                              <a:defRPr lang="fr-FR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dk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dk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dk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dk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dk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dk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dk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dk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dk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r>
                              <a:rPr lang="fr-FR" sz="1200" b="1" dirty="0" smtClean="0"/>
                              <a:t>B</a:t>
                            </a:r>
                            <a:endParaRPr lang="fr-FR" sz="1200" b="1" dirty="0"/>
                          </a:p>
                        </a:txBody>
                        <a:useSpRect/>
                      </a:txSp>
                      <a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a:style>
                    </a:sp>
                    <a:sp>
                      <a:nvSpPr>
                        <a:cNvPr id="45" name="ZoneTexte 44"/>
                        <a:cNvSpPr txBox="1"/>
                      </a:nvSpPr>
                      <a:spPr>
                        <a:xfrm>
                          <a:off x="1176322" y="615694"/>
                          <a:ext cx="285752" cy="276999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a:spPr>
                      <a:txSp>
                        <a:txBody>
                          <a:bodyPr wrap="square" rtlCol="0">
                            <a:spAutoFit/>
                          </a:bodyPr>
                          <a:lstStyle>
                            <a:defPPr>
                              <a:defRPr lang="fr-FR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dk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dk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dk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dk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dk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dk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dk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dk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dk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r>
                              <a:rPr lang="fr-FR" sz="1200" b="1" dirty="0" smtClean="0"/>
                              <a:t>A</a:t>
                            </a:r>
                            <a:endParaRPr lang="fr-FR" sz="1200" b="1" dirty="0"/>
                          </a:p>
                        </a:txBody>
                        <a:useSpRect/>
                      </a:txSp>
                      <a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a:style>
                    </a:sp>
                    <a:sp>
                      <a:nvSpPr>
                        <a:cNvPr id="46" name="ZoneTexte 45"/>
                        <a:cNvSpPr txBox="1"/>
                      </a:nvSpPr>
                      <a:spPr>
                        <a:xfrm>
                          <a:off x="1176548" y="6287191"/>
                          <a:ext cx="285752" cy="276999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a:spPr>
                      <a:txSp>
                        <a:txBody>
                          <a:bodyPr wrap="square" rtlCol="0">
                            <a:spAutoFit/>
                          </a:bodyPr>
                          <a:lstStyle>
                            <a:defPPr>
                              <a:defRPr lang="fr-FR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dk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dk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dk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dk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dk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dk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dk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dk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dk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r>
                              <a:rPr lang="fr-FR" sz="1200" b="1" dirty="0" smtClean="0"/>
                              <a:t>C</a:t>
                            </a:r>
                            <a:endParaRPr lang="fr-FR" sz="1200" b="1" dirty="0"/>
                          </a:p>
                        </a:txBody>
                        <a:useSpRect/>
                      </a:txSp>
                      <a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a:style>
                    </a:sp>
                  </a:grpSp>
                </lc:lockedCanvas>
              </a:graphicData>
            </a:graphic>
          </wp:inline>
        </w:drawing>
      </w:r>
    </w:p>
    <w:p w:rsidR="00D93739" w:rsidRPr="00621FE2" w:rsidRDefault="00D93739" w:rsidP="00807569">
      <w:pPr>
        <w:spacing w:after="0" w:line="360" w:lineRule="auto"/>
        <w:jc w:val="both"/>
        <w:rPr>
          <w:rFonts w:cs="Times New Roman"/>
          <w:lang w:val="en-US"/>
        </w:rPr>
      </w:pPr>
      <w:r w:rsidRPr="00D93739">
        <w:rPr>
          <w:b/>
          <w:bCs/>
          <w:lang w:val="en-US"/>
        </w:rPr>
        <w:t xml:space="preserve">Supplementary figure </w:t>
      </w:r>
      <w:r w:rsidR="00807569">
        <w:rPr>
          <w:b/>
          <w:bCs/>
          <w:lang w:val="en-US"/>
        </w:rPr>
        <w:t>1</w:t>
      </w:r>
      <w:r w:rsidRPr="00D93739">
        <w:rPr>
          <w:b/>
          <w:bCs/>
          <w:lang w:val="en-US"/>
        </w:rPr>
        <w:t>.</w:t>
      </w:r>
      <w:r w:rsidRPr="00D93739">
        <w:rPr>
          <w:rFonts w:cs="Times New Roman"/>
          <w:b/>
          <w:bCs/>
          <w:lang w:val="en-US"/>
        </w:rPr>
        <w:t xml:space="preserve"> </w:t>
      </w:r>
      <w:r w:rsidRPr="00D93739">
        <w:rPr>
          <w:rFonts w:cstheme="majorBidi"/>
          <w:b/>
          <w:bCs/>
          <w:lang w:val="en-US"/>
        </w:rPr>
        <w:t>B7-H6 and PD-L1 H-scores associations with TILs-PD-L1, TILs-B7-H6 and</w:t>
      </w:r>
      <w:r w:rsidRPr="00572AA8">
        <w:rPr>
          <w:rFonts w:cstheme="majorBidi"/>
          <w:b/>
          <w:bCs/>
          <w:lang w:val="en-US"/>
        </w:rPr>
        <w:t xml:space="preserve"> NK-TILs statutes in Her2 positive cancer subtype. </w:t>
      </w:r>
    </w:p>
    <w:p w:rsidR="00D93739" w:rsidRPr="00572AA8" w:rsidRDefault="00D93739" w:rsidP="00DC1A51">
      <w:pPr>
        <w:spacing w:line="360" w:lineRule="auto"/>
        <w:jc w:val="both"/>
        <w:rPr>
          <w:rFonts w:cstheme="majorBidi"/>
          <w:lang w:val="en-US"/>
        </w:rPr>
      </w:pPr>
      <w:r w:rsidRPr="00572AA8">
        <w:rPr>
          <w:rFonts w:cstheme="majorBidi"/>
          <w:lang w:val="en-US"/>
        </w:rPr>
        <w:t>Boxplot representations of H-score PD-L1 distribution according to TILs-PD-L1 status (</w:t>
      </w:r>
      <w:r w:rsidR="00DC1A51">
        <w:rPr>
          <w:rFonts w:cstheme="majorBidi"/>
          <w:b/>
          <w:bCs/>
          <w:lang w:val="en-US"/>
        </w:rPr>
        <w:t>a</w:t>
      </w:r>
      <w:r w:rsidRPr="00572AA8">
        <w:rPr>
          <w:rFonts w:cstheme="majorBidi"/>
          <w:lang w:val="en-US"/>
        </w:rPr>
        <w:t xml:space="preserve">, </w:t>
      </w:r>
      <w:r w:rsidRPr="00572AA8">
        <w:rPr>
          <w:rFonts w:cstheme="majorBidi"/>
          <w:i/>
          <w:iCs/>
          <w:lang w:val="en-US"/>
        </w:rPr>
        <w:t>p</w:t>
      </w:r>
      <w:r w:rsidRPr="00572AA8">
        <w:rPr>
          <w:rFonts w:cstheme="majorBidi"/>
          <w:lang w:val="en-US"/>
        </w:rPr>
        <w:t xml:space="preserve"> = 0.0293), TILs-B7-H6 status (</w:t>
      </w:r>
      <w:r w:rsidR="00DC1A51">
        <w:rPr>
          <w:rFonts w:cstheme="majorBidi"/>
          <w:b/>
          <w:bCs/>
          <w:lang w:val="en-US"/>
        </w:rPr>
        <w:t>b</w:t>
      </w:r>
      <w:r w:rsidRPr="00572AA8">
        <w:rPr>
          <w:rFonts w:cstheme="majorBidi"/>
          <w:lang w:val="en-US"/>
        </w:rPr>
        <w:t xml:space="preserve">, </w:t>
      </w:r>
      <w:r w:rsidRPr="00572AA8">
        <w:rPr>
          <w:rFonts w:cstheme="majorBidi"/>
          <w:i/>
          <w:iCs/>
          <w:lang w:val="en-US"/>
        </w:rPr>
        <w:t>p</w:t>
      </w:r>
      <w:r w:rsidRPr="00572AA8">
        <w:rPr>
          <w:rFonts w:cstheme="majorBidi"/>
          <w:lang w:val="en-US"/>
        </w:rPr>
        <w:t xml:space="preserve"> = 0.0174) and NK-TILs status (</w:t>
      </w:r>
      <w:r w:rsidR="00DC1A51">
        <w:rPr>
          <w:rFonts w:cstheme="majorBidi"/>
          <w:b/>
          <w:bCs/>
          <w:lang w:val="en-US"/>
        </w:rPr>
        <w:t>c</w:t>
      </w:r>
      <w:r w:rsidRPr="00572AA8">
        <w:rPr>
          <w:rFonts w:cstheme="majorBidi"/>
          <w:lang w:val="en-US"/>
        </w:rPr>
        <w:t xml:space="preserve">, </w:t>
      </w:r>
      <w:r w:rsidRPr="00572AA8">
        <w:rPr>
          <w:rFonts w:cstheme="majorBidi"/>
          <w:i/>
          <w:iCs/>
          <w:lang w:val="en-US"/>
        </w:rPr>
        <w:t>p</w:t>
      </w:r>
      <w:r w:rsidRPr="00572AA8">
        <w:rPr>
          <w:rFonts w:cstheme="majorBidi"/>
          <w:lang w:val="en-US"/>
        </w:rPr>
        <w:t xml:space="preserve"> = 0.0293). Boxplot representations of H-score B7-H6 distribution according to TILs-PD-L1 status (</w:t>
      </w:r>
      <w:r w:rsidR="00DC1A51">
        <w:rPr>
          <w:rFonts w:cstheme="majorBidi"/>
          <w:b/>
          <w:bCs/>
          <w:lang w:val="en-US"/>
        </w:rPr>
        <w:t>d</w:t>
      </w:r>
      <w:r w:rsidRPr="00572AA8">
        <w:rPr>
          <w:rFonts w:cstheme="majorBidi"/>
          <w:lang w:val="en-US"/>
        </w:rPr>
        <w:t xml:space="preserve">, </w:t>
      </w:r>
      <w:r w:rsidRPr="00572AA8">
        <w:rPr>
          <w:rFonts w:cstheme="majorBidi"/>
          <w:i/>
          <w:iCs/>
          <w:lang w:val="en-US"/>
        </w:rPr>
        <w:t>p</w:t>
      </w:r>
      <w:r w:rsidRPr="00572AA8">
        <w:rPr>
          <w:rFonts w:cstheme="majorBidi"/>
          <w:lang w:val="en-US"/>
        </w:rPr>
        <w:t xml:space="preserve"> = 0.137), TILs-B7-H6 status (</w:t>
      </w:r>
      <w:r w:rsidR="00DC1A51">
        <w:rPr>
          <w:rFonts w:cstheme="majorBidi"/>
          <w:b/>
          <w:bCs/>
          <w:lang w:val="en-US"/>
        </w:rPr>
        <w:t>e</w:t>
      </w:r>
      <w:r w:rsidRPr="00572AA8">
        <w:rPr>
          <w:rFonts w:cstheme="majorBidi"/>
          <w:lang w:val="en-US"/>
        </w:rPr>
        <w:t xml:space="preserve">, </w:t>
      </w:r>
      <w:r w:rsidRPr="00572AA8">
        <w:rPr>
          <w:rFonts w:cstheme="majorBidi"/>
          <w:i/>
          <w:iCs/>
          <w:lang w:val="en-US"/>
        </w:rPr>
        <w:t>p</w:t>
      </w:r>
      <w:r w:rsidRPr="00572AA8">
        <w:rPr>
          <w:rFonts w:cstheme="majorBidi"/>
          <w:lang w:val="en-US"/>
        </w:rPr>
        <w:t xml:space="preserve"> =0.051) and NK-TILs status (</w:t>
      </w:r>
      <w:r w:rsidR="00DC1A51">
        <w:rPr>
          <w:rFonts w:cstheme="majorBidi"/>
          <w:b/>
          <w:bCs/>
          <w:lang w:val="en-US"/>
        </w:rPr>
        <w:t>f</w:t>
      </w:r>
      <w:r w:rsidRPr="00572AA8">
        <w:rPr>
          <w:rFonts w:cstheme="majorBidi"/>
          <w:lang w:val="en-US"/>
        </w:rPr>
        <w:t xml:space="preserve">, </w:t>
      </w:r>
      <w:r w:rsidRPr="00572AA8">
        <w:rPr>
          <w:rFonts w:cstheme="majorBidi"/>
          <w:i/>
          <w:iCs/>
          <w:lang w:val="en-US"/>
        </w:rPr>
        <w:t>p</w:t>
      </w:r>
      <w:r w:rsidRPr="00572AA8">
        <w:rPr>
          <w:rFonts w:cstheme="majorBidi"/>
          <w:lang w:val="en-US"/>
        </w:rPr>
        <w:t xml:space="preserve"> = 0.074).</w:t>
      </w:r>
    </w:p>
    <w:p w:rsidR="00D93739" w:rsidRDefault="00D93739" w:rsidP="009B70C0">
      <w:pPr>
        <w:tabs>
          <w:tab w:val="left" w:pos="12624"/>
        </w:tabs>
        <w:spacing w:after="0" w:line="276" w:lineRule="auto"/>
        <w:jc w:val="both"/>
        <w:outlineLvl w:val="0"/>
        <w:rPr>
          <w:rFonts w:cs="Times New Roman"/>
          <w:b/>
          <w:bCs/>
          <w:lang w:val="en-US"/>
        </w:rPr>
      </w:pPr>
      <w:r w:rsidRPr="00D93739">
        <w:rPr>
          <w:rFonts w:cs="Times New Roman"/>
          <w:b/>
          <w:bCs/>
          <w:noProof/>
          <w:lang w:eastAsia="fr-FR"/>
        </w:rPr>
        <w:lastRenderedPageBreak/>
        <w:drawing>
          <wp:inline distT="0" distB="0" distL="0" distR="0">
            <wp:extent cx="5607050" cy="7226300"/>
            <wp:effectExtent l="19050" t="0" r="0" b="0"/>
            <wp:docPr id="5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0" cy="722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3739" w:rsidRDefault="00D93739" w:rsidP="00807569">
      <w:pPr>
        <w:spacing w:line="360" w:lineRule="auto"/>
        <w:jc w:val="both"/>
        <w:rPr>
          <w:b/>
          <w:bCs/>
          <w:lang w:val="en-US"/>
        </w:rPr>
      </w:pPr>
      <w:r>
        <w:rPr>
          <w:rFonts w:cs="Times New Roman"/>
          <w:b/>
          <w:bCs/>
          <w:lang w:val="en-US"/>
        </w:rPr>
        <w:t>Supplementary f</w:t>
      </w:r>
      <w:r w:rsidRPr="008B4177">
        <w:rPr>
          <w:rFonts w:cs="Times New Roman"/>
          <w:b/>
          <w:bCs/>
          <w:lang w:val="en-US"/>
        </w:rPr>
        <w:t xml:space="preserve">igure </w:t>
      </w:r>
      <w:r w:rsidR="00807569">
        <w:rPr>
          <w:rFonts w:cs="Times New Roman"/>
          <w:b/>
          <w:bCs/>
          <w:lang w:val="en-US"/>
        </w:rPr>
        <w:t>2</w:t>
      </w:r>
      <w:r w:rsidRPr="008B4177">
        <w:rPr>
          <w:rFonts w:cs="Times New Roman"/>
          <w:b/>
          <w:bCs/>
          <w:lang w:val="en-US"/>
        </w:rPr>
        <w:t xml:space="preserve">. </w:t>
      </w:r>
      <w:r w:rsidRPr="00592396">
        <w:rPr>
          <w:b/>
          <w:bCs/>
          <w:lang w:val="en-US"/>
        </w:rPr>
        <w:t xml:space="preserve">Survival analysis according to </w:t>
      </w:r>
      <w:r>
        <w:rPr>
          <w:b/>
          <w:bCs/>
          <w:lang w:val="en-US"/>
        </w:rPr>
        <w:t>B7-H6 and PD-L1</w:t>
      </w:r>
      <w:r w:rsidRPr="00592396">
        <w:rPr>
          <w:b/>
          <w:bCs/>
          <w:lang w:val="en-US"/>
        </w:rPr>
        <w:t xml:space="preserve"> expression in </w:t>
      </w:r>
      <w:r>
        <w:rPr>
          <w:b/>
          <w:bCs/>
          <w:lang w:val="en-US"/>
        </w:rPr>
        <w:t xml:space="preserve">Her2 positive </w:t>
      </w:r>
      <w:r w:rsidRPr="00592396">
        <w:rPr>
          <w:b/>
          <w:bCs/>
          <w:lang w:val="en-US"/>
        </w:rPr>
        <w:t xml:space="preserve">breast cancer tissues.  </w:t>
      </w:r>
    </w:p>
    <w:p w:rsidR="00D93739" w:rsidRPr="008B32C7" w:rsidRDefault="00D93739" w:rsidP="00DC1A51">
      <w:pPr>
        <w:spacing w:after="0" w:line="360" w:lineRule="auto"/>
        <w:jc w:val="both"/>
        <w:outlineLvl w:val="0"/>
        <w:rPr>
          <w:lang w:val="en-US"/>
        </w:rPr>
      </w:pPr>
      <w:r w:rsidRPr="004D41D2">
        <w:rPr>
          <w:lang w:val="en-US"/>
        </w:rPr>
        <w:t>(</w:t>
      </w:r>
      <w:r w:rsidR="00DC1A51">
        <w:rPr>
          <w:b/>
          <w:bCs/>
          <w:lang w:val="en-US"/>
        </w:rPr>
        <w:t>a</w:t>
      </w:r>
      <w:r w:rsidRPr="008B32C7">
        <w:rPr>
          <w:b/>
          <w:bCs/>
          <w:lang w:val="en-US"/>
        </w:rPr>
        <w:t xml:space="preserve"> </w:t>
      </w:r>
      <w:r>
        <w:rPr>
          <w:lang w:val="en-US"/>
        </w:rPr>
        <w:t xml:space="preserve">and </w:t>
      </w:r>
      <w:r w:rsidR="00DC1A51">
        <w:rPr>
          <w:b/>
          <w:bCs/>
          <w:lang w:val="en-US"/>
        </w:rPr>
        <w:t>d</w:t>
      </w:r>
      <w:r w:rsidRPr="004D41D2">
        <w:rPr>
          <w:lang w:val="en-US"/>
        </w:rPr>
        <w:t>)</w:t>
      </w:r>
      <w:r>
        <w:rPr>
          <w:b/>
          <w:bCs/>
          <w:lang w:val="en-US"/>
        </w:rPr>
        <w:t xml:space="preserve"> </w:t>
      </w:r>
      <w:r w:rsidRPr="00592396">
        <w:rPr>
          <w:lang w:val="en-US"/>
        </w:rPr>
        <w:t xml:space="preserve">Kaplan-Meier curves for </w:t>
      </w:r>
      <w:r>
        <w:rPr>
          <w:lang w:val="en-US"/>
        </w:rPr>
        <w:t>OS</w:t>
      </w:r>
      <w:r w:rsidRPr="00592396">
        <w:rPr>
          <w:lang w:val="en-US"/>
        </w:rPr>
        <w:t xml:space="preserve"> stratified </w:t>
      </w:r>
      <w:r>
        <w:rPr>
          <w:lang w:val="en-US"/>
        </w:rPr>
        <w:t>according to</w:t>
      </w:r>
      <w:r w:rsidRPr="00592396">
        <w:rPr>
          <w:lang w:val="en-US"/>
        </w:rPr>
        <w:t xml:space="preserve"> </w:t>
      </w:r>
      <w:r>
        <w:rPr>
          <w:lang w:val="en-US"/>
        </w:rPr>
        <w:t xml:space="preserve">B7-H6 and PD-L1 </w:t>
      </w:r>
      <w:r w:rsidRPr="00F26D6E">
        <w:rPr>
          <w:lang w:val="en-US"/>
        </w:rPr>
        <w:t>expression</w:t>
      </w:r>
      <w:r>
        <w:rPr>
          <w:lang w:val="en-US"/>
        </w:rPr>
        <w:t xml:space="preserve"> by cancer cells (B7-H6 BCC)</w:t>
      </w:r>
      <w:r>
        <w:rPr>
          <w:i/>
          <w:iCs/>
          <w:lang w:val="en-US"/>
        </w:rPr>
        <w:t xml:space="preserve"> </w:t>
      </w:r>
      <w:r>
        <w:rPr>
          <w:lang w:val="en-US"/>
        </w:rPr>
        <w:t xml:space="preserve">and (PD-L1 BCC) respectively.  </w:t>
      </w:r>
      <w:r w:rsidRPr="004D41D2">
        <w:rPr>
          <w:lang w:val="en-US"/>
        </w:rPr>
        <w:t>(</w:t>
      </w:r>
      <w:r w:rsidR="00DC1A51">
        <w:rPr>
          <w:b/>
          <w:bCs/>
          <w:lang w:val="en-US"/>
        </w:rPr>
        <w:t>b</w:t>
      </w:r>
      <w:r>
        <w:rPr>
          <w:b/>
          <w:bCs/>
          <w:lang w:val="en-US"/>
        </w:rPr>
        <w:t xml:space="preserve"> </w:t>
      </w:r>
      <w:r w:rsidRPr="008B32C7">
        <w:rPr>
          <w:lang w:val="en-US"/>
        </w:rPr>
        <w:t>and</w:t>
      </w:r>
      <w:r>
        <w:rPr>
          <w:b/>
          <w:bCs/>
          <w:lang w:val="en-US"/>
        </w:rPr>
        <w:t xml:space="preserve"> </w:t>
      </w:r>
      <w:r w:rsidR="00DC1A51">
        <w:rPr>
          <w:b/>
          <w:bCs/>
          <w:lang w:val="en-US"/>
        </w:rPr>
        <w:t>e</w:t>
      </w:r>
      <w:r w:rsidRPr="004D41D2">
        <w:rPr>
          <w:lang w:val="en-US"/>
        </w:rPr>
        <w:t>)</w:t>
      </w:r>
      <w:r>
        <w:rPr>
          <w:b/>
          <w:bCs/>
          <w:lang w:val="en-US"/>
        </w:rPr>
        <w:t xml:space="preserve"> </w:t>
      </w:r>
      <w:r w:rsidRPr="00592396">
        <w:rPr>
          <w:lang w:val="en-US"/>
        </w:rPr>
        <w:t xml:space="preserve">Kaplan-Meier curves </w:t>
      </w:r>
      <w:r>
        <w:rPr>
          <w:lang w:val="en-US"/>
        </w:rPr>
        <w:t xml:space="preserve">for OS </w:t>
      </w:r>
      <w:r w:rsidRPr="00592396">
        <w:rPr>
          <w:lang w:val="en-US"/>
        </w:rPr>
        <w:t xml:space="preserve">stratified </w:t>
      </w:r>
      <w:r>
        <w:rPr>
          <w:lang w:val="en-US"/>
        </w:rPr>
        <w:t>according to</w:t>
      </w:r>
      <w:r w:rsidRPr="00592396">
        <w:rPr>
          <w:lang w:val="en-US"/>
        </w:rPr>
        <w:t xml:space="preserve"> </w:t>
      </w:r>
      <w:r>
        <w:rPr>
          <w:lang w:val="en-US"/>
        </w:rPr>
        <w:t xml:space="preserve">B7-H6 and PD-L1 </w:t>
      </w:r>
      <w:r w:rsidRPr="00F26D6E">
        <w:rPr>
          <w:lang w:val="en-US"/>
        </w:rPr>
        <w:t>expression</w:t>
      </w:r>
      <w:r>
        <w:rPr>
          <w:lang w:val="en-US"/>
        </w:rPr>
        <w:t xml:space="preserve"> by immune infiltrating cells (TILs-B7-H6) and (TILs-PD-L1)</w:t>
      </w:r>
      <w:r w:rsidRPr="00F26D6E">
        <w:rPr>
          <w:lang w:val="en-US"/>
        </w:rPr>
        <w:t xml:space="preserve"> </w:t>
      </w:r>
      <w:r>
        <w:rPr>
          <w:lang w:val="en-US"/>
        </w:rPr>
        <w:t>respectively. (</w:t>
      </w:r>
      <w:r w:rsidR="00DC1A51">
        <w:rPr>
          <w:b/>
          <w:bCs/>
          <w:lang w:val="en-US"/>
        </w:rPr>
        <w:t>c</w:t>
      </w:r>
      <w:r>
        <w:rPr>
          <w:lang w:val="en-US"/>
        </w:rPr>
        <w:t xml:space="preserve">) </w:t>
      </w:r>
      <w:r w:rsidRPr="00592396">
        <w:rPr>
          <w:lang w:val="en-US"/>
        </w:rPr>
        <w:t>OS</w:t>
      </w:r>
      <w:r>
        <w:rPr>
          <w:lang w:val="en-US"/>
        </w:rPr>
        <w:t xml:space="preserve"> curves according to B7-H6 expression by tumor and immune cells together </w:t>
      </w:r>
      <w:r>
        <w:rPr>
          <w:lang w:val="en-US"/>
        </w:rPr>
        <w:lastRenderedPageBreak/>
        <w:t>leading to three subgroups; subgroup 1: TILs-B7-H6</w:t>
      </w:r>
      <w:r w:rsidRPr="00294A31">
        <w:rPr>
          <w:vertAlign w:val="superscript"/>
          <w:lang w:val="en-US"/>
        </w:rPr>
        <w:t>Low</w:t>
      </w:r>
      <w:r>
        <w:rPr>
          <w:lang w:val="en-US"/>
        </w:rPr>
        <w:t>/ B7-H6 BCC</w:t>
      </w:r>
      <w:r w:rsidRPr="00294A31">
        <w:rPr>
          <w:vertAlign w:val="superscript"/>
          <w:lang w:val="en-US"/>
        </w:rPr>
        <w:t>Low</w:t>
      </w:r>
      <w:r w:rsidRPr="00294A31">
        <w:rPr>
          <w:lang w:val="en-US"/>
        </w:rPr>
        <w:t xml:space="preserve">, </w:t>
      </w:r>
      <w:r>
        <w:rPr>
          <w:lang w:val="en-US"/>
        </w:rPr>
        <w:t>subgroup 2: TILs-B7-H6</w:t>
      </w:r>
      <w:r w:rsidRPr="00294A31">
        <w:rPr>
          <w:vertAlign w:val="superscript"/>
          <w:lang w:val="en-US"/>
        </w:rPr>
        <w:t>Low</w:t>
      </w:r>
      <w:r>
        <w:rPr>
          <w:lang w:val="en-US"/>
        </w:rPr>
        <w:t>/ B7-H6 BCC</w:t>
      </w:r>
      <w:r>
        <w:rPr>
          <w:vertAlign w:val="superscript"/>
          <w:lang w:val="en-US"/>
        </w:rPr>
        <w:t>High</w:t>
      </w:r>
      <w:r>
        <w:rPr>
          <w:b/>
          <w:bCs/>
          <w:lang w:val="en-US"/>
        </w:rPr>
        <w:t xml:space="preserve"> </w:t>
      </w:r>
      <w:r w:rsidRPr="00294A31">
        <w:rPr>
          <w:lang w:val="en-US"/>
        </w:rPr>
        <w:t xml:space="preserve">and </w:t>
      </w:r>
      <w:r>
        <w:rPr>
          <w:lang w:val="en-US"/>
        </w:rPr>
        <w:t>subgroup 3: TILs-B7-H6</w:t>
      </w:r>
      <w:r>
        <w:rPr>
          <w:vertAlign w:val="superscript"/>
          <w:lang w:val="en-US"/>
        </w:rPr>
        <w:t>High</w:t>
      </w:r>
      <w:r>
        <w:rPr>
          <w:lang w:val="en-US"/>
        </w:rPr>
        <w:t>/ B7-H6 BCC</w:t>
      </w:r>
      <w:r w:rsidRPr="00294A31">
        <w:rPr>
          <w:vertAlign w:val="superscript"/>
          <w:lang w:val="en-US"/>
        </w:rPr>
        <w:t>Low</w:t>
      </w:r>
      <w:r>
        <w:rPr>
          <w:vertAlign w:val="superscript"/>
          <w:lang w:val="en-US"/>
        </w:rPr>
        <w:t>/High</w:t>
      </w:r>
      <w:r>
        <w:rPr>
          <w:lang w:val="en-US"/>
        </w:rPr>
        <w:t>. (</w:t>
      </w:r>
      <w:r w:rsidR="00DC1A51">
        <w:rPr>
          <w:b/>
          <w:bCs/>
          <w:lang w:val="en-US"/>
        </w:rPr>
        <w:t>f</w:t>
      </w:r>
      <w:r>
        <w:rPr>
          <w:lang w:val="en-US"/>
        </w:rPr>
        <w:t xml:space="preserve">) </w:t>
      </w:r>
      <w:r w:rsidRPr="00592396">
        <w:rPr>
          <w:lang w:val="en-US"/>
        </w:rPr>
        <w:t>OS</w:t>
      </w:r>
      <w:r>
        <w:rPr>
          <w:lang w:val="en-US"/>
        </w:rPr>
        <w:t xml:space="preserve"> curves according to PD-L1 expression by tumor and immune cells together leading to three subgroups; subgroup 1: TILs-PD-L1</w:t>
      </w:r>
      <w:r w:rsidRPr="00294A31">
        <w:rPr>
          <w:vertAlign w:val="superscript"/>
          <w:lang w:val="en-US"/>
        </w:rPr>
        <w:t>Low</w:t>
      </w:r>
      <w:r>
        <w:rPr>
          <w:lang w:val="en-US"/>
        </w:rPr>
        <w:t>/ PD-L1 BCC</w:t>
      </w:r>
      <w:r w:rsidRPr="00D67E21">
        <w:rPr>
          <w:vertAlign w:val="superscript"/>
          <w:lang w:val="en-US"/>
        </w:rPr>
        <w:t>High/</w:t>
      </w:r>
      <w:r w:rsidRPr="00294A31">
        <w:rPr>
          <w:vertAlign w:val="superscript"/>
          <w:lang w:val="en-US"/>
        </w:rPr>
        <w:t>Low</w:t>
      </w:r>
      <w:r w:rsidRPr="00294A31">
        <w:rPr>
          <w:lang w:val="en-US"/>
        </w:rPr>
        <w:t xml:space="preserve">, </w:t>
      </w:r>
      <w:r>
        <w:rPr>
          <w:lang w:val="en-US"/>
        </w:rPr>
        <w:t>subgroup 2: TILs-</w:t>
      </w:r>
      <w:r w:rsidRPr="00D67E21">
        <w:rPr>
          <w:lang w:val="en-US"/>
        </w:rPr>
        <w:t xml:space="preserve"> </w:t>
      </w:r>
      <w:r>
        <w:rPr>
          <w:lang w:val="en-US"/>
        </w:rPr>
        <w:t>PD-L1</w:t>
      </w:r>
      <w:r>
        <w:rPr>
          <w:vertAlign w:val="superscript"/>
          <w:lang w:val="en-US"/>
        </w:rPr>
        <w:t>High</w:t>
      </w:r>
      <w:r>
        <w:rPr>
          <w:lang w:val="en-US"/>
        </w:rPr>
        <w:t>/ PD-L1 BCC</w:t>
      </w:r>
      <w:r>
        <w:rPr>
          <w:vertAlign w:val="superscript"/>
          <w:lang w:val="en-US"/>
        </w:rPr>
        <w:t>High</w:t>
      </w:r>
      <w:r>
        <w:rPr>
          <w:b/>
          <w:bCs/>
          <w:lang w:val="en-US"/>
        </w:rPr>
        <w:t xml:space="preserve"> </w:t>
      </w:r>
      <w:r w:rsidRPr="00294A31">
        <w:rPr>
          <w:lang w:val="en-US"/>
        </w:rPr>
        <w:t xml:space="preserve">and </w:t>
      </w:r>
      <w:r>
        <w:rPr>
          <w:lang w:val="en-US"/>
        </w:rPr>
        <w:t>subgroup 3: TILs-</w:t>
      </w:r>
      <w:r w:rsidRPr="00D67E21">
        <w:rPr>
          <w:lang w:val="en-US"/>
        </w:rPr>
        <w:t xml:space="preserve"> </w:t>
      </w:r>
      <w:r>
        <w:rPr>
          <w:lang w:val="en-US"/>
        </w:rPr>
        <w:t>PD-L1</w:t>
      </w:r>
      <w:r>
        <w:rPr>
          <w:vertAlign w:val="superscript"/>
          <w:lang w:val="en-US"/>
        </w:rPr>
        <w:t>High</w:t>
      </w:r>
      <w:r>
        <w:rPr>
          <w:lang w:val="en-US"/>
        </w:rPr>
        <w:t>/ PD-L1 BCC</w:t>
      </w:r>
      <w:r w:rsidRPr="00294A31">
        <w:rPr>
          <w:vertAlign w:val="superscript"/>
          <w:lang w:val="en-US"/>
        </w:rPr>
        <w:t>Low</w:t>
      </w:r>
      <w:r w:rsidRPr="00D67E21">
        <w:rPr>
          <w:lang w:val="en-US"/>
        </w:rPr>
        <w:t>.</w:t>
      </w:r>
    </w:p>
    <w:p w:rsidR="009B70C0" w:rsidRDefault="009B70C0" w:rsidP="009B70C0">
      <w:pPr>
        <w:tabs>
          <w:tab w:val="left" w:pos="12624"/>
        </w:tabs>
        <w:spacing w:after="0" w:line="276" w:lineRule="auto"/>
        <w:jc w:val="both"/>
        <w:outlineLvl w:val="0"/>
        <w:rPr>
          <w:rFonts w:cs="Times New Roman"/>
          <w:b/>
          <w:bCs/>
          <w:lang w:val="en-US"/>
        </w:rPr>
      </w:pPr>
      <w:r>
        <w:rPr>
          <w:rFonts w:cs="Times New Roman"/>
          <w:b/>
          <w:bCs/>
          <w:lang w:val="en-US"/>
        </w:rPr>
        <w:tab/>
      </w:r>
    </w:p>
    <w:p w:rsidR="00921864" w:rsidRDefault="006E5924" w:rsidP="00484FC5">
      <w:r>
        <w:rPr>
          <w:noProof/>
          <w:lang w:eastAsia="fr-FR"/>
        </w:rPr>
        <w:drawing>
          <wp:inline distT="0" distB="0" distL="0" distR="0">
            <wp:extent cx="5295900" cy="7035800"/>
            <wp:effectExtent l="19050" t="0" r="0" b="0"/>
            <wp:docPr id="6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703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1864" w:rsidRDefault="00921864" w:rsidP="00807569">
      <w:pPr>
        <w:spacing w:line="360" w:lineRule="auto"/>
        <w:jc w:val="both"/>
        <w:rPr>
          <w:b/>
          <w:bCs/>
          <w:lang w:val="en-US"/>
        </w:rPr>
      </w:pPr>
      <w:r>
        <w:rPr>
          <w:rFonts w:cs="Times New Roman"/>
          <w:b/>
          <w:bCs/>
          <w:lang w:val="en-US"/>
        </w:rPr>
        <w:lastRenderedPageBreak/>
        <w:t>Supplementary f</w:t>
      </w:r>
      <w:r w:rsidRPr="008B4177">
        <w:rPr>
          <w:rFonts w:cs="Times New Roman"/>
          <w:b/>
          <w:bCs/>
          <w:lang w:val="en-US"/>
        </w:rPr>
        <w:t xml:space="preserve">igure </w:t>
      </w:r>
      <w:r w:rsidR="00807569">
        <w:rPr>
          <w:rFonts w:cs="Times New Roman"/>
          <w:b/>
          <w:bCs/>
          <w:lang w:val="en-US"/>
        </w:rPr>
        <w:t>3</w:t>
      </w:r>
      <w:r w:rsidRPr="008B4177">
        <w:rPr>
          <w:rFonts w:cs="Times New Roman"/>
          <w:b/>
          <w:bCs/>
          <w:lang w:val="en-US"/>
        </w:rPr>
        <w:t xml:space="preserve">. </w:t>
      </w:r>
      <w:r w:rsidRPr="00592396">
        <w:rPr>
          <w:b/>
          <w:bCs/>
          <w:lang w:val="en-US"/>
        </w:rPr>
        <w:t xml:space="preserve">Survival analysis according to </w:t>
      </w:r>
      <w:r>
        <w:rPr>
          <w:b/>
          <w:bCs/>
          <w:lang w:val="en-US"/>
        </w:rPr>
        <w:t>PD-L1</w:t>
      </w:r>
      <w:r w:rsidRPr="00592396">
        <w:rPr>
          <w:b/>
          <w:bCs/>
          <w:lang w:val="en-US"/>
        </w:rPr>
        <w:t xml:space="preserve"> expression </w:t>
      </w:r>
      <w:r>
        <w:rPr>
          <w:b/>
          <w:bCs/>
          <w:lang w:val="en-US"/>
        </w:rPr>
        <w:t xml:space="preserve">and NK-TILs status </w:t>
      </w:r>
      <w:r w:rsidRPr="00592396">
        <w:rPr>
          <w:b/>
          <w:bCs/>
          <w:lang w:val="en-US"/>
        </w:rPr>
        <w:t xml:space="preserve">in breast cancer tissues.  </w:t>
      </w:r>
    </w:p>
    <w:p w:rsidR="00484FC5" w:rsidRPr="00921864" w:rsidRDefault="00921864" w:rsidP="00120399">
      <w:pPr>
        <w:spacing w:after="0" w:line="360" w:lineRule="auto"/>
        <w:jc w:val="both"/>
        <w:outlineLvl w:val="0"/>
        <w:rPr>
          <w:lang w:val="en-US"/>
        </w:rPr>
      </w:pPr>
      <w:r w:rsidRPr="004D41D2">
        <w:rPr>
          <w:lang w:val="en-US"/>
        </w:rPr>
        <w:t>(</w:t>
      </w:r>
      <w:r w:rsidR="00DC1A51">
        <w:rPr>
          <w:b/>
          <w:bCs/>
          <w:lang w:val="en-US"/>
        </w:rPr>
        <w:t>a</w:t>
      </w:r>
      <w:r>
        <w:rPr>
          <w:lang w:val="en-US"/>
        </w:rPr>
        <w:t>-</w:t>
      </w:r>
      <w:r w:rsidR="00DC1A51">
        <w:rPr>
          <w:b/>
          <w:bCs/>
          <w:lang w:val="en-US"/>
        </w:rPr>
        <w:t>b</w:t>
      </w:r>
      <w:r w:rsidRPr="004D41D2">
        <w:rPr>
          <w:lang w:val="en-US"/>
        </w:rPr>
        <w:t>)</w:t>
      </w:r>
      <w:r>
        <w:rPr>
          <w:b/>
          <w:bCs/>
          <w:lang w:val="en-US"/>
        </w:rPr>
        <w:t xml:space="preserve"> </w:t>
      </w:r>
      <w:r w:rsidRPr="00592396">
        <w:rPr>
          <w:lang w:val="en-US"/>
        </w:rPr>
        <w:t xml:space="preserve">Kaplan-Meier curves stratified </w:t>
      </w:r>
      <w:r w:rsidR="009844D3">
        <w:rPr>
          <w:lang w:val="en-US"/>
        </w:rPr>
        <w:t>according to</w:t>
      </w:r>
      <w:r w:rsidRPr="00592396">
        <w:rPr>
          <w:lang w:val="en-US"/>
        </w:rPr>
        <w:t xml:space="preserve"> </w:t>
      </w:r>
      <w:r w:rsidR="009844D3">
        <w:rPr>
          <w:lang w:val="en-US"/>
        </w:rPr>
        <w:t xml:space="preserve">PD-L1 </w:t>
      </w:r>
      <w:r w:rsidRPr="00F26D6E">
        <w:rPr>
          <w:lang w:val="en-US"/>
        </w:rPr>
        <w:t>expression</w:t>
      </w:r>
      <w:r>
        <w:rPr>
          <w:lang w:val="en-US"/>
        </w:rPr>
        <w:t xml:space="preserve"> by cancer cells (</w:t>
      </w:r>
      <w:r w:rsidR="009844D3">
        <w:rPr>
          <w:lang w:val="en-US"/>
        </w:rPr>
        <w:t>PD-L1</w:t>
      </w:r>
      <w:r>
        <w:rPr>
          <w:lang w:val="en-US"/>
        </w:rPr>
        <w:t xml:space="preserve"> BCC)</w:t>
      </w:r>
      <w:r>
        <w:rPr>
          <w:i/>
          <w:iCs/>
          <w:lang w:val="en-US"/>
        </w:rPr>
        <w:t xml:space="preserve"> </w:t>
      </w:r>
      <w:r w:rsidRPr="00592396">
        <w:rPr>
          <w:lang w:val="en-US"/>
        </w:rPr>
        <w:t xml:space="preserve">for overall survival (OS) </w:t>
      </w:r>
      <w:r>
        <w:rPr>
          <w:lang w:val="en-US"/>
        </w:rPr>
        <w:t xml:space="preserve">and </w:t>
      </w:r>
      <w:r w:rsidRPr="00592396">
        <w:rPr>
          <w:lang w:val="en-US"/>
        </w:rPr>
        <w:t xml:space="preserve">disease free survival (DFS). </w:t>
      </w:r>
      <w:r w:rsidRPr="004D41D2">
        <w:rPr>
          <w:lang w:val="en-US"/>
        </w:rPr>
        <w:t>(</w:t>
      </w:r>
      <w:r w:rsidR="00DC1A51">
        <w:rPr>
          <w:b/>
          <w:bCs/>
          <w:lang w:val="en-US"/>
        </w:rPr>
        <w:t>c-d</w:t>
      </w:r>
      <w:r w:rsidRPr="004D41D2">
        <w:rPr>
          <w:lang w:val="en-US"/>
        </w:rPr>
        <w:t>)</w:t>
      </w:r>
      <w:r>
        <w:rPr>
          <w:b/>
          <w:bCs/>
          <w:lang w:val="en-US"/>
        </w:rPr>
        <w:t xml:space="preserve"> </w:t>
      </w:r>
      <w:r w:rsidRPr="00592396">
        <w:rPr>
          <w:lang w:val="en-US"/>
        </w:rPr>
        <w:t xml:space="preserve">Kaplan-Meier curves stratified </w:t>
      </w:r>
      <w:r w:rsidR="009844D3">
        <w:rPr>
          <w:lang w:val="en-US"/>
        </w:rPr>
        <w:t>according to</w:t>
      </w:r>
      <w:r w:rsidRPr="00592396">
        <w:rPr>
          <w:lang w:val="en-US"/>
        </w:rPr>
        <w:t xml:space="preserve"> </w:t>
      </w:r>
      <w:r w:rsidR="009844D3">
        <w:rPr>
          <w:lang w:val="en-US"/>
        </w:rPr>
        <w:t>PD-L1</w:t>
      </w:r>
      <w:r w:rsidRPr="00F26D6E">
        <w:rPr>
          <w:lang w:val="en-US"/>
        </w:rPr>
        <w:t xml:space="preserve"> expression</w:t>
      </w:r>
      <w:r>
        <w:rPr>
          <w:lang w:val="en-US"/>
        </w:rPr>
        <w:t xml:space="preserve"> by immune infiltrating cells (TILs-</w:t>
      </w:r>
      <w:r w:rsidR="009844D3">
        <w:rPr>
          <w:lang w:val="en-US"/>
        </w:rPr>
        <w:t>PD-L1</w:t>
      </w:r>
      <w:r>
        <w:rPr>
          <w:lang w:val="en-US"/>
        </w:rPr>
        <w:t>)</w:t>
      </w:r>
      <w:r>
        <w:rPr>
          <w:i/>
          <w:iCs/>
          <w:lang w:val="en-US"/>
        </w:rPr>
        <w:t xml:space="preserve"> </w:t>
      </w:r>
      <w:r w:rsidRPr="00592396">
        <w:rPr>
          <w:lang w:val="en-US"/>
        </w:rPr>
        <w:t xml:space="preserve">for OS </w:t>
      </w:r>
      <w:r>
        <w:rPr>
          <w:lang w:val="en-US"/>
        </w:rPr>
        <w:t>and DFS</w:t>
      </w:r>
      <w:r w:rsidR="009844D3">
        <w:rPr>
          <w:lang w:val="en-US"/>
        </w:rPr>
        <w:t xml:space="preserve">. </w:t>
      </w:r>
      <w:r>
        <w:rPr>
          <w:lang w:val="en-US"/>
        </w:rPr>
        <w:t>(</w:t>
      </w:r>
      <w:r w:rsidR="00DC1A51" w:rsidRPr="004D41D2">
        <w:rPr>
          <w:b/>
          <w:bCs/>
          <w:lang w:val="en-US"/>
        </w:rPr>
        <w:t>e</w:t>
      </w:r>
      <w:r w:rsidR="00DC1A51">
        <w:rPr>
          <w:b/>
          <w:bCs/>
          <w:lang w:val="en-US"/>
        </w:rPr>
        <w:t>-f</w:t>
      </w:r>
      <w:r>
        <w:rPr>
          <w:lang w:val="en-US"/>
        </w:rPr>
        <w:t xml:space="preserve">) </w:t>
      </w:r>
      <w:r w:rsidR="009844D3" w:rsidRPr="00592396">
        <w:rPr>
          <w:lang w:val="en-US"/>
        </w:rPr>
        <w:t xml:space="preserve">Kaplan-Meier curves stratified </w:t>
      </w:r>
      <w:r w:rsidR="009844D3">
        <w:rPr>
          <w:lang w:val="en-US"/>
        </w:rPr>
        <w:t>according to</w:t>
      </w:r>
      <w:r w:rsidR="009844D3" w:rsidRPr="00592396">
        <w:rPr>
          <w:lang w:val="en-US"/>
        </w:rPr>
        <w:t xml:space="preserve"> </w:t>
      </w:r>
      <w:r w:rsidR="009844D3">
        <w:rPr>
          <w:lang w:val="en-US"/>
        </w:rPr>
        <w:t xml:space="preserve">NK cell infiltration (NK-TILs) </w:t>
      </w:r>
      <w:r w:rsidR="009844D3" w:rsidRPr="00592396">
        <w:rPr>
          <w:lang w:val="en-US"/>
        </w:rPr>
        <w:t xml:space="preserve">for OS </w:t>
      </w:r>
      <w:r w:rsidR="009844D3">
        <w:rPr>
          <w:lang w:val="en-US"/>
        </w:rPr>
        <w:t xml:space="preserve">and DFS. </w:t>
      </w:r>
    </w:p>
    <w:p w:rsidR="00484FC5" w:rsidRDefault="00484FC5" w:rsidP="00484FC5">
      <w:r w:rsidRPr="00484FC5">
        <w:rPr>
          <w:noProof/>
          <w:lang w:eastAsia="fr-FR"/>
        </w:rPr>
        <w:drawing>
          <wp:inline distT="0" distB="0" distL="0" distR="0">
            <wp:extent cx="5370369" cy="6082145"/>
            <wp:effectExtent l="19050" t="0" r="1731" b="0"/>
            <wp:docPr id="2" name="Imag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 t="55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6084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173FA9" w:rsidRPr="00173FA9" w:rsidRDefault="00C876F6" w:rsidP="00807569">
      <w:pPr>
        <w:spacing w:after="0" w:line="360" w:lineRule="auto"/>
        <w:jc w:val="both"/>
        <w:rPr>
          <w:rFonts w:cs="Times New Roman"/>
          <w:lang w:val="en-US"/>
        </w:rPr>
      </w:pPr>
      <w:r w:rsidRPr="00173FA9">
        <w:rPr>
          <w:b/>
          <w:bCs/>
          <w:lang w:val="en-US"/>
        </w:rPr>
        <w:t xml:space="preserve">Supplementary figure </w:t>
      </w:r>
      <w:r w:rsidR="00807569">
        <w:rPr>
          <w:b/>
          <w:bCs/>
          <w:lang w:val="en-US"/>
        </w:rPr>
        <w:t>4</w:t>
      </w:r>
      <w:r w:rsidRPr="00173FA9">
        <w:rPr>
          <w:b/>
          <w:bCs/>
          <w:lang w:val="en-US"/>
        </w:rPr>
        <w:t xml:space="preserve">. </w:t>
      </w:r>
      <w:r w:rsidRPr="00173FA9">
        <w:rPr>
          <w:rFonts w:cs="Times New Roman"/>
          <w:b/>
          <w:bCs/>
          <w:lang w:val="en-US"/>
        </w:rPr>
        <w:t>Immunohistochemical evaluation of CD56+ NK-TILs in breast cancer</w:t>
      </w:r>
      <w:r w:rsidRPr="00173FA9">
        <w:rPr>
          <w:rFonts w:cs="Times New Roman"/>
          <w:lang w:val="en-US"/>
        </w:rPr>
        <w:t xml:space="preserve">. </w:t>
      </w:r>
    </w:p>
    <w:p w:rsidR="00C876F6" w:rsidRPr="00DC1A51" w:rsidRDefault="00C876F6" w:rsidP="00DC1A51">
      <w:pPr>
        <w:spacing w:after="0" w:line="360" w:lineRule="auto"/>
        <w:jc w:val="both"/>
        <w:rPr>
          <w:rFonts w:cs="Times New Roman"/>
          <w:lang w:val="en-US"/>
        </w:rPr>
      </w:pPr>
      <w:r w:rsidRPr="00173FA9">
        <w:rPr>
          <w:rFonts w:cs="Times New Roman"/>
          <w:lang w:val="en-US"/>
        </w:rPr>
        <w:t>(</w:t>
      </w:r>
      <w:r w:rsidR="00DC1A51" w:rsidRPr="00173FA9">
        <w:rPr>
          <w:rFonts w:cs="Times New Roman"/>
          <w:b/>
          <w:bCs/>
          <w:lang w:val="en-US"/>
        </w:rPr>
        <w:t>a-b</w:t>
      </w:r>
      <w:r w:rsidRPr="00173FA9">
        <w:rPr>
          <w:rFonts w:cs="Times New Roman"/>
          <w:lang w:val="en-US"/>
        </w:rPr>
        <w:t xml:space="preserve">) Histological section showing CD56+NK cells </w:t>
      </w:r>
      <w:r w:rsidR="00173FA9">
        <w:rPr>
          <w:rFonts w:cs="Times New Roman"/>
          <w:lang w:val="en-US"/>
        </w:rPr>
        <w:t>localizations</w:t>
      </w:r>
      <w:r w:rsidRPr="00173FA9">
        <w:rPr>
          <w:rFonts w:cs="Times New Roman"/>
          <w:lang w:val="en-US"/>
        </w:rPr>
        <w:t xml:space="preserve"> </w:t>
      </w:r>
      <w:r w:rsidR="00173FA9" w:rsidRPr="00173FA9">
        <w:rPr>
          <w:rFonts w:cs="Times New Roman"/>
          <w:lang w:val="en-US"/>
        </w:rPr>
        <w:t>for intratumoral (blue arrows)</w:t>
      </w:r>
      <w:r w:rsidRPr="00173FA9">
        <w:rPr>
          <w:rFonts w:cs="Times New Roman"/>
          <w:lang w:val="en-US"/>
        </w:rPr>
        <w:t xml:space="preserve"> </w:t>
      </w:r>
      <w:r w:rsidR="00173FA9" w:rsidRPr="00173FA9">
        <w:rPr>
          <w:rFonts w:cs="Times New Roman"/>
          <w:lang w:val="en-US"/>
        </w:rPr>
        <w:t>and stroma</w:t>
      </w:r>
      <w:r w:rsidR="00173FA9">
        <w:rPr>
          <w:rFonts w:cs="Times New Roman"/>
          <w:lang w:val="en-US"/>
        </w:rPr>
        <w:t>l</w:t>
      </w:r>
      <w:r w:rsidR="00173FA9" w:rsidRPr="00173FA9">
        <w:rPr>
          <w:rFonts w:cs="Times New Roman"/>
          <w:lang w:val="en-US"/>
        </w:rPr>
        <w:t xml:space="preserve"> (red arrows)</w:t>
      </w:r>
      <w:r w:rsidR="00173FA9">
        <w:rPr>
          <w:rFonts w:cs="Times New Roman"/>
          <w:lang w:val="en-US"/>
        </w:rPr>
        <w:t xml:space="preserve"> </w:t>
      </w:r>
      <w:r w:rsidR="00173FA9" w:rsidRPr="00173FA9">
        <w:rPr>
          <w:rFonts w:cs="Times New Roman"/>
          <w:lang w:val="en-US"/>
        </w:rPr>
        <w:t>area</w:t>
      </w:r>
      <w:r w:rsidR="00173FA9">
        <w:rPr>
          <w:rFonts w:cs="Times New Roman"/>
          <w:lang w:val="en-US"/>
        </w:rPr>
        <w:t>s.</w:t>
      </w:r>
      <w:r w:rsidR="00173FA9" w:rsidRPr="00173FA9">
        <w:rPr>
          <w:rFonts w:cs="Times New Roman"/>
          <w:lang w:val="en-US"/>
        </w:rPr>
        <w:t xml:space="preserve"> Representative images for </w:t>
      </w:r>
      <w:r w:rsidR="00BA6459">
        <w:rPr>
          <w:rFonts w:cs="Times New Roman"/>
          <w:lang w:val="en-US"/>
        </w:rPr>
        <w:t>absent</w:t>
      </w:r>
      <w:r w:rsidRPr="00173FA9">
        <w:rPr>
          <w:rFonts w:cs="Times New Roman"/>
          <w:lang w:val="en-US"/>
        </w:rPr>
        <w:t xml:space="preserve"> </w:t>
      </w:r>
      <w:r w:rsidR="00173FA9" w:rsidRPr="00173FA9">
        <w:rPr>
          <w:rFonts w:cs="Times New Roman"/>
          <w:lang w:val="en-US"/>
        </w:rPr>
        <w:t>(</w:t>
      </w:r>
      <w:r w:rsidR="00DC1A51" w:rsidRPr="00173FA9">
        <w:rPr>
          <w:rFonts w:cs="Times New Roman"/>
          <w:b/>
          <w:bCs/>
          <w:lang w:val="en-US"/>
        </w:rPr>
        <w:t>c1-c2</w:t>
      </w:r>
      <w:r w:rsidR="00173FA9" w:rsidRPr="00173FA9">
        <w:rPr>
          <w:rFonts w:cs="Times New Roman"/>
          <w:lang w:val="en-US"/>
        </w:rPr>
        <w:t xml:space="preserve">) </w:t>
      </w:r>
      <w:r w:rsidR="00BA6459" w:rsidRPr="00173FA9">
        <w:rPr>
          <w:rFonts w:cs="Times New Roman"/>
          <w:lang w:val="en-US"/>
        </w:rPr>
        <w:t>and</w:t>
      </w:r>
      <w:r w:rsidR="00BA6459">
        <w:rPr>
          <w:rFonts w:cs="Times New Roman"/>
          <w:lang w:val="en-US"/>
        </w:rPr>
        <w:t xml:space="preserve"> present</w:t>
      </w:r>
      <w:r w:rsidR="00BA6459" w:rsidRPr="00173FA9">
        <w:rPr>
          <w:rFonts w:cs="Times New Roman"/>
          <w:lang w:val="en-US"/>
        </w:rPr>
        <w:t xml:space="preserve"> </w:t>
      </w:r>
      <w:r w:rsidR="00BA6459">
        <w:rPr>
          <w:rFonts w:cs="Times New Roman"/>
          <w:lang w:val="en-US"/>
        </w:rPr>
        <w:t>(</w:t>
      </w:r>
      <w:r w:rsidR="00DC1A51" w:rsidRPr="00BA6459">
        <w:rPr>
          <w:rFonts w:cs="Times New Roman"/>
          <w:b/>
          <w:bCs/>
          <w:lang w:val="en-US"/>
        </w:rPr>
        <w:t>d1-d2</w:t>
      </w:r>
      <w:r w:rsidR="00BA6459">
        <w:rPr>
          <w:rFonts w:cs="Times New Roman"/>
          <w:lang w:val="en-US"/>
        </w:rPr>
        <w:t xml:space="preserve">) </w:t>
      </w:r>
      <w:r w:rsidRPr="00173FA9">
        <w:rPr>
          <w:rFonts w:cs="Times New Roman"/>
          <w:lang w:val="en-US"/>
        </w:rPr>
        <w:t>CD56+NK cell</w:t>
      </w:r>
      <w:r w:rsidR="00173FA9">
        <w:rPr>
          <w:rFonts w:cs="Times New Roman"/>
          <w:lang w:val="en-US"/>
        </w:rPr>
        <w:t>s</w:t>
      </w:r>
      <w:r w:rsidRPr="00173FA9">
        <w:rPr>
          <w:rFonts w:cs="Times New Roman"/>
          <w:lang w:val="en-US"/>
        </w:rPr>
        <w:t>. (Original magnification ×400)</w:t>
      </w:r>
    </w:p>
    <w:sectPr w:rsidR="00C876F6" w:rsidRPr="00DC1A51" w:rsidSect="0097405F">
      <w:headerReference w:type="default" r:id="rId20"/>
      <w:footerReference w:type="defaul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125F" w:rsidRDefault="00BC125F" w:rsidP="00862A4A">
      <w:pPr>
        <w:spacing w:after="0" w:line="240" w:lineRule="auto"/>
      </w:pPr>
      <w:r>
        <w:separator/>
      </w:r>
    </w:p>
  </w:endnote>
  <w:endnote w:type="continuationSeparator" w:id="1">
    <w:p w:rsidR="00BC125F" w:rsidRDefault="00BC125F" w:rsidP="00862A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dvTT6780a46b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dvOT65f8a23b.I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dvTT6780a46b+fb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0437330"/>
      <w:docPartObj>
        <w:docPartGallery w:val="Page Numbers (Bottom of Page)"/>
        <w:docPartUnique/>
      </w:docPartObj>
    </w:sdtPr>
    <w:sdtContent>
      <w:p w:rsidR="00862A4A" w:rsidRDefault="00C24D98">
        <w:pPr>
          <w:pStyle w:val="Pieddepage"/>
          <w:jc w:val="right"/>
        </w:pPr>
        <w:fldSimple w:instr=" PAGE   \* MERGEFORMAT ">
          <w:r w:rsidR="00BF540F">
            <w:rPr>
              <w:noProof/>
            </w:rPr>
            <w:t>6</w:t>
          </w:r>
        </w:fldSimple>
      </w:p>
    </w:sdtContent>
  </w:sdt>
  <w:p w:rsidR="00862A4A" w:rsidRDefault="00862A4A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125F" w:rsidRDefault="00BC125F" w:rsidP="00862A4A">
      <w:pPr>
        <w:spacing w:after="0" w:line="240" w:lineRule="auto"/>
      </w:pPr>
      <w:r>
        <w:separator/>
      </w:r>
    </w:p>
  </w:footnote>
  <w:footnote w:type="continuationSeparator" w:id="1">
    <w:p w:rsidR="00BC125F" w:rsidRDefault="00BC125F" w:rsidP="00862A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2A4A" w:rsidRDefault="00862A4A" w:rsidP="0065659B">
    <w:pPr>
      <w:pStyle w:val="En-tte"/>
      <w:jc w:val="right"/>
    </w:pPr>
  </w:p>
  <w:p w:rsidR="00862A4A" w:rsidRDefault="00862A4A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4FC5"/>
    <w:rsid w:val="0003767F"/>
    <w:rsid w:val="00083630"/>
    <w:rsid w:val="00091614"/>
    <w:rsid w:val="000E7E13"/>
    <w:rsid w:val="001173E7"/>
    <w:rsid w:val="00120399"/>
    <w:rsid w:val="00150EA3"/>
    <w:rsid w:val="00173FA9"/>
    <w:rsid w:val="001C1F92"/>
    <w:rsid w:val="00252B4F"/>
    <w:rsid w:val="00484FC5"/>
    <w:rsid w:val="004A5A5C"/>
    <w:rsid w:val="004A6164"/>
    <w:rsid w:val="005B50EF"/>
    <w:rsid w:val="005C0B5C"/>
    <w:rsid w:val="00621FE2"/>
    <w:rsid w:val="0065659B"/>
    <w:rsid w:val="00682D0B"/>
    <w:rsid w:val="006E5924"/>
    <w:rsid w:val="007120B3"/>
    <w:rsid w:val="00713388"/>
    <w:rsid w:val="00737D0F"/>
    <w:rsid w:val="00807569"/>
    <w:rsid w:val="00862A4A"/>
    <w:rsid w:val="008B32C7"/>
    <w:rsid w:val="00921864"/>
    <w:rsid w:val="00937235"/>
    <w:rsid w:val="00970391"/>
    <w:rsid w:val="0097405F"/>
    <w:rsid w:val="009844D3"/>
    <w:rsid w:val="009B70C0"/>
    <w:rsid w:val="009D330B"/>
    <w:rsid w:val="009D40D5"/>
    <w:rsid w:val="009D704A"/>
    <w:rsid w:val="009F78A6"/>
    <w:rsid w:val="00A1101F"/>
    <w:rsid w:val="00A133C1"/>
    <w:rsid w:val="00A272D0"/>
    <w:rsid w:val="00A85B42"/>
    <w:rsid w:val="00AA3E87"/>
    <w:rsid w:val="00B20F75"/>
    <w:rsid w:val="00B42CD9"/>
    <w:rsid w:val="00B66F96"/>
    <w:rsid w:val="00BA6459"/>
    <w:rsid w:val="00BC125F"/>
    <w:rsid w:val="00BD5EB1"/>
    <w:rsid w:val="00BF540F"/>
    <w:rsid w:val="00C24D98"/>
    <w:rsid w:val="00C876F6"/>
    <w:rsid w:val="00CB240A"/>
    <w:rsid w:val="00CB487A"/>
    <w:rsid w:val="00CB5891"/>
    <w:rsid w:val="00D67E21"/>
    <w:rsid w:val="00D93739"/>
    <w:rsid w:val="00D95B09"/>
    <w:rsid w:val="00DC1A51"/>
    <w:rsid w:val="00E87255"/>
    <w:rsid w:val="00EB3482"/>
    <w:rsid w:val="00EE0AAB"/>
    <w:rsid w:val="00F63F70"/>
    <w:rsid w:val="00F96AC6"/>
    <w:rsid w:val="00F96EFD"/>
    <w:rsid w:val="00FD36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240A"/>
    <w:pPr>
      <w:spacing w:after="160" w:line="259" w:lineRule="auto"/>
    </w:pPr>
    <w:rPr>
      <w:sz w:val="22"/>
      <w:szCs w:val="22"/>
      <w:lang w:eastAsia="en-US"/>
    </w:rPr>
  </w:style>
  <w:style w:type="paragraph" w:styleId="Titre1">
    <w:name w:val="heading 1"/>
    <w:basedOn w:val="Normal"/>
    <w:link w:val="Titre1Car"/>
    <w:uiPriority w:val="9"/>
    <w:qFormat/>
    <w:rsid w:val="00CB24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"/>
    <w:rsid w:val="00CB240A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styleId="lev">
    <w:name w:val="Strong"/>
    <w:uiPriority w:val="22"/>
    <w:qFormat/>
    <w:rsid w:val="00CB240A"/>
    <w:rPr>
      <w:b/>
      <w:bCs/>
    </w:rPr>
  </w:style>
  <w:style w:type="character" w:styleId="Accentuation">
    <w:name w:val="Emphasis"/>
    <w:uiPriority w:val="20"/>
    <w:qFormat/>
    <w:rsid w:val="00CB240A"/>
    <w:rPr>
      <w:i/>
      <w:iCs/>
    </w:rPr>
  </w:style>
  <w:style w:type="paragraph" w:styleId="Sansinterligne">
    <w:name w:val="No Spacing"/>
    <w:link w:val="SansinterligneCar"/>
    <w:uiPriority w:val="1"/>
    <w:qFormat/>
    <w:rsid w:val="00CB240A"/>
    <w:rPr>
      <w:rFonts w:eastAsia="Times New Roman"/>
    </w:rPr>
  </w:style>
  <w:style w:type="character" w:customStyle="1" w:styleId="SansinterligneCar">
    <w:name w:val="Sans interligne Car"/>
    <w:link w:val="Sansinterligne"/>
    <w:uiPriority w:val="1"/>
    <w:rsid w:val="00CB240A"/>
    <w:rPr>
      <w:rFonts w:eastAsia="Times New Roman"/>
    </w:rPr>
  </w:style>
  <w:style w:type="paragraph" w:styleId="Paragraphedeliste">
    <w:name w:val="List Paragraph"/>
    <w:basedOn w:val="Normal"/>
    <w:uiPriority w:val="34"/>
    <w:qFormat/>
    <w:rsid w:val="00CB240A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484F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84FC5"/>
    <w:rPr>
      <w:rFonts w:ascii="Tahoma" w:hAnsi="Tahoma" w:cs="Tahoma"/>
      <w:sz w:val="16"/>
      <w:szCs w:val="16"/>
      <w:lang w:eastAsia="en-US"/>
    </w:rPr>
  </w:style>
  <w:style w:type="paragraph" w:styleId="En-tte">
    <w:name w:val="header"/>
    <w:basedOn w:val="Normal"/>
    <w:link w:val="En-tteCar"/>
    <w:uiPriority w:val="99"/>
    <w:unhideWhenUsed/>
    <w:rsid w:val="00862A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62A4A"/>
    <w:rPr>
      <w:sz w:val="22"/>
      <w:szCs w:val="22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862A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62A4A"/>
    <w:rPr>
      <w:sz w:val="22"/>
      <w:szCs w:val="22"/>
      <w:lang w:eastAsia="en-US"/>
    </w:rPr>
  </w:style>
  <w:style w:type="character" w:styleId="Lienhypertexte">
    <w:name w:val="Hyperlink"/>
    <w:basedOn w:val="Policepardfaut"/>
    <w:uiPriority w:val="99"/>
    <w:unhideWhenUsed/>
    <w:rsid w:val="00737D0F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utheina.cherif@cbs.rnrt.tn" TargetMode="Externa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webSettings" Target="webSettings.xml"/><Relationship Id="rId21" Type="http://schemas.openxmlformats.org/officeDocument/2006/relationships/footer" Target="footer1.xml"/><Relationship Id="rId7" Type="http://schemas.openxmlformats.org/officeDocument/2006/relationships/hyperlink" Target="mailto:boutheina.cherif.cbs@gmail.com" TargetMode="Externa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image" Target="media/image6.png"/><Relationship Id="rId20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hyperlink" Target="https://www.ncbi.nlm.nih.gov/pubmed/?term=Kridis%20WB%5BAuthor%5D&amp;cauthor=true&amp;cauthor_uid=26628769" TargetMode="External"/><Relationship Id="rId11" Type="http://schemas.openxmlformats.org/officeDocument/2006/relationships/image" Target="media/image1.png"/><Relationship Id="rId5" Type="http://schemas.openxmlformats.org/officeDocument/2006/relationships/endnotes" Target="endnotes.xml"/><Relationship Id="rId15" Type="http://schemas.openxmlformats.org/officeDocument/2006/relationships/image" Target="media/image5.png"/><Relationship Id="rId23" Type="http://schemas.openxmlformats.org/officeDocument/2006/relationships/theme" Target="theme/theme1.xml"/><Relationship Id="rId10" Type="http://schemas.openxmlformats.org/officeDocument/2006/relationships/hyperlink" Target="http://www.cbs.rnrt.tn/" TargetMode="External"/><Relationship Id="rId19" Type="http://schemas.openxmlformats.org/officeDocument/2006/relationships/image" Target="media/image9.jpeg"/><Relationship Id="rId4" Type="http://schemas.openxmlformats.org/officeDocument/2006/relationships/footnotes" Target="footnotes.xml"/><Relationship Id="rId9" Type="http://schemas.openxmlformats.org/officeDocument/2006/relationships/hyperlink" Target="https://orcid.org/0000-0002-6923-2948" TargetMode="External"/><Relationship Id="rId14" Type="http://schemas.openxmlformats.org/officeDocument/2006/relationships/image" Target="media/image4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750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DELL</cp:lastModifiedBy>
  <cp:revision>2</cp:revision>
  <dcterms:created xsi:type="dcterms:W3CDTF">2020-12-17T20:18:00Z</dcterms:created>
  <dcterms:modified xsi:type="dcterms:W3CDTF">2020-12-17T20:18:00Z</dcterms:modified>
</cp:coreProperties>
</file>