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E9969" w14:textId="77777777" w:rsidR="00022BBF" w:rsidRDefault="00022BBF" w:rsidP="002B54DA">
      <w:pPr>
        <w:ind w:firstLine="720"/>
        <w:jc w:val="center"/>
        <w:rPr>
          <w:sz w:val="36"/>
        </w:rPr>
      </w:pPr>
    </w:p>
    <w:p w14:paraId="5ED02F67" w14:textId="77777777" w:rsidR="00022BBF" w:rsidRDefault="00022BBF" w:rsidP="002B54DA">
      <w:pPr>
        <w:ind w:firstLine="720"/>
        <w:jc w:val="center"/>
        <w:rPr>
          <w:sz w:val="36"/>
        </w:rPr>
      </w:pPr>
    </w:p>
    <w:p w14:paraId="73B76F96" w14:textId="77777777" w:rsidR="00022BBF" w:rsidRDefault="00022BBF" w:rsidP="002B54DA">
      <w:pPr>
        <w:ind w:firstLine="720"/>
        <w:jc w:val="center"/>
        <w:rPr>
          <w:sz w:val="36"/>
        </w:rPr>
      </w:pPr>
    </w:p>
    <w:p w14:paraId="5F40C048" w14:textId="67E931AA" w:rsidR="00BB7E92" w:rsidRDefault="004143EA" w:rsidP="00DC6091">
      <w:pPr>
        <w:ind w:firstLineChars="0" w:firstLine="0"/>
        <w:jc w:val="left"/>
        <w:rPr>
          <w:sz w:val="44"/>
        </w:rPr>
      </w:pPr>
      <w:r w:rsidRPr="00022BBF">
        <w:rPr>
          <w:rFonts w:hint="eastAsia"/>
          <w:sz w:val="44"/>
        </w:rPr>
        <w:t>S</w:t>
      </w:r>
      <w:r w:rsidRPr="00022BBF">
        <w:rPr>
          <w:sz w:val="44"/>
        </w:rPr>
        <w:t>upple</w:t>
      </w:r>
      <w:r w:rsidR="00DC6091">
        <w:rPr>
          <w:sz w:val="44"/>
        </w:rPr>
        <w:t>mentary Information for:</w:t>
      </w:r>
    </w:p>
    <w:p w14:paraId="0701B77F" w14:textId="77777777" w:rsidR="00DC6091" w:rsidRPr="00022BBF" w:rsidRDefault="00DC6091" w:rsidP="00DC6091">
      <w:pPr>
        <w:ind w:firstLineChars="0" w:firstLine="0"/>
        <w:jc w:val="left"/>
        <w:rPr>
          <w:sz w:val="44"/>
        </w:rPr>
      </w:pPr>
    </w:p>
    <w:p w14:paraId="521D6E7C" w14:textId="56E53988" w:rsidR="004143EA" w:rsidRPr="00DC6091" w:rsidRDefault="002B54DA" w:rsidP="00DC6091">
      <w:pPr>
        <w:ind w:firstLineChars="0" w:firstLine="0"/>
        <w:jc w:val="left"/>
        <w:rPr>
          <w:b/>
          <w:sz w:val="30"/>
          <w:szCs w:val="30"/>
        </w:rPr>
      </w:pPr>
      <w:r w:rsidRPr="00DC6091">
        <w:rPr>
          <w:rFonts w:hint="eastAsia"/>
          <w:b/>
          <w:sz w:val="30"/>
          <w:szCs w:val="30"/>
        </w:rPr>
        <w:t xml:space="preserve">Dual water-electricity cooperation improves economic benefits and </w:t>
      </w:r>
      <w:r w:rsidR="001F7A89" w:rsidRPr="00DC6091">
        <w:rPr>
          <w:b/>
          <w:sz w:val="30"/>
          <w:szCs w:val="30"/>
        </w:rPr>
        <w:t>water</w:t>
      </w:r>
      <w:r w:rsidR="001F7A89" w:rsidRPr="00DC6091">
        <w:rPr>
          <w:rFonts w:hint="eastAsia"/>
          <w:b/>
          <w:sz w:val="30"/>
          <w:szCs w:val="30"/>
        </w:rPr>
        <w:t xml:space="preserve"> </w:t>
      </w:r>
      <w:r w:rsidRPr="00DC6091">
        <w:rPr>
          <w:rFonts w:hint="eastAsia"/>
          <w:b/>
          <w:sz w:val="30"/>
          <w:szCs w:val="30"/>
        </w:rPr>
        <w:t>equality in the Lancang-Mekong River Basin</w:t>
      </w:r>
    </w:p>
    <w:p w14:paraId="4E246D34" w14:textId="77777777" w:rsidR="00022BBF" w:rsidRDefault="00022BBF" w:rsidP="002B54DA">
      <w:pPr>
        <w:ind w:firstLine="880"/>
        <w:jc w:val="center"/>
        <w:rPr>
          <w:sz w:val="44"/>
        </w:rPr>
      </w:pPr>
    </w:p>
    <w:p w14:paraId="21648AF4" w14:textId="14C80F04" w:rsidR="009F66C6" w:rsidRDefault="009F66C6" w:rsidP="009F66C6">
      <w:pPr>
        <w:ind w:firstLineChars="0" w:firstLine="0"/>
        <w:rPr>
          <w:vertAlign w:val="superscript"/>
        </w:rPr>
      </w:pPr>
      <w:r>
        <w:rPr>
          <w:rFonts w:hint="eastAsia"/>
        </w:rPr>
        <w:t>B</w:t>
      </w:r>
      <w:r>
        <w:t>ingyao Zhang</w:t>
      </w:r>
      <w:r w:rsidRPr="00FD7974">
        <w:rPr>
          <w:vertAlign w:val="superscript"/>
        </w:rPr>
        <w:t>1</w:t>
      </w:r>
      <w:r>
        <w:t>, Yu Li</w:t>
      </w:r>
      <w:r w:rsidR="00A51BFC" w:rsidRPr="00FD7974">
        <w:rPr>
          <w:vertAlign w:val="superscript"/>
        </w:rPr>
        <w:t>1</w:t>
      </w:r>
      <w:r w:rsidR="00D94B32">
        <w:rPr>
          <w:vertAlign w:val="superscript"/>
        </w:rPr>
        <w:t>*</w:t>
      </w:r>
      <w:r>
        <w:t>, Chi Zhang</w:t>
      </w:r>
      <w:r w:rsidR="00A51BFC" w:rsidRPr="00FD7974">
        <w:rPr>
          <w:vertAlign w:val="superscript"/>
        </w:rPr>
        <w:t>1</w:t>
      </w:r>
      <w:r w:rsidR="00D94B32" w:rsidRPr="004B67D5">
        <w:rPr>
          <w:vertAlign w:val="superscript"/>
        </w:rPr>
        <w:t>*</w:t>
      </w:r>
      <w:r w:rsidR="004B67D5" w:rsidRPr="004B67D5">
        <w:t xml:space="preserve">, </w:t>
      </w:r>
      <w:proofErr w:type="spellStart"/>
      <w:r>
        <w:t>Chunhong</w:t>
      </w:r>
      <w:proofErr w:type="spellEnd"/>
      <w:r>
        <w:t xml:space="preserve"> Hu</w:t>
      </w:r>
      <w:r w:rsidRPr="00FD7974">
        <w:rPr>
          <w:vertAlign w:val="superscript"/>
        </w:rPr>
        <w:t>2</w:t>
      </w:r>
      <w:r>
        <w:t xml:space="preserve">, </w:t>
      </w:r>
      <w:proofErr w:type="spellStart"/>
      <w:r>
        <w:t>Guangtao</w:t>
      </w:r>
      <w:proofErr w:type="spellEnd"/>
      <w:r>
        <w:t xml:space="preserve"> Fu</w:t>
      </w:r>
      <w:r w:rsidRPr="00FD7974">
        <w:rPr>
          <w:vertAlign w:val="superscript"/>
        </w:rPr>
        <w:t>3</w:t>
      </w:r>
      <w:r>
        <w:t>, Ximing Cai</w:t>
      </w:r>
      <w:r w:rsidRPr="00FD7974">
        <w:rPr>
          <w:vertAlign w:val="superscript"/>
        </w:rPr>
        <w:t>4</w:t>
      </w:r>
    </w:p>
    <w:p w14:paraId="293370AF" w14:textId="77777777" w:rsidR="009F66C6" w:rsidRDefault="009F66C6" w:rsidP="009F66C6">
      <w:pPr>
        <w:spacing w:line="240" w:lineRule="auto"/>
        <w:ind w:firstLineChars="0" w:firstLine="0"/>
        <w:rPr>
          <w:vertAlign w:val="superscript"/>
        </w:rPr>
      </w:pPr>
    </w:p>
    <w:p w14:paraId="5AC5CD46" w14:textId="77777777" w:rsidR="00DC6091" w:rsidRDefault="009F66C6" w:rsidP="009F66C6">
      <w:pPr>
        <w:spacing w:line="240" w:lineRule="auto"/>
        <w:ind w:firstLineChars="0" w:firstLine="0"/>
      </w:pPr>
      <w:r>
        <w:rPr>
          <w:rFonts w:hint="eastAsia"/>
          <w:vertAlign w:val="superscript"/>
        </w:rPr>
        <w:t>1</w:t>
      </w:r>
      <w:r>
        <w:rPr>
          <w:rFonts w:hint="eastAsia"/>
        </w:rPr>
        <w:t xml:space="preserve">School of Hydraulic Engineering, Dalian </w:t>
      </w:r>
      <w:r>
        <w:t>University</w:t>
      </w:r>
      <w:r>
        <w:rPr>
          <w:rFonts w:hint="eastAsia"/>
        </w:rPr>
        <w:t xml:space="preserve"> of Technology, Dalian, Liaoning, China.</w:t>
      </w:r>
    </w:p>
    <w:p w14:paraId="22B30146" w14:textId="77777777" w:rsidR="00DC6091" w:rsidRDefault="00DC6091" w:rsidP="009F66C6">
      <w:pPr>
        <w:spacing w:line="240" w:lineRule="auto"/>
        <w:ind w:firstLineChars="0" w:firstLine="0"/>
      </w:pPr>
    </w:p>
    <w:p w14:paraId="4AC56C3B" w14:textId="77777777" w:rsidR="00DC6091" w:rsidRDefault="009F66C6" w:rsidP="009F66C6">
      <w:pPr>
        <w:spacing w:line="240" w:lineRule="auto"/>
        <w:ind w:firstLineChars="0" w:firstLine="0"/>
      </w:pPr>
      <w:r>
        <w:rPr>
          <w:vertAlign w:val="superscript"/>
        </w:rPr>
        <w:t>2</w:t>
      </w:r>
      <w:r>
        <w:t>China Institute of Water Resources and Hydropower Research,</w:t>
      </w:r>
      <w:r>
        <w:rPr>
          <w:rFonts w:hint="eastAsia"/>
        </w:rPr>
        <w:t xml:space="preserve"> </w:t>
      </w:r>
      <w:r>
        <w:t>Beijing</w:t>
      </w:r>
      <w:r>
        <w:rPr>
          <w:rFonts w:hint="eastAsia"/>
        </w:rPr>
        <w:t>, China.</w:t>
      </w:r>
    </w:p>
    <w:p w14:paraId="4844A4D5" w14:textId="77777777" w:rsidR="00DC6091" w:rsidRDefault="00DC6091" w:rsidP="009F66C6">
      <w:pPr>
        <w:spacing w:line="240" w:lineRule="auto"/>
        <w:ind w:firstLineChars="0" w:firstLine="0"/>
      </w:pPr>
    </w:p>
    <w:p w14:paraId="64E3605C" w14:textId="77777777" w:rsidR="00DC6091" w:rsidRDefault="009F66C6" w:rsidP="009F66C6">
      <w:pPr>
        <w:spacing w:line="240" w:lineRule="auto"/>
        <w:ind w:firstLineChars="0" w:firstLine="0"/>
      </w:pPr>
      <w:r>
        <w:rPr>
          <w:vertAlign w:val="superscript"/>
        </w:rPr>
        <w:t>3</w:t>
      </w:r>
      <w:r w:rsidRPr="00FD7974">
        <w:rPr>
          <w:rFonts w:hint="eastAsia"/>
        </w:rPr>
        <w:t xml:space="preserve"> </w:t>
      </w:r>
      <w:r>
        <w:rPr>
          <w:rFonts w:hint="eastAsia"/>
        </w:rPr>
        <w:t>Centre for Water System, College of Engineering, Mathematics and Physical Sciences, University of Exeter, Exeter, UK.</w:t>
      </w:r>
    </w:p>
    <w:p w14:paraId="0C746762" w14:textId="77777777" w:rsidR="00DC6091" w:rsidRDefault="00DC6091" w:rsidP="009F66C6">
      <w:pPr>
        <w:spacing w:line="240" w:lineRule="auto"/>
        <w:ind w:firstLineChars="0" w:firstLine="0"/>
      </w:pPr>
    </w:p>
    <w:p w14:paraId="5B5754AE" w14:textId="77777777" w:rsidR="00DC6091" w:rsidRDefault="009F66C6" w:rsidP="009F66C6">
      <w:pPr>
        <w:spacing w:line="240" w:lineRule="auto"/>
        <w:ind w:firstLineChars="0" w:firstLine="0"/>
      </w:pPr>
      <w:r>
        <w:rPr>
          <w:vertAlign w:val="superscript"/>
        </w:rPr>
        <w:t>4</w:t>
      </w:r>
      <w:r>
        <w:t>Department of Civil and Engineering, University of Illinois at Urbana</w:t>
      </w:r>
      <w:r w:rsidR="00DC6091">
        <w:t>-Champaign, Champaign, IL, USA.</w:t>
      </w:r>
    </w:p>
    <w:p w14:paraId="1EC19132" w14:textId="77777777" w:rsidR="00DC6091" w:rsidRDefault="00DC6091" w:rsidP="009F66C6">
      <w:pPr>
        <w:spacing w:line="240" w:lineRule="auto"/>
        <w:ind w:firstLineChars="0" w:firstLine="0"/>
      </w:pPr>
    </w:p>
    <w:p w14:paraId="3576AC56" w14:textId="4FCD6A0B" w:rsidR="009F66C6" w:rsidRDefault="00DC6091" w:rsidP="009F66C6">
      <w:pPr>
        <w:spacing w:line="240" w:lineRule="auto"/>
        <w:ind w:firstLineChars="0" w:firstLine="0"/>
      </w:pPr>
      <w:r>
        <w:t>*Correspondence to</w:t>
      </w:r>
      <w:r w:rsidR="009F66C6">
        <w:t xml:space="preserve">: </w:t>
      </w:r>
      <w:hyperlink r:id="rId8" w:history="1">
        <w:r w:rsidR="00D94B32" w:rsidRPr="0010180B">
          <w:rPr>
            <w:rStyle w:val="af7"/>
          </w:rPr>
          <w:t>liyu@dlut.edu.cn</w:t>
        </w:r>
      </w:hyperlink>
      <w:r w:rsidR="00D94B32">
        <w:t xml:space="preserve">; </w:t>
      </w:r>
      <w:hyperlink r:id="rId9" w:history="1">
        <w:r w:rsidR="00D94B32" w:rsidRPr="0010180B">
          <w:rPr>
            <w:rStyle w:val="af7"/>
          </w:rPr>
          <w:t>czhang@dlut.edu.cn</w:t>
        </w:r>
      </w:hyperlink>
      <w:r w:rsidR="00D94B32">
        <w:rPr>
          <w:rFonts w:hint="eastAsia"/>
        </w:rPr>
        <w:t xml:space="preserve"> </w:t>
      </w:r>
      <w:r w:rsidR="00D94B32">
        <w:t>.</w:t>
      </w:r>
    </w:p>
    <w:p w14:paraId="3B522BB1" w14:textId="77777777" w:rsidR="009F66C6" w:rsidRDefault="009F66C6" w:rsidP="002B54DA">
      <w:pPr>
        <w:ind w:firstLine="880"/>
        <w:jc w:val="center"/>
        <w:rPr>
          <w:sz w:val="44"/>
        </w:rPr>
      </w:pPr>
    </w:p>
    <w:p w14:paraId="4D2501F5" w14:textId="7A36CAB0" w:rsidR="00B31B02" w:rsidRPr="00B31B02" w:rsidRDefault="00B31B02" w:rsidP="00B31B02">
      <w:pPr>
        <w:ind w:firstLineChars="0" w:firstLine="0"/>
        <w:rPr>
          <w:b/>
        </w:rPr>
      </w:pPr>
      <w:r w:rsidRPr="00B31B02">
        <w:rPr>
          <w:rFonts w:hint="eastAsia"/>
          <w:b/>
        </w:rPr>
        <w:t>Contents:</w:t>
      </w:r>
    </w:p>
    <w:p w14:paraId="1FC8ECF2" w14:textId="7CB62B6A" w:rsidR="00B31B02" w:rsidRDefault="00B31B02" w:rsidP="00B31B02">
      <w:pPr>
        <w:ind w:firstLine="480"/>
      </w:pPr>
      <w:r>
        <w:rPr>
          <w:rFonts w:hint="eastAsia"/>
        </w:rPr>
        <w:t>Supplementary Figures:</w:t>
      </w:r>
    </w:p>
    <w:p w14:paraId="773D10B0" w14:textId="3946CCEF" w:rsidR="00B31B02" w:rsidRDefault="00B31B02" w:rsidP="00B31B02">
      <w:pPr>
        <w:ind w:firstLine="480"/>
      </w:pPr>
      <w:r>
        <w:t>Supplementary Figure 1:</w:t>
      </w:r>
      <w:r w:rsidR="00A51BFC" w:rsidRPr="00A51BFC">
        <w:t xml:space="preserve"> Topological map of relations among countries.</w:t>
      </w:r>
    </w:p>
    <w:p w14:paraId="01A4619B" w14:textId="053CADC8" w:rsidR="00B31B02" w:rsidRDefault="00B31B02" w:rsidP="00B31B02">
      <w:pPr>
        <w:ind w:firstLine="480"/>
      </w:pPr>
      <w:r>
        <w:t>Supplementary Figure 2:</w:t>
      </w:r>
      <w:r w:rsidR="00A51BFC">
        <w:t xml:space="preserve"> </w:t>
      </w:r>
      <w:r w:rsidR="00A51BFC" w:rsidRPr="00A51BFC">
        <w:t>Water deficit in various countries under different strategies</w:t>
      </w:r>
      <w:r w:rsidR="00A51BFC">
        <w:t>.</w:t>
      </w:r>
    </w:p>
    <w:p w14:paraId="74191D0C" w14:textId="6C9BB43A" w:rsidR="00B31B02" w:rsidRDefault="00B31B02" w:rsidP="00B31B02">
      <w:pPr>
        <w:ind w:firstLine="480"/>
      </w:pPr>
      <w:r>
        <w:t>Supplementary Figure 3:</w:t>
      </w:r>
      <w:r w:rsidR="00A51BFC" w:rsidRPr="00A51BFC">
        <w:t xml:space="preserve"> Electricity deficit or surplus and trade power in dual water-electricity cooperation.</w:t>
      </w:r>
    </w:p>
    <w:p w14:paraId="73A3ECD2" w14:textId="77777777" w:rsidR="00B31B02" w:rsidRDefault="00B31B02" w:rsidP="00B31B02">
      <w:pPr>
        <w:ind w:firstLine="480"/>
      </w:pPr>
    </w:p>
    <w:p w14:paraId="765E6D2C" w14:textId="4CD27BE7" w:rsidR="00B31B02" w:rsidRDefault="00B31B02" w:rsidP="00B31B02">
      <w:pPr>
        <w:ind w:firstLine="480"/>
      </w:pPr>
      <w:r>
        <w:t>Supplementary Note 1:</w:t>
      </w:r>
      <w:r w:rsidR="00A51BFC" w:rsidRPr="00A51BFC">
        <w:t xml:space="preserve"> Willingness function.</w:t>
      </w:r>
    </w:p>
    <w:p w14:paraId="4FE3B846" w14:textId="3889F976" w:rsidR="00B31B02" w:rsidRPr="009F66C6" w:rsidRDefault="00B31B02" w:rsidP="00B31B02">
      <w:pPr>
        <w:ind w:firstLine="480"/>
      </w:pPr>
      <w:r>
        <w:t>Supplementary Note 2:</w:t>
      </w:r>
      <w:r w:rsidR="00A51BFC" w:rsidRPr="00A51BFC">
        <w:t xml:space="preserve"> Linkage between water and electricity module.</w:t>
      </w:r>
    </w:p>
    <w:p w14:paraId="667E3BC8" w14:textId="77777777" w:rsidR="00022BBF" w:rsidRDefault="00022BBF">
      <w:pPr>
        <w:widowControl/>
        <w:spacing w:line="240" w:lineRule="auto"/>
        <w:ind w:firstLineChars="0" w:firstLine="0"/>
        <w:jc w:val="left"/>
        <w:rPr>
          <w:sz w:val="44"/>
        </w:rPr>
      </w:pPr>
      <w:r>
        <w:rPr>
          <w:sz w:val="44"/>
        </w:rPr>
        <w:br w:type="page"/>
      </w:r>
    </w:p>
    <w:p w14:paraId="13C843F9" w14:textId="77777777" w:rsidR="00022BBF" w:rsidRDefault="00990223" w:rsidP="00990223">
      <w:pPr>
        <w:spacing w:line="240" w:lineRule="auto"/>
        <w:ind w:firstLineChars="0" w:firstLine="0"/>
        <w:jc w:val="center"/>
        <w:rPr>
          <w:sz w:val="36"/>
        </w:rPr>
      </w:pPr>
      <w:r>
        <w:rPr>
          <w:noProof/>
        </w:rPr>
        <w:lastRenderedPageBreak/>
        <w:drawing>
          <wp:inline distT="0" distB="0" distL="0" distR="0" wp14:anchorId="26922B8F" wp14:editId="509DDC39">
            <wp:extent cx="6262370" cy="312479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286612" cy="3136891"/>
                    </a:xfrm>
                    <a:prstGeom prst="rect">
                      <a:avLst/>
                    </a:prstGeom>
                    <a:noFill/>
                  </pic:spPr>
                </pic:pic>
              </a:graphicData>
            </a:graphic>
          </wp:inline>
        </w:drawing>
      </w:r>
    </w:p>
    <w:p w14:paraId="04E4528B" w14:textId="1241D2DA" w:rsidR="00990223" w:rsidRDefault="00B31B02" w:rsidP="00990223">
      <w:pPr>
        <w:spacing w:line="240" w:lineRule="auto"/>
        <w:ind w:firstLineChars="0" w:firstLine="0"/>
        <w:jc w:val="left"/>
        <w:rPr>
          <w:b/>
          <w:sz w:val="21"/>
        </w:rPr>
      </w:pPr>
      <w:r>
        <w:rPr>
          <w:b/>
          <w:sz w:val="21"/>
        </w:rPr>
        <w:t>Supplementary Figure 1</w:t>
      </w:r>
      <w:r w:rsidR="00990223">
        <w:rPr>
          <w:rFonts w:hint="eastAsia"/>
          <w:b/>
          <w:sz w:val="21"/>
        </w:rPr>
        <w:t xml:space="preserve">: </w:t>
      </w:r>
      <w:r w:rsidR="00990223">
        <w:rPr>
          <w:b/>
          <w:sz w:val="21"/>
        </w:rPr>
        <w:t>Topological map of relations among countries.</w:t>
      </w:r>
    </w:p>
    <w:p w14:paraId="463F62FB" w14:textId="77777777" w:rsidR="00990223" w:rsidRDefault="00990223" w:rsidP="00990223">
      <w:pPr>
        <w:spacing w:line="240" w:lineRule="auto"/>
        <w:ind w:firstLineChars="0" w:firstLine="0"/>
        <w:jc w:val="left"/>
        <w:rPr>
          <w:b/>
          <w:sz w:val="21"/>
        </w:rPr>
      </w:pPr>
      <w:r>
        <w:rPr>
          <w:b/>
          <w:sz w:val="21"/>
        </w:rPr>
        <w:t xml:space="preserve">Note: Myanmar is not considered in the water cooperation because it only accounts for 3% of the basin area and almost does not take water from the Mekong River; while its geographical location is important in electricity </w:t>
      </w:r>
      <w:r>
        <w:rPr>
          <w:rFonts w:hint="eastAsia"/>
          <w:b/>
          <w:sz w:val="21"/>
        </w:rPr>
        <w:t>trade</w:t>
      </w:r>
      <w:r>
        <w:rPr>
          <w:b/>
          <w:sz w:val="21"/>
        </w:rPr>
        <w:t xml:space="preserve"> which connected China and Thailand.</w:t>
      </w:r>
    </w:p>
    <w:p w14:paraId="08C511C7" w14:textId="77777777" w:rsidR="00990223" w:rsidRDefault="00990223">
      <w:pPr>
        <w:widowControl/>
        <w:spacing w:line="240" w:lineRule="auto"/>
        <w:ind w:firstLineChars="0" w:firstLine="0"/>
        <w:jc w:val="left"/>
        <w:rPr>
          <w:sz w:val="36"/>
        </w:rPr>
      </w:pPr>
      <w:r>
        <w:rPr>
          <w:sz w:val="36"/>
        </w:rPr>
        <w:br w:type="page"/>
      </w:r>
    </w:p>
    <w:p w14:paraId="0B47A390" w14:textId="20911699" w:rsidR="00990223" w:rsidRDefault="002B2EB6" w:rsidP="00990223">
      <w:pPr>
        <w:spacing w:line="240" w:lineRule="auto"/>
        <w:ind w:firstLineChars="0" w:firstLine="0"/>
        <w:jc w:val="center"/>
        <w:rPr>
          <w:sz w:val="36"/>
        </w:rPr>
      </w:pPr>
      <w:r>
        <w:rPr>
          <w:noProof/>
          <w:sz w:val="36"/>
        </w:rPr>
        <w:lastRenderedPageBreak/>
        <w:drawing>
          <wp:inline distT="0" distB="0" distL="0" distR="0" wp14:anchorId="63B41AE3" wp14:editId="262A7AEB">
            <wp:extent cx="5623824" cy="406466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6700" cy="4081200"/>
                    </a:xfrm>
                    <a:prstGeom prst="rect">
                      <a:avLst/>
                    </a:prstGeom>
                    <a:noFill/>
                  </pic:spPr>
                </pic:pic>
              </a:graphicData>
            </a:graphic>
          </wp:inline>
        </w:drawing>
      </w:r>
    </w:p>
    <w:p w14:paraId="565A7B7E" w14:textId="5176EAFA" w:rsidR="00BE1304" w:rsidRDefault="00A51BFC" w:rsidP="00BE1304">
      <w:pPr>
        <w:spacing w:line="240" w:lineRule="auto"/>
        <w:ind w:firstLineChars="0" w:firstLine="0"/>
        <w:jc w:val="left"/>
        <w:rPr>
          <w:b/>
          <w:sz w:val="21"/>
        </w:rPr>
      </w:pPr>
      <w:r>
        <w:rPr>
          <w:b/>
          <w:sz w:val="21"/>
        </w:rPr>
        <w:t>Supplementary Figure 2:</w:t>
      </w:r>
      <w:r w:rsidR="00BE1304">
        <w:rPr>
          <w:rFonts w:hint="eastAsia"/>
          <w:b/>
          <w:sz w:val="21"/>
        </w:rPr>
        <w:t xml:space="preserve"> </w:t>
      </w:r>
      <w:r w:rsidR="00BE1304">
        <w:rPr>
          <w:b/>
          <w:sz w:val="21"/>
        </w:rPr>
        <w:t>Water deficit in various countries under different strategies: a. Thailand; b. Laos; c. Cambodia; d. Vietnam.</w:t>
      </w:r>
    </w:p>
    <w:p w14:paraId="684062BE" w14:textId="77777777" w:rsidR="00FC05F3" w:rsidRDefault="00BE1304" w:rsidP="00BE1304">
      <w:pPr>
        <w:spacing w:line="240" w:lineRule="auto"/>
        <w:ind w:firstLineChars="0" w:firstLine="0"/>
        <w:jc w:val="left"/>
        <w:rPr>
          <w:b/>
          <w:sz w:val="21"/>
        </w:rPr>
      </w:pPr>
      <w:r>
        <w:rPr>
          <w:b/>
          <w:sz w:val="21"/>
        </w:rPr>
        <w:t xml:space="preserve">Note: </w:t>
      </w:r>
      <w:r w:rsidR="00FC05F3">
        <w:rPr>
          <w:b/>
          <w:sz w:val="21"/>
        </w:rPr>
        <w:t>The green shadow represents crops water need met by rainfall, and the purple shadow represents crops water need met by water withdrawal from Mekong River. When the rainfall and water withdrawal still do not meet the water demand of crops (red line), there is water deficit</w:t>
      </w:r>
      <w:r w:rsidR="00283891">
        <w:rPr>
          <w:b/>
          <w:sz w:val="21"/>
        </w:rPr>
        <w:t>.</w:t>
      </w:r>
    </w:p>
    <w:p w14:paraId="205FBCA0" w14:textId="679D143B" w:rsidR="00FC05F3" w:rsidRDefault="00283891" w:rsidP="00BE1304">
      <w:pPr>
        <w:spacing w:line="240" w:lineRule="auto"/>
        <w:ind w:firstLineChars="0" w:firstLine="0"/>
        <w:jc w:val="left"/>
        <w:rPr>
          <w:b/>
          <w:bCs/>
          <w:sz w:val="21"/>
        </w:rPr>
      </w:pPr>
      <w:r w:rsidRPr="00283891">
        <w:rPr>
          <w:rFonts w:hint="eastAsia"/>
          <w:b/>
          <w:bCs/>
          <w:sz w:val="21"/>
        </w:rPr>
        <w:t>Acronyms:</w:t>
      </w:r>
      <w:r>
        <w:rPr>
          <w:b/>
          <w:bCs/>
          <w:sz w:val="21"/>
        </w:rPr>
        <w:t xml:space="preserve"> BAS, baseline</w:t>
      </w:r>
      <w:r w:rsidR="002B2EB6">
        <w:rPr>
          <w:b/>
          <w:bCs/>
          <w:sz w:val="21"/>
        </w:rPr>
        <w:t xml:space="preserve"> with no cooperative action</w:t>
      </w:r>
      <w:r>
        <w:rPr>
          <w:b/>
          <w:bCs/>
          <w:sz w:val="21"/>
        </w:rPr>
        <w:t>; E</w:t>
      </w:r>
      <w:r w:rsidR="00452A1A">
        <w:rPr>
          <w:b/>
          <w:bCs/>
          <w:sz w:val="21"/>
        </w:rPr>
        <w:t>W</w:t>
      </w:r>
      <w:r>
        <w:rPr>
          <w:b/>
          <w:bCs/>
          <w:sz w:val="21"/>
        </w:rPr>
        <w:t>S, Emergent Water Supplement; BWC, Basin-wide Water Cooperation; DWEC, Dual Water-Electricity Cooperation</w:t>
      </w:r>
      <w:r w:rsidR="00A51BFC">
        <w:rPr>
          <w:b/>
          <w:bCs/>
          <w:sz w:val="21"/>
        </w:rPr>
        <w:t xml:space="preserve"> (BWC_CMin or BWC_WMax)</w:t>
      </w:r>
    </w:p>
    <w:p w14:paraId="49F2AA0B" w14:textId="77777777" w:rsidR="007F7B54" w:rsidRDefault="007F7B54" w:rsidP="00BE1304">
      <w:pPr>
        <w:spacing w:line="240" w:lineRule="auto"/>
        <w:ind w:firstLineChars="0" w:firstLine="0"/>
        <w:jc w:val="left"/>
        <w:rPr>
          <w:b/>
          <w:bCs/>
          <w:sz w:val="21"/>
        </w:rPr>
      </w:pPr>
    </w:p>
    <w:p w14:paraId="696D9C69" w14:textId="203FCF99" w:rsidR="00452A1A" w:rsidRPr="00283891" w:rsidRDefault="002B2EB6" w:rsidP="00BE1304">
      <w:pPr>
        <w:spacing w:line="240" w:lineRule="auto"/>
        <w:ind w:firstLineChars="0" w:firstLine="0"/>
        <w:jc w:val="left"/>
        <w:rPr>
          <w:b/>
          <w:sz w:val="21"/>
        </w:rPr>
      </w:pPr>
      <w:r>
        <w:rPr>
          <w:rFonts w:hint="eastAsia"/>
          <w:b/>
          <w:sz w:val="21"/>
        </w:rPr>
        <w:t>D</w:t>
      </w:r>
      <w:r>
        <w:rPr>
          <w:b/>
          <w:sz w:val="21"/>
        </w:rPr>
        <w:t xml:space="preserve">escription: Without cooperative action, downstream countries have different degrees of water shortage during dry periods, of which Vietnam is the most serious country. In emergent water supplement, as upstream China increase its outflow to downstream, the water deficit extent of downstream countries </w:t>
      </w:r>
      <w:r w:rsidR="0053160C">
        <w:rPr>
          <w:b/>
          <w:sz w:val="21"/>
        </w:rPr>
        <w:t>is</w:t>
      </w:r>
      <w:r>
        <w:rPr>
          <w:b/>
          <w:sz w:val="21"/>
        </w:rPr>
        <w:t xml:space="preserve"> </w:t>
      </w:r>
      <w:r w:rsidR="0053160C">
        <w:rPr>
          <w:b/>
          <w:sz w:val="21"/>
        </w:rPr>
        <w:t>alleviated. In basin-wide water cooperation, water also can be transferred among downstream countries to maximize the economic benefits of the entire basin. Thailand, Laos and Cambodia with lower unit water benefits transfer their partial water to Vietnam, which has higher unit water benefit, and thus, their water shortage becomes more serious. In dual water-electricity cooperation, water transfer is constrained by electricity trade capacity</w:t>
      </w:r>
      <w:r w:rsidR="00C01D26">
        <w:rPr>
          <w:b/>
          <w:sz w:val="21"/>
        </w:rPr>
        <w:t>, and the amount of water transfers from Thailand, Laos and Cambodia is limited. Compared with BWC scenario, Thailand, Laos and Cambodia’s water deficit is improved in DWEC.</w:t>
      </w:r>
    </w:p>
    <w:p w14:paraId="13D41361" w14:textId="77777777" w:rsidR="00BE1304" w:rsidRDefault="00BE1304">
      <w:pPr>
        <w:widowControl/>
        <w:spacing w:line="240" w:lineRule="auto"/>
        <w:ind w:firstLineChars="0" w:firstLine="0"/>
        <w:jc w:val="left"/>
        <w:rPr>
          <w:b/>
          <w:sz w:val="21"/>
        </w:rPr>
      </w:pPr>
      <w:r>
        <w:rPr>
          <w:b/>
          <w:sz w:val="21"/>
        </w:rPr>
        <w:br w:type="page"/>
      </w:r>
    </w:p>
    <w:p w14:paraId="49F82E21" w14:textId="7379EEAD" w:rsidR="00BE1304" w:rsidRDefault="00767DC7" w:rsidP="00BE1304">
      <w:pPr>
        <w:spacing w:line="240" w:lineRule="auto"/>
        <w:ind w:firstLineChars="0" w:firstLine="0"/>
        <w:jc w:val="center"/>
        <w:rPr>
          <w:b/>
          <w:sz w:val="21"/>
        </w:rPr>
      </w:pPr>
      <w:r>
        <w:rPr>
          <w:b/>
          <w:noProof/>
          <w:sz w:val="21"/>
        </w:rPr>
        <w:lastRenderedPageBreak/>
        <w:drawing>
          <wp:inline distT="0" distB="0" distL="0" distR="0" wp14:anchorId="3A04E435" wp14:editId="7C3304E6">
            <wp:extent cx="4080444" cy="5083691"/>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7735" cy="5092775"/>
                    </a:xfrm>
                    <a:prstGeom prst="rect">
                      <a:avLst/>
                    </a:prstGeom>
                    <a:noFill/>
                  </pic:spPr>
                </pic:pic>
              </a:graphicData>
            </a:graphic>
          </wp:inline>
        </w:drawing>
      </w:r>
    </w:p>
    <w:p w14:paraId="510E832D" w14:textId="56632E15" w:rsidR="00BE1304" w:rsidRDefault="00A51BFC" w:rsidP="00BE1304">
      <w:pPr>
        <w:spacing w:line="240" w:lineRule="auto"/>
        <w:ind w:firstLineChars="0" w:firstLine="0"/>
        <w:jc w:val="left"/>
        <w:rPr>
          <w:b/>
          <w:sz w:val="21"/>
        </w:rPr>
      </w:pPr>
      <w:r>
        <w:rPr>
          <w:b/>
          <w:sz w:val="21"/>
        </w:rPr>
        <w:t>Supplementary Figure 3:</w:t>
      </w:r>
      <w:r w:rsidR="00BE1304">
        <w:rPr>
          <w:rFonts w:hint="eastAsia"/>
          <w:b/>
          <w:sz w:val="21"/>
        </w:rPr>
        <w:t xml:space="preserve"> </w:t>
      </w:r>
      <w:r w:rsidR="00B14B76">
        <w:rPr>
          <w:b/>
          <w:sz w:val="21"/>
        </w:rPr>
        <w:t xml:space="preserve">Electricity deficit or surplus and trade </w:t>
      </w:r>
      <w:r w:rsidR="00767DC7">
        <w:rPr>
          <w:b/>
          <w:sz w:val="21"/>
        </w:rPr>
        <w:t>power</w:t>
      </w:r>
      <w:r w:rsidR="00B14B76">
        <w:rPr>
          <w:b/>
          <w:sz w:val="21"/>
        </w:rPr>
        <w:t xml:space="preserve"> in dual water-electricity cooperation.</w:t>
      </w:r>
    </w:p>
    <w:p w14:paraId="34CB315C" w14:textId="20E5CA41" w:rsidR="00B14B76" w:rsidRDefault="00B14B76" w:rsidP="00B14B76">
      <w:pPr>
        <w:pStyle w:val="a4"/>
        <w:numPr>
          <w:ilvl w:val="0"/>
          <w:numId w:val="11"/>
        </w:numPr>
        <w:spacing w:line="240" w:lineRule="auto"/>
        <w:ind w:firstLineChars="0"/>
        <w:jc w:val="left"/>
        <w:rPr>
          <w:b/>
          <w:sz w:val="21"/>
        </w:rPr>
      </w:pPr>
      <w:r w:rsidRPr="00B14B76">
        <w:rPr>
          <w:b/>
          <w:sz w:val="21"/>
        </w:rPr>
        <w:t>D</w:t>
      </w:r>
      <w:r w:rsidRPr="00B14B76">
        <w:rPr>
          <w:rFonts w:hint="eastAsia"/>
          <w:b/>
          <w:sz w:val="21"/>
        </w:rPr>
        <w:t xml:space="preserve">ual </w:t>
      </w:r>
      <w:r w:rsidRPr="00B14B76">
        <w:rPr>
          <w:b/>
          <w:sz w:val="21"/>
        </w:rPr>
        <w:t>Water-Electricity Cooperation developed on Basin-wide Water Cooperation and aimed for Cost Minimization (BWC_CMin);</w:t>
      </w:r>
    </w:p>
    <w:p w14:paraId="7231725B" w14:textId="1F302325" w:rsidR="00B14B76" w:rsidRPr="00B14B76" w:rsidRDefault="00B14B76" w:rsidP="00B14B76">
      <w:pPr>
        <w:pStyle w:val="a4"/>
        <w:numPr>
          <w:ilvl w:val="0"/>
          <w:numId w:val="11"/>
        </w:numPr>
        <w:spacing w:line="240" w:lineRule="auto"/>
        <w:ind w:firstLineChars="0"/>
        <w:jc w:val="left"/>
        <w:rPr>
          <w:b/>
          <w:sz w:val="21"/>
        </w:rPr>
      </w:pPr>
      <w:r>
        <w:rPr>
          <w:b/>
          <w:sz w:val="21"/>
        </w:rPr>
        <w:t xml:space="preserve">Dual </w:t>
      </w:r>
      <w:r w:rsidRPr="00B14B76">
        <w:rPr>
          <w:b/>
          <w:sz w:val="21"/>
        </w:rPr>
        <w:t xml:space="preserve">Water-Electricity Cooperation developed on Basin-wide Water Cooperation and aimed for </w:t>
      </w:r>
      <w:r>
        <w:rPr>
          <w:b/>
          <w:sz w:val="21"/>
        </w:rPr>
        <w:t>Willingness Maximization</w:t>
      </w:r>
      <w:r w:rsidRPr="00B14B76">
        <w:rPr>
          <w:b/>
          <w:sz w:val="21"/>
        </w:rPr>
        <w:t xml:space="preserve"> (BWC_</w:t>
      </w:r>
      <w:r>
        <w:rPr>
          <w:b/>
          <w:sz w:val="21"/>
        </w:rPr>
        <w:t>WMax</w:t>
      </w:r>
      <w:r w:rsidRPr="00B14B76">
        <w:rPr>
          <w:b/>
          <w:sz w:val="21"/>
        </w:rPr>
        <w:t>);</w:t>
      </w:r>
    </w:p>
    <w:p w14:paraId="6DFD0863" w14:textId="77777777" w:rsidR="00B14B76" w:rsidRDefault="00B14B76" w:rsidP="00BE1304">
      <w:pPr>
        <w:spacing w:line="240" w:lineRule="auto"/>
        <w:ind w:firstLineChars="0" w:firstLine="0"/>
        <w:jc w:val="left"/>
        <w:rPr>
          <w:b/>
          <w:sz w:val="21"/>
        </w:rPr>
      </w:pPr>
      <w:r>
        <w:rPr>
          <w:b/>
          <w:sz w:val="21"/>
        </w:rPr>
        <w:t>Red number: electricity deficit; Green number: electricity surplus; values in (.) is the trade volume between two neighbor countries.</w:t>
      </w:r>
    </w:p>
    <w:p w14:paraId="142A72B6" w14:textId="4C2EFC3B" w:rsidR="00BE1304" w:rsidRDefault="00BE1304">
      <w:pPr>
        <w:widowControl/>
        <w:spacing w:line="240" w:lineRule="auto"/>
        <w:ind w:firstLineChars="0" w:firstLine="0"/>
        <w:jc w:val="left"/>
        <w:rPr>
          <w:b/>
          <w:sz w:val="21"/>
        </w:rPr>
      </w:pPr>
      <w:r>
        <w:rPr>
          <w:b/>
          <w:sz w:val="21"/>
        </w:rPr>
        <w:br w:type="page"/>
      </w:r>
    </w:p>
    <w:p w14:paraId="3B7F720E" w14:textId="77284E9F" w:rsidR="00633492" w:rsidRDefault="00BE603E" w:rsidP="00BE1304">
      <w:pPr>
        <w:spacing w:line="240" w:lineRule="auto"/>
        <w:ind w:firstLineChars="0" w:firstLine="0"/>
        <w:jc w:val="left"/>
        <w:rPr>
          <w:b/>
        </w:rPr>
      </w:pPr>
      <w:r>
        <w:rPr>
          <w:b/>
        </w:rPr>
        <w:lastRenderedPageBreak/>
        <w:t xml:space="preserve">Supplementary </w:t>
      </w:r>
      <w:r w:rsidR="00A51BFC">
        <w:rPr>
          <w:b/>
        </w:rPr>
        <w:t>Note</w:t>
      </w:r>
      <w:r>
        <w:rPr>
          <w:b/>
        </w:rPr>
        <w:t xml:space="preserve"> 1: Willingness function.</w:t>
      </w:r>
    </w:p>
    <w:p w14:paraId="234756EF" w14:textId="77777777" w:rsidR="00633492" w:rsidRDefault="007E7067" w:rsidP="00BA10A5">
      <w:pPr>
        <w:ind w:firstLine="480"/>
      </w:pPr>
      <w:r>
        <w:rPr>
          <w:rFonts w:hint="eastAsia"/>
        </w:rPr>
        <w:t>We characterize the relat</w:t>
      </w:r>
      <w:r>
        <w:t>ionship between stakeholder’s willingness and trade volume by triangle function, and the corresponding formula representations are as follows:</w:t>
      </w:r>
    </w:p>
    <w:p w14:paraId="02DECC1F" w14:textId="0764B945" w:rsidR="007E7067" w:rsidRDefault="007E7067" w:rsidP="007E7067">
      <w:pPr>
        <w:pStyle w:val="a4"/>
        <w:numPr>
          <w:ilvl w:val="0"/>
          <w:numId w:val="8"/>
        </w:numPr>
        <w:ind w:firstLineChars="0"/>
      </w:pPr>
      <w:r>
        <w:rPr>
          <w:rFonts w:hint="eastAsia"/>
        </w:rPr>
        <w:t>Type</w:t>
      </w:r>
      <w:r>
        <w:t xml:space="preserve"> </w:t>
      </w:r>
      <w:r>
        <w:rPr>
          <w:rFonts w:hint="eastAsia"/>
        </w:rPr>
        <w:t>1</w:t>
      </w:r>
      <w:r>
        <w:t xml:space="preserve">: Import appetite, water loss party. When the electricity trade </w:t>
      </w:r>
      <w:r w:rsidR="00452A1A">
        <w:t>compensates</w:t>
      </w:r>
      <w:r>
        <w:t xml:space="preserve"> the water loss, the stakeholder begins to be willing to cooperate with others, and the willingness increase as the electricity trade expand, until reaches the balance point which the import electricity volume meet its deficit.</w:t>
      </w:r>
      <w:r w:rsidR="004127E8">
        <w:t xml:space="preserve"> The willingness can be described as follows:</w:t>
      </w:r>
    </w:p>
    <w:tbl>
      <w:tblPr>
        <w:tblStyle w:val="a5"/>
        <w:tblW w:w="8799"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gridCol w:w="1134"/>
      </w:tblGrid>
      <w:tr w:rsidR="007E7067" w14:paraId="283E9859" w14:textId="77777777" w:rsidTr="007E7067">
        <w:tc>
          <w:tcPr>
            <w:tcW w:w="6531" w:type="dxa"/>
            <w:vAlign w:val="center"/>
          </w:tcPr>
          <w:p w14:paraId="384964B4" w14:textId="77777777" w:rsidR="007E7067" w:rsidRPr="00524A03" w:rsidRDefault="007F1992" w:rsidP="00FC05F3">
            <w:pPr>
              <w:spacing w:line="240" w:lineRule="auto"/>
              <w:ind w:firstLineChars="0"/>
              <w:jc w:val="center"/>
              <w:rPr>
                <w:sz w:val="21"/>
              </w:rPr>
            </w:pPr>
            <m:oMathPara>
              <m:oMath>
                <m:sSub>
                  <m:sSubPr>
                    <m:ctrlPr>
                      <w:rPr>
                        <w:rFonts w:ascii="Cambria Math" w:hAnsi="Cambria Math"/>
                        <w:sz w:val="21"/>
                      </w:rPr>
                    </m:ctrlPr>
                  </m:sSubPr>
                  <m:e>
                    <m:r>
                      <w:rPr>
                        <w:rFonts w:ascii="Cambria Math" w:hAnsi="Cambria Math"/>
                        <w:sz w:val="21"/>
                      </w:rPr>
                      <m:t>WI</m:t>
                    </m:r>
                  </m:e>
                  <m:sub>
                    <m:r>
                      <w:rPr>
                        <w:rFonts w:ascii="Cambria Math" w:hAnsi="Cambria Math"/>
                        <w:sz w:val="21"/>
                      </w:rPr>
                      <m:t>i</m:t>
                    </m:r>
                  </m:sub>
                </m:sSub>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 </m:t>
                </m:r>
                <m:sSubSup>
                  <m:sSubSupPr>
                    <m:ctrlPr>
                      <w:rPr>
                        <w:rFonts w:ascii="Cambria Math" w:hAnsi="Cambria Math"/>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d>
                  <m:dPr>
                    <m:begChr m:val="["/>
                    <m:endChr m:val="]"/>
                    <m:ctrlPr>
                      <w:rPr>
                        <w:rFonts w:ascii="Cambria Math" w:hAnsi="Cambria Math"/>
                        <w:i/>
                        <w:sz w:val="21"/>
                      </w:rPr>
                    </m:ctrlPr>
                  </m:dPr>
                  <m:e>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d>
              </m:oMath>
            </m:oMathPara>
          </w:p>
        </w:tc>
        <w:tc>
          <w:tcPr>
            <w:tcW w:w="1134" w:type="dxa"/>
            <w:vAlign w:val="center"/>
          </w:tcPr>
          <w:p w14:paraId="72A92402" w14:textId="605D3115" w:rsidR="007E7067" w:rsidRDefault="007E7067" w:rsidP="007E7067">
            <w:pPr>
              <w:pStyle w:val="a4"/>
              <w:spacing w:line="240" w:lineRule="auto"/>
              <w:ind w:firstLineChars="0" w:firstLine="0"/>
              <w:jc w:val="center"/>
            </w:pPr>
            <w:r>
              <w:rPr>
                <w:rFonts w:hint="eastAsia"/>
              </w:rPr>
              <w:t>(</w:t>
            </w:r>
            <w:r>
              <w:t>1</w:t>
            </w:r>
            <w:r>
              <w:rPr>
                <w:rFonts w:hint="eastAsia"/>
              </w:rPr>
              <w:t>)</w:t>
            </w:r>
          </w:p>
        </w:tc>
        <w:tc>
          <w:tcPr>
            <w:tcW w:w="1134" w:type="dxa"/>
          </w:tcPr>
          <w:p w14:paraId="5DD750AB" w14:textId="77777777" w:rsidR="007E7067" w:rsidRDefault="007E7067" w:rsidP="007E7067">
            <w:pPr>
              <w:pStyle w:val="a4"/>
              <w:spacing w:line="240" w:lineRule="auto"/>
              <w:ind w:firstLineChars="0" w:firstLine="0"/>
              <w:jc w:val="center"/>
            </w:pPr>
          </w:p>
        </w:tc>
      </w:tr>
    </w:tbl>
    <w:p w14:paraId="04675B36" w14:textId="77777777" w:rsidR="007E7067" w:rsidRDefault="004127E8" w:rsidP="004127E8">
      <w:pPr>
        <w:pStyle w:val="a4"/>
        <w:numPr>
          <w:ilvl w:val="0"/>
          <w:numId w:val="8"/>
        </w:numPr>
        <w:ind w:firstLineChars="0"/>
      </w:pPr>
      <w:r>
        <w:rPr>
          <w:rFonts w:hint="eastAsia"/>
        </w:rPr>
        <w:t xml:space="preserve">Type 2: Export appetite, water loss party. </w:t>
      </w:r>
      <w:r>
        <w:t>Similar with the Type 1, the stakeholder begins to willing to cooperate with others as the water loss fully be compensated, until its abundant electricity is consumed by surrounding countries. The willingness can be described as follows:</w:t>
      </w:r>
    </w:p>
    <w:tbl>
      <w:tblPr>
        <w:tblStyle w:val="a5"/>
        <w:tblW w:w="8799"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gridCol w:w="1134"/>
      </w:tblGrid>
      <w:tr w:rsidR="004127E8" w14:paraId="147883C9" w14:textId="77777777" w:rsidTr="00FC05F3">
        <w:tc>
          <w:tcPr>
            <w:tcW w:w="6531" w:type="dxa"/>
            <w:vAlign w:val="center"/>
          </w:tcPr>
          <w:p w14:paraId="0C22E808" w14:textId="77777777" w:rsidR="004127E8" w:rsidRPr="00524A03" w:rsidRDefault="007F1992" w:rsidP="00FC05F3">
            <w:pPr>
              <w:spacing w:line="240" w:lineRule="auto"/>
              <w:ind w:firstLineChars="0"/>
              <w:jc w:val="center"/>
              <w:rPr>
                <w:sz w:val="21"/>
              </w:rPr>
            </w:pPr>
            <m:oMathPara>
              <m:oMath>
                <m:sSub>
                  <m:sSubPr>
                    <m:ctrlPr>
                      <w:rPr>
                        <w:rFonts w:ascii="Cambria Math" w:hAnsi="Cambria Math"/>
                        <w:sz w:val="21"/>
                      </w:rPr>
                    </m:ctrlPr>
                  </m:sSubPr>
                  <m:e>
                    <m:r>
                      <w:rPr>
                        <w:rFonts w:ascii="Cambria Math" w:hAnsi="Cambria Math"/>
                        <w:sz w:val="21"/>
                      </w:rPr>
                      <m:t>WI</m:t>
                    </m:r>
                  </m:e>
                  <m:sub>
                    <m:r>
                      <w:rPr>
                        <w:rFonts w:ascii="Cambria Math" w:hAnsi="Cambria Math"/>
                        <w:sz w:val="21"/>
                      </w:rPr>
                      <m:t>i</m:t>
                    </m:r>
                  </m:sub>
                </m:sSub>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p</m:t>
                        </m:r>
                      </m:e>
                      <m:sub>
                        <m:r>
                          <w:rPr>
                            <w:rFonts w:ascii="Cambria Math" w:hAnsi="Cambria Math"/>
                            <w:sz w:val="21"/>
                          </w:rPr>
                          <m:t>e</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 </m:t>
                </m:r>
                <m:sSubSup>
                  <m:sSubSupPr>
                    <m:ctrlPr>
                      <w:rPr>
                        <w:rFonts w:ascii="Cambria Math" w:hAnsi="Cambria Math"/>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d>
                  <m:dPr>
                    <m:begChr m:val="["/>
                    <m:endChr m:val="]"/>
                    <m:ctrlPr>
                      <w:rPr>
                        <w:rFonts w:ascii="Cambria Math" w:hAnsi="Cambria Math"/>
                        <w:i/>
                        <w:sz w:val="21"/>
                      </w:rPr>
                    </m:ctrlPr>
                  </m:dPr>
                  <m:e>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d>
              </m:oMath>
            </m:oMathPara>
          </w:p>
        </w:tc>
        <w:tc>
          <w:tcPr>
            <w:tcW w:w="1134" w:type="dxa"/>
            <w:vAlign w:val="center"/>
          </w:tcPr>
          <w:p w14:paraId="322C4456" w14:textId="7230CE43" w:rsidR="004127E8" w:rsidRDefault="004127E8" w:rsidP="004127E8">
            <w:pPr>
              <w:pStyle w:val="a4"/>
              <w:spacing w:line="240" w:lineRule="auto"/>
              <w:ind w:firstLineChars="0" w:firstLine="0"/>
              <w:jc w:val="center"/>
            </w:pPr>
            <w:r>
              <w:rPr>
                <w:rFonts w:hint="eastAsia"/>
              </w:rPr>
              <w:t>(</w:t>
            </w:r>
            <w:r>
              <w:t>2</w:t>
            </w:r>
            <w:r>
              <w:rPr>
                <w:rFonts w:hint="eastAsia"/>
              </w:rPr>
              <w:t>)</w:t>
            </w:r>
          </w:p>
        </w:tc>
        <w:tc>
          <w:tcPr>
            <w:tcW w:w="1134" w:type="dxa"/>
          </w:tcPr>
          <w:p w14:paraId="67467161" w14:textId="77777777" w:rsidR="004127E8" w:rsidRDefault="004127E8" w:rsidP="00FC05F3">
            <w:pPr>
              <w:pStyle w:val="a4"/>
              <w:spacing w:line="240" w:lineRule="auto"/>
              <w:ind w:firstLineChars="0" w:firstLine="0"/>
              <w:jc w:val="center"/>
            </w:pPr>
          </w:p>
        </w:tc>
      </w:tr>
    </w:tbl>
    <w:p w14:paraId="6E647EEC" w14:textId="77777777" w:rsidR="004127E8" w:rsidRDefault="004127E8" w:rsidP="004127E8">
      <w:pPr>
        <w:pStyle w:val="a4"/>
        <w:numPr>
          <w:ilvl w:val="0"/>
          <w:numId w:val="8"/>
        </w:numPr>
        <w:ind w:firstLineChars="0"/>
      </w:pPr>
      <w:r>
        <w:rPr>
          <w:rFonts w:hint="eastAsia"/>
        </w:rPr>
        <w:t>Type</w:t>
      </w:r>
      <w:r>
        <w:t xml:space="preserve"> </w:t>
      </w:r>
      <w:r>
        <w:rPr>
          <w:rFonts w:hint="eastAsia"/>
        </w:rPr>
        <w:t>3</w:t>
      </w:r>
      <w:r>
        <w:t xml:space="preserve">: </w:t>
      </w:r>
      <w:r w:rsidR="00491068">
        <w:t>Import appetite, water beneficiary.</w:t>
      </w:r>
      <w:r w:rsidR="00176CCF">
        <w:t xml:space="preserve"> The stakeholder benefits in water field, </w:t>
      </w:r>
      <w:r w:rsidR="00F15DA3">
        <w:t xml:space="preserve">and partial loss in electricity trade can be tolerated. The loss in electricity means the trade development is not followed by the stakeholder’s appetite, </w:t>
      </w:r>
      <w:proofErr w:type="gramStart"/>
      <w:r w:rsidR="00F15DA3">
        <w:t>i.e.</w:t>
      </w:r>
      <w:proofErr w:type="gramEnd"/>
      <w:r w:rsidR="00F15DA3">
        <w:t xml:space="preserve"> export or excessive import. The willingness function can be described as follows:</w:t>
      </w:r>
    </w:p>
    <w:tbl>
      <w:tblPr>
        <w:tblStyle w:val="a5"/>
        <w:tblW w:w="8799"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gridCol w:w="1134"/>
      </w:tblGrid>
      <w:tr w:rsidR="00F15DA3" w14:paraId="65D123EA" w14:textId="77777777" w:rsidTr="00FC05F3">
        <w:tc>
          <w:tcPr>
            <w:tcW w:w="6531" w:type="dxa"/>
            <w:vAlign w:val="center"/>
          </w:tcPr>
          <w:p w14:paraId="206619D3" w14:textId="77777777" w:rsidR="00F15DA3" w:rsidRPr="00524A03" w:rsidRDefault="007F1992" w:rsidP="00F15DA3">
            <w:pPr>
              <w:spacing w:line="240" w:lineRule="auto"/>
              <w:ind w:firstLineChars="0"/>
              <w:jc w:val="center"/>
              <w:rPr>
                <w:sz w:val="21"/>
              </w:rPr>
            </w:pPr>
            <m:oMathPara>
              <m:oMath>
                <m:sSub>
                  <m:sSubPr>
                    <m:ctrlPr>
                      <w:rPr>
                        <w:rFonts w:ascii="Cambria Math" w:hAnsi="Cambria Math"/>
                        <w:sz w:val="21"/>
                      </w:rPr>
                    </m:ctrlPr>
                  </m:sSubPr>
                  <m:e>
                    <m:r>
                      <w:rPr>
                        <w:rFonts w:ascii="Cambria Math" w:hAnsi="Cambria Math"/>
                        <w:sz w:val="21"/>
                      </w:rPr>
                      <m:t>WI</m:t>
                    </m:r>
                  </m:e>
                  <m:sub>
                    <m:r>
                      <w:rPr>
                        <w:rFonts w:ascii="Cambria Math" w:hAnsi="Cambria Math"/>
                        <w:sz w:val="21"/>
                      </w:rPr>
                      <m:t>i</m:t>
                    </m:r>
                  </m:sub>
                </m:sSub>
                <m:r>
                  <w:rPr>
                    <w:rFonts w:ascii="Cambria Math" w:hAnsi="Cambria Math"/>
                    <w:sz w:val="21"/>
                  </w:rPr>
                  <m:t>=</m:t>
                </m:r>
                <m:d>
                  <m:dPr>
                    <m:begChr m:val="{"/>
                    <m:endChr m:val=""/>
                    <m:ctrlPr>
                      <w:rPr>
                        <w:rFonts w:ascii="Cambria Math" w:hAnsi="Cambria Math"/>
                        <w:i/>
                        <w:sz w:val="21"/>
                      </w:rPr>
                    </m:ctrlPr>
                  </m:dPr>
                  <m:e>
                    <m:eqArr>
                      <m:eqArrPr>
                        <m:ctrlPr>
                          <w:rPr>
                            <w:rFonts w:ascii="Cambria Math" w:hAnsi="Cambria Math"/>
                            <w:i/>
                            <w:sz w:val="21"/>
                          </w:rPr>
                        </m:ctrlPr>
                      </m:eqArrPr>
                      <m:e>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∈[0,</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num>
                          <m:den>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num>
                          <m:den>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+1,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p</m:t>
                                </m:r>
                              </m:e>
                              <m:sub>
                                <m:r>
                                  <w:rPr>
                                    <w:rFonts w:ascii="Cambria Math" w:hAnsi="Cambria Math"/>
                                    <w:sz w:val="21"/>
                                  </w:rPr>
                                  <m:t>e</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∈[0,</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qArr>
                  </m:e>
                </m:d>
              </m:oMath>
            </m:oMathPara>
          </w:p>
        </w:tc>
        <w:tc>
          <w:tcPr>
            <w:tcW w:w="1134" w:type="dxa"/>
            <w:vAlign w:val="center"/>
          </w:tcPr>
          <w:p w14:paraId="07F97152" w14:textId="5565E629" w:rsidR="00F15DA3" w:rsidRDefault="00F15DA3" w:rsidP="00F15DA3">
            <w:pPr>
              <w:pStyle w:val="a4"/>
              <w:spacing w:line="240" w:lineRule="auto"/>
              <w:ind w:firstLineChars="0" w:firstLine="0"/>
              <w:jc w:val="center"/>
            </w:pPr>
            <w:r>
              <w:rPr>
                <w:rFonts w:hint="eastAsia"/>
              </w:rPr>
              <w:t>(</w:t>
            </w:r>
            <w:r>
              <w:t>3</w:t>
            </w:r>
            <w:r>
              <w:rPr>
                <w:rFonts w:hint="eastAsia"/>
              </w:rPr>
              <w:t>)</w:t>
            </w:r>
          </w:p>
        </w:tc>
        <w:tc>
          <w:tcPr>
            <w:tcW w:w="1134" w:type="dxa"/>
          </w:tcPr>
          <w:p w14:paraId="077D1D13" w14:textId="77777777" w:rsidR="00F15DA3" w:rsidRDefault="00F15DA3" w:rsidP="00FC05F3">
            <w:pPr>
              <w:pStyle w:val="a4"/>
              <w:spacing w:line="240" w:lineRule="auto"/>
              <w:ind w:firstLineChars="0" w:firstLine="0"/>
              <w:jc w:val="center"/>
            </w:pPr>
          </w:p>
        </w:tc>
      </w:tr>
    </w:tbl>
    <w:p w14:paraId="235BA2D3" w14:textId="77777777" w:rsidR="00491068" w:rsidRDefault="00491068" w:rsidP="00F15DA3">
      <w:pPr>
        <w:pStyle w:val="a4"/>
        <w:numPr>
          <w:ilvl w:val="0"/>
          <w:numId w:val="8"/>
        </w:numPr>
        <w:ind w:firstLineChars="0"/>
      </w:pPr>
      <w:r>
        <w:t>Type 4: Export appetite, water beneficiary.</w:t>
      </w:r>
      <w:r w:rsidR="00F15DA3">
        <w:t xml:space="preserve"> Similar to Type 3, the stakeholder can undertake additional export or import within its water benefit. The willingness function can be described as follows:</w:t>
      </w:r>
    </w:p>
    <w:tbl>
      <w:tblPr>
        <w:tblStyle w:val="a5"/>
        <w:tblW w:w="8799"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gridCol w:w="1134"/>
      </w:tblGrid>
      <w:tr w:rsidR="00F15DA3" w14:paraId="320CAFA8" w14:textId="77777777" w:rsidTr="00FC05F3">
        <w:tc>
          <w:tcPr>
            <w:tcW w:w="6531" w:type="dxa"/>
            <w:vAlign w:val="center"/>
          </w:tcPr>
          <w:p w14:paraId="0D8231D3" w14:textId="77777777" w:rsidR="00F15DA3" w:rsidRPr="00524A03" w:rsidRDefault="007F1992" w:rsidP="00F15DA3">
            <w:pPr>
              <w:spacing w:line="240" w:lineRule="auto"/>
              <w:ind w:firstLineChars="0"/>
              <w:jc w:val="center"/>
              <w:rPr>
                <w:sz w:val="21"/>
              </w:rPr>
            </w:pPr>
            <m:oMathPara>
              <m:oMath>
                <m:sSub>
                  <m:sSubPr>
                    <m:ctrlPr>
                      <w:rPr>
                        <w:rFonts w:ascii="Cambria Math" w:hAnsi="Cambria Math"/>
                        <w:sz w:val="21"/>
                      </w:rPr>
                    </m:ctrlPr>
                  </m:sSubPr>
                  <m:e>
                    <m:r>
                      <w:rPr>
                        <w:rFonts w:ascii="Cambria Math" w:hAnsi="Cambria Math"/>
                        <w:sz w:val="21"/>
                      </w:rPr>
                      <m:t>WI</m:t>
                    </m:r>
                  </m:e>
                  <m:sub>
                    <m:r>
                      <w:rPr>
                        <w:rFonts w:ascii="Cambria Math" w:hAnsi="Cambria Math"/>
                        <w:sz w:val="21"/>
                      </w:rPr>
                      <m:t>i</m:t>
                    </m:r>
                  </m:sub>
                </m:sSub>
                <m:r>
                  <w:rPr>
                    <w:rFonts w:ascii="Cambria Math" w:hAnsi="Cambria Math"/>
                    <w:sz w:val="21"/>
                  </w:rPr>
                  <m:t>=</m:t>
                </m:r>
                <m:d>
                  <m:dPr>
                    <m:begChr m:val="{"/>
                    <m:endChr m:val=""/>
                    <m:ctrlPr>
                      <w:rPr>
                        <w:rFonts w:ascii="Cambria Math" w:hAnsi="Cambria Math"/>
                        <w:i/>
                        <w:sz w:val="21"/>
                      </w:rPr>
                    </m:ctrlPr>
                  </m:dPr>
                  <m:e>
                    <m:eqArr>
                      <m:eqArrPr>
                        <m:ctrlPr>
                          <w:rPr>
                            <w:rFonts w:ascii="Cambria Math" w:hAnsi="Cambria Math"/>
                            <w:i/>
                            <w:sz w:val="21"/>
                          </w:rPr>
                        </m:ctrlPr>
                      </m:eqArrPr>
                      <m:e>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∈[0,</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num>
                          <m:den>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num>
                          <m:den>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+1,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
                        <m:r>
                          <w:rPr>
                            <w:rFonts w:ascii="Cambria Math" w:hAnsi="Cambria Math"/>
                            <w:sz w:val="21"/>
                          </w:rPr>
                          <m:t>-</m:t>
                        </m:r>
                        <m:f>
                          <m:fPr>
                            <m:ctrlPr>
                              <w:rPr>
                                <w:rFonts w:ascii="Cambria Math" w:hAnsi="Cambria Math"/>
                                <w:i/>
                                <w:sz w:val="21"/>
                              </w:rPr>
                            </m:ctrlPr>
                          </m:fPr>
                          <m:num>
                            <m:sSub>
                              <m:sSubPr>
                                <m:ctrlPr>
                                  <w:rPr>
                                    <w:rFonts w:ascii="Cambria Math" w:hAnsi="Cambria Math"/>
                                    <w:i/>
                                    <w:sz w:val="21"/>
                                  </w:rPr>
                                </m:ctrlPr>
                              </m:sSubPr>
                              <m:e>
                                <m:r>
                                  <w:rPr>
                                    <w:rFonts w:ascii="Cambria Math" w:hAnsi="Cambria Math"/>
                                    <w:sz w:val="21"/>
                                  </w:rPr>
                                  <m:t>p</m:t>
                                </m:r>
                              </m:e>
                              <m:sub>
                                <m:r>
                                  <w:rPr>
                                    <w:rFonts w:ascii="Cambria Math" w:hAnsi="Cambria Math"/>
                                    <w:sz w:val="21"/>
                                  </w:rPr>
                                  <m:t>e</m:t>
                                </m:r>
                              </m:sub>
                            </m:sSub>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r>
                              <w:rPr>
                                <w:rFonts w:ascii="Cambria Math" w:hAnsi="Cambria Math"/>
                                <w:sz w:val="21"/>
                              </w:rPr>
                              <m:t>×∆+</m:t>
                            </m:r>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den>
                        </m:f>
                        <m:r>
                          <w:rPr>
                            <w:rFonts w:ascii="Cambria Math" w:hAnsi="Cambria Math"/>
                            <w:sz w:val="21"/>
                          </w:rPr>
                          <m:t xml:space="preserv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w:rPr>
                            <w:rFonts w:ascii="Cambria Math" w:hAnsi="Cambria Math"/>
                            <w:sz w:val="21"/>
                          </w:rPr>
                          <m:t>∈[0,</m:t>
                        </m:r>
                        <m:f>
                          <m:fPr>
                            <m:ctrlPr>
                              <w:rPr>
                                <w:rFonts w:ascii="Cambria Math" w:hAnsi="Cambria Math"/>
                                <w:i/>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e>
                    </m:eqArr>
                  </m:e>
                </m:d>
              </m:oMath>
            </m:oMathPara>
          </w:p>
        </w:tc>
        <w:tc>
          <w:tcPr>
            <w:tcW w:w="1134" w:type="dxa"/>
            <w:vAlign w:val="center"/>
          </w:tcPr>
          <w:p w14:paraId="56BE35D5" w14:textId="26F43E8E" w:rsidR="00F15DA3" w:rsidRDefault="00F15DA3" w:rsidP="00A51BFC">
            <w:pPr>
              <w:pStyle w:val="a4"/>
              <w:spacing w:line="240" w:lineRule="auto"/>
              <w:ind w:firstLineChars="0" w:firstLine="0"/>
              <w:jc w:val="center"/>
            </w:pPr>
            <w:r>
              <w:rPr>
                <w:rFonts w:hint="eastAsia"/>
              </w:rPr>
              <w:t>(</w:t>
            </w:r>
            <w:r w:rsidR="00A51BFC">
              <w:t>4</w:t>
            </w:r>
            <w:r>
              <w:rPr>
                <w:rFonts w:hint="eastAsia"/>
              </w:rPr>
              <w:t>)</w:t>
            </w:r>
          </w:p>
        </w:tc>
        <w:tc>
          <w:tcPr>
            <w:tcW w:w="1134" w:type="dxa"/>
          </w:tcPr>
          <w:p w14:paraId="5A23FF79" w14:textId="77777777" w:rsidR="00F15DA3" w:rsidRDefault="00F15DA3" w:rsidP="00FC05F3">
            <w:pPr>
              <w:pStyle w:val="a4"/>
              <w:spacing w:line="240" w:lineRule="auto"/>
              <w:ind w:firstLineChars="0" w:firstLine="0"/>
              <w:jc w:val="center"/>
            </w:pPr>
          </w:p>
        </w:tc>
      </w:tr>
    </w:tbl>
    <w:p w14:paraId="2BBB8CAF" w14:textId="77777777" w:rsidR="00F15DA3" w:rsidRPr="00633492" w:rsidRDefault="00F15DA3" w:rsidP="00F15DA3">
      <w:pPr>
        <w:ind w:firstLineChars="0" w:firstLine="0"/>
      </w:pPr>
    </w:p>
    <w:p w14:paraId="5510E872" w14:textId="77777777" w:rsidR="00633492" w:rsidRDefault="00633492">
      <w:pPr>
        <w:widowControl/>
        <w:spacing w:line="240" w:lineRule="auto"/>
        <w:ind w:firstLineChars="0" w:firstLine="0"/>
        <w:jc w:val="left"/>
        <w:rPr>
          <w:b/>
          <w:sz w:val="21"/>
        </w:rPr>
      </w:pPr>
      <w:r>
        <w:rPr>
          <w:b/>
          <w:sz w:val="21"/>
        </w:rPr>
        <w:br w:type="page"/>
      </w:r>
    </w:p>
    <w:p w14:paraId="04B23336" w14:textId="6A443269" w:rsidR="00633492" w:rsidRPr="00633492" w:rsidRDefault="00BE603E" w:rsidP="00BE1304">
      <w:pPr>
        <w:spacing w:line="240" w:lineRule="auto"/>
        <w:ind w:firstLineChars="0" w:firstLine="0"/>
        <w:jc w:val="left"/>
        <w:rPr>
          <w:b/>
        </w:rPr>
      </w:pPr>
      <w:r>
        <w:rPr>
          <w:b/>
        </w:rPr>
        <w:lastRenderedPageBreak/>
        <w:t xml:space="preserve">Supplementary </w:t>
      </w:r>
      <w:r w:rsidR="00A51BFC">
        <w:rPr>
          <w:b/>
        </w:rPr>
        <w:t>Note</w:t>
      </w:r>
      <w:r>
        <w:rPr>
          <w:b/>
        </w:rPr>
        <w:t xml:space="preserve"> 2: </w:t>
      </w:r>
      <w:r w:rsidR="00633492" w:rsidRPr="00633492">
        <w:rPr>
          <w:rFonts w:hint="eastAsia"/>
          <w:b/>
        </w:rPr>
        <w:t xml:space="preserve">Linkage </w:t>
      </w:r>
      <w:r w:rsidR="00633492" w:rsidRPr="00633492">
        <w:rPr>
          <w:b/>
        </w:rPr>
        <w:t>between water and electricity module</w:t>
      </w:r>
      <w:r>
        <w:rPr>
          <w:b/>
        </w:rPr>
        <w:t>.</w:t>
      </w:r>
    </w:p>
    <w:p w14:paraId="43635145" w14:textId="0010034B" w:rsidR="00BE1304" w:rsidRDefault="00633492" w:rsidP="00633492">
      <w:pPr>
        <w:ind w:firstLine="480"/>
      </w:pPr>
      <w:r>
        <w:rPr>
          <w:rFonts w:hint="eastAsia"/>
        </w:rPr>
        <w:t xml:space="preserve">The linkage between water and electricity module </w:t>
      </w:r>
      <w:r>
        <w:t>is taken by setting constraints. Considering the stakeholder’s possible role in the water field (loss or gain) and electricity trade (import or export)</w:t>
      </w:r>
      <w:r w:rsidR="000B3DFE">
        <w:t xml:space="preserve">, linkages are </w:t>
      </w:r>
      <w:r w:rsidR="00452A1A">
        <w:t>described</w:t>
      </w:r>
      <w:r w:rsidR="000B3DFE">
        <w:t xml:space="preserve"> as follows:</w:t>
      </w:r>
    </w:p>
    <w:p w14:paraId="543195D0" w14:textId="77777777" w:rsidR="000B3DFE" w:rsidRDefault="000B3DFE" w:rsidP="00633492">
      <w:pPr>
        <w:ind w:firstLine="480"/>
      </w:pPr>
      <w:r>
        <w:t>From water module to electricity module:</w:t>
      </w:r>
    </w:p>
    <w:p w14:paraId="0D4D2CEC" w14:textId="04A9D136" w:rsidR="000B3DFE" w:rsidRDefault="000B3DFE" w:rsidP="000B3DFE">
      <w:pPr>
        <w:pStyle w:val="a4"/>
        <w:numPr>
          <w:ilvl w:val="0"/>
          <w:numId w:val="1"/>
        </w:numPr>
        <w:ind w:firstLineChars="0"/>
      </w:pPr>
      <w:r>
        <w:rPr>
          <w:rFonts w:hint="eastAsia"/>
        </w:rPr>
        <w:t>S</w:t>
      </w:r>
      <w:r>
        <w:t>takeholder with electricity import desire (</w:t>
      </w:r>
      <w:r w:rsidR="00452A1A">
        <w:t>i.e.,</w:t>
      </w:r>
      <w:r>
        <w:t xml:space="preserve"> demand is greater than generation) and water benefit loss in the dual cooperation</w:t>
      </w:r>
      <w:r w:rsidR="00524A03">
        <w:t>, the loss in water cooperation is the lower limit for necessary electricity import.</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0B3DFE" w14:paraId="7883B540" w14:textId="77777777" w:rsidTr="000B3DFE">
        <w:tc>
          <w:tcPr>
            <w:tcW w:w="6531" w:type="dxa"/>
            <w:vAlign w:val="center"/>
          </w:tcPr>
          <w:p w14:paraId="64C123D6" w14:textId="77777777" w:rsidR="000B3DFE" w:rsidRDefault="000B3DFE" w:rsidP="000B3DFE">
            <w:pPr>
              <w:pStyle w:val="a4"/>
              <w:spacing w:line="240" w:lineRule="auto"/>
              <w:ind w:firstLineChars="0" w:firstLine="0"/>
              <w:jc w:val="center"/>
            </w:pPr>
            <m:oMathPara>
              <m:oMath>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m:rPr>
                    <m:sty m:val="p"/>
                  </m:rP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m:rPr>
                    <m:sty m:val="p"/>
                  </m:rPr>
                  <w:rPr>
                    <w:rFonts w:ascii="Cambria Math" w:hAnsi="Cambria Math"/>
                    <w:sz w:val="21"/>
                  </w:rPr>
                  <m:t>≤</m:t>
                </m:r>
                <m:r>
                  <w:rPr>
                    <w:rFonts w:ascii="Cambria Math" w:hAnsi="Cambria Math"/>
                    <w:sz w:val="21"/>
                  </w:rPr>
                  <m:t>∆</m:t>
                </m:r>
              </m:oMath>
            </m:oMathPara>
          </w:p>
        </w:tc>
        <w:tc>
          <w:tcPr>
            <w:tcW w:w="1134" w:type="dxa"/>
            <w:vAlign w:val="center"/>
          </w:tcPr>
          <w:p w14:paraId="6088BB3B" w14:textId="61742944" w:rsidR="000B3DFE" w:rsidRDefault="000B3DFE" w:rsidP="00A51BFC">
            <w:pPr>
              <w:pStyle w:val="a4"/>
              <w:spacing w:line="240" w:lineRule="auto"/>
              <w:ind w:firstLineChars="0" w:firstLine="0"/>
              <w:jc w:val="center"/>
            </w:pPr>
            <w:r>
              <w:rPr>
                <w:rFonts w:hint="eastAsia"/>
              </w:rPr>
              <w:t>(</w:t>
            </w:r>
            <w:r w:rsidR="00A51BFC">
              <w:t>5</w:t>
            </w:r>
            <w:r>
              <w:rPr>
                <w:rFonts w:hint="eastAsia"/>
              </w:rPr>
              <w:t>)</w:t>
            </w:r>
          </w:p>
        </w:tc>
      </w:tr>
      <w:tr w:rsidR="000B3DFE" w14:paraId="03258590" w14:textId="77777777" w:rsidTr="000B3DFE">
        <w:tc>
          <w:tcPr>
            <w:tcW w:w="6531" w:type="dxa"/>
            <w:vAlign w:val="center"/>
          </w:tcPr>
          <w:p w14:paraId="6FCD4AE3" w14:textId="77777777" w:rsidR="000B3DFE" w:rsidRDefault="000B3DFE" w:rsidP="000B3DFE">
            <w:pPr>
              <w:pStyle w:val="a4"/>
              <w:spacing w:line="240" w:lineRule="auto"/>
              <w:ind w:firstLineChars="0" w:firstLine="0"/>
              <w:jc w:val="center"/>
            </w:pPr>
            <m:oMathPara>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m:rPr>
                    <m:sty m:val="p"/>
                  </m:rPr>
                  <w:rPr>
                    <w:rFonts w:ascii="Cambria Math" w:hAnsi="Cambria Math"/>
                    <w:sz w:val="21"/>
                  </w:rPr>
                  <m:t xml:space="preserve">≤0, i.e.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m:rPr>
                    <m:sty m:val="p"/>
                  </m:rPr>
                  <w:rPr>
                    <w:rFonts w:ascii="Cambria Math" w:hAnsi="Cambria Math"/>
                    <w:sz w:val="21"/>
                  </w:rPr>
                  <m:t>=0</m:t>
                </m:r>
              </m:oMath>
            </m:oMathPara>
          </w:p>
        </w:tc>
        <w:tc>
          <w:tcPr>
            <w:tcW w:w="1134" w:type="dxa"/>
            <w:vAlign w:val="center"/>
          </w:tcPr>
          <w:p w14:paraId="31BEE35F" w14:textId="3CE5689D" w:rsidR="000B3DFE" w:rsidRDefault="000B3DFE" w:rsidP="00A51BFC">
            <w:pPr>
              <w:pStyle w:val="a4"/>
              <w:spacing w:line="240" w:lineRule="auto"/>
              <w:ind w:firstLineChars="0" w:firstLine="0"/>
              <w:jc w:val="center"/>
            </w:pPr>
            <w:r>
              <w:rPr>
                <w:rFonts w:hint="eastAsia"/>
              </w:rPr>
              <w:t>(</w:t>
            </w:r>
            <w:r w:rsidR="00A51BFC">
              <w:t>6</w:t>
            </w:r>
            <w:r>
              <w:rPr>
                <w:rFonts w:hint="eastAsia"/>
              </w:rPr>
              <w:t>)</w:t>
            </w:r>
          </w:p>
        </w:tc>
      </w:tr>
    </w:tbl>
    <w:p w14:paraId="518194D1" w14:textId="2C693ABB" w:rsidR="000B3DFE" w:rsidRDefault="000B3DFE" w:rsidP="000B3DFE">
      <w:pPr>
        <w:pStyle w:val="a4"/>
        <w:numPr>
          <w:ilvl w:val="0"/>
          <w:numId w:val="1"/>
        </w:numPr>
        <w:ind w:firstLineChars="0"/>
      </w:pPr>
      <w:r>
        <w:rPr>
          <w:rFonts w:hint="eastAsia"/>
        </w:rPr>
        <w:t xml:space="preserve">Stakeholder with </w:t>
      </w:r>
      <w:r>
        <w:t>electricity</w:t>
      </w:r>
      <w:r>
        <w:rPr>
          <w:rFonts w:hint="eastAsia"/>
        </w:rPr>
        <w:t xml:space="preserve"> </w:t>
      </w:r>
      <w:r>
        <w:t>export desire (</w:t>
      </w:r>
      <w:r w:rsidR="00452A1A">
        <w:t>i.e.,</w:t>
      </w:r>
      <w:r>
        <w:t xml:space="preserve"> demand is less than generation) and water benefit </w:t>
      </w:r>
      <w:r w:rsidR="00524A03">
        <w:t>loss in the dual cooperation, its loss in water cooperation is the lower limit for necessary electricity export.</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0B3DFE" w14:paraId="6836E52B" w14:textId="77777777" w:rsidTr="00FC05F3">
        <w:tc>
          <w:tcPr>
            <w:tcW w:w="6531" w:type="dxa"/>
            <w:vAlign w:val="center"/>
          </w:tcPr>
          <w:p w14:paraId="7336F5E9" w14:textId="77777777" w:rsidR="000B3DFE" w:rsidRDefault="000B3DFE" w:rsidP="000B3DFE">
            <w:pPr>
              <w:pStyle w:val="a4"/>
              <w:spacing w:line="240" w:lineRule="auto"/>
              <w:ind w:firstLineChars="0" w:firstLine="0"/>
              <w:jc w:val="center"/>
            </w:pPr>
            <m:oMathPara>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m:rPr>
                    <m:sty m:val="p"/>
                  </m:rPr>
                  <w:rPr>
                    <w:rFonts w:ascii="Cambria Math" w:hAnsi="Cambria Math"/>
                    <w:sz w:val="21"/>
                  </w:rPr>
                  <m:t xml:space="preserve">≤0, i.e. </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m:rPr>
                    <m:sty m:val="p"/>
                  </m:rPr>
                  <w:rPr>
                    <w:rFonts w:ascii="Cambria Math" w:hAnsi="Cambria Math"/>
                    <w:sz w:val="21"/>
                  </w:rPr>
                  <m:t>=0</m:t>
                </m:r>
              </m:oMath>
            </m:oMathPara>
          </w:p>
        </w:tc>
        <w:tc>
          <w:tcPr>
            <w:tcW w:w="1134" w:type="dxa"/>
            <w:vAlign w:val="center"/>
          </w:tcPr>
          <w:p w14:paraId="1E84D047" w14:textId="24EA9B45" w:rsidR="000B3DFE" w:rsidRDefault="000B3DFE" w:rsidP="00A51BFC">
            <w:pPr>
              <w:pStyle w:val="a4"/>
              <w:spacing w:line="240" w:lineRule="auto"/>
              <w:ind w:firstLineChars="0" w:firstLine="0"/>
              <w:jc w:val="center"/>
            </w:pPr>
            <w:r>
              <w:rPr>
                <w:rFonts w:hint="eastAsia"/>
              </w:rPr>
              <w:t>(</w:t>
            </w:r>
            <w:r w:rsidR="00A51BFC">
              <w:t>7</w:t>
            </w:r>
            <w:r>
              <w:rPr>
                <w:rFonts w:hint="eastAsia"/>
              </w:rPr>
              <w:t>)</w:t>
            </w:r>
          </w:p>
        </w:tc>
      </w:tr>
      <w:tr w:rsidR="000B3DFE" w14:paraId="4173E245" w14:textId="77777777" w:rsidTr="00FC05F3">
        <w:tc>
          <w:tcPr>
            <w:tcW w:w="6531" w:type="dxa"/>
            <w:vAlign w:val="center"/>
          </w:tcPr>
          <w:p w14:paraId="1D02975D" w14:textId="77777777" w:rsidR="000B3DFE" w:rsidRDefault="000B3DFE" w:rsidP="000B3DFE">
            <w:pPr>
              <w:pStyle w:val="a4"/>
              <w:spacing w:line="240" w:lineRule="auto"/>
              <w:ind w:firstLineChars="0" w:firstLine="0"/>
              <w:jc w:val="center"/>
            </w:pPr>
            <m:oMathPara>
              <m:oMath>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r>
                      <w:rPr>
                        <w:rFonts w:ascii="Cambria Math" w:hAnsi="Cambria Math"/>
                        <w:sz w:val="21"/>
                      </w:rPr>
                      <m:t>n</m:t>
                    </m:r>
                    <m:sSub>
                      <m:sSubPr>
                        <m:ctrlPr>
                          <w:rPr>
                            <w:rFonts w:ascii="Cambria Math" w:hAnsi="Cambria Math"/>
                            <w:i/>
                            <w:sz w:val="21"/>
                          </w:rPr>
                        </m:ctrlPr>
                      </m:sSubPr>
                      <m:e>
                        <m:r>
                          <w:rPr>
                            <w:rFonts w:ascii="Cambria Math" w:hAnsi="Cambria Math"/>
                            <w:sz w:val="21"/>
                          </w:rPr>
                          <m:t>p</m:t>
                        </m:r>
                      </m:e>
                      <m:sub>
                        <m:r>
                          <w:rPr>
                            <w:rFonts w:ascii="Cambria Math" w:hAnsi="Cambria Math"/>
                            <w:sz w:val="21"/>
                          </w:rPr>
                          <m:t>e,i</m:t>
                        </m:r>
                      </m:sub>
                    </m:sSub>
                  </m:den>
                </m:f>
                <m:r>
                  <m:rPr>
                    <m:sty m:val="p"/>
                  </m:rPr>
                  <w:rPr>
                    <w:rFonts w:ascii="Cambria Math" w:hAnsi="Cambria Math"/>
                    <w:sz w:val="21"/>
                  </w:rPr>
                  <m:t>≤</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m:rPr>
                    <m:sty m:val="p"/>
                  </m:rPr>
                  <w:rPr>
                    <w:rFonts w:ascii="Cambria Math" w:hAnsi="Cambria Math"/>
                    <w:sz w:val="21"/>
                  </w:rPr>
                  <m:t>≤</m:t>
                </m:r>
                <m:r>
                  <w:rPr>
                    <w:rFonts w:ascii="Cambria Math" w:hAnsi="Cambria Math"/>
                    <w:sz w:val="21"/>
                  </w:rPr>
                  <m:t>∆</m:t>
                </m:r>
              </m:oMath>
            </m:oMathPara>
          </w:p>
        </w:tc>
        <w:tc>
          <w:tcPr>
            <w:tcW w:w="1134" w:type="dxa"/>
            <w:vAlign w:val="center"/>
          </w:tcPr>
          <w:p w14:paraId="07757E1D" w14:textId="38B240B7" w:rsidR="000B3DFE" w:rsidRDefault="000B3DFE" w:rsidP="00A51BFC">
            <w:pPr>
              <w:pStyle w:val="a4"/>
              <w:spacing w:line="240" w:lineRule="auto"/>
              <w:ind w:firstLineChars="0" w:firstLine="0"/>
              <w:jc w:val="center"/>
            </w:pPr>
            <w:r>
              <w:rPr>
                <w:rFonts w:hint="eastAsia"/>
              </w:rPr>
              <w:t>(</w:t>
            </w:r>
            <w:r w:rsidR="00A51BFC">
              <w:t>8</w:t>
            </w:r>
            <w:r>
              <w:rPr>
                <w:rFonts w:hint="eastAsia"/>
              </w:rPr>
              <w:t>)</w:t>
            </w:r>
          </w:p>
        </w:tc>
      </w:tr>
    </w:tbl>
    <w:p w14:paraId="15BC52B3" w14:textId="5CFC00FD" w:rsidR="000B3DFE" w:rsidRDefault="00524A03" w:rsidP="00524A03">
      <w:pPr>
        <w:pStyle w:val="a4"/>
        <w:numPr>
          <w:ilvl w:val="0"/>
          <w:numId w:val="1"/>
        </w:numPr>
        <w:ind w:firstLineChars="0"/>
      </w:pPr>
      <w:r>
        <w:rPr>
          <w:rFonts w:hint="eastAsia"/>
        </w:rPr>
        <w:t>Stakeholder with electricity impo</w:t>
      </w:r>
      <w:r>
        <w:t>rt desire (</w:t>
      </w:r>
      <w:r w:rsidR="00452A1A">
        <w:t>i.e.,</w:t>
      </w:r>
      <w:r>
        <w:t xml:space="preserve"> demand is greater than generation) and water benefit gain in the dual cooperation, it can sustain additional </w:t>
      </w:r>
      <w:r w:rsidR="004B307A">
        <w:t xml:space="preserve">import or </w:t>
      </w:r>
      <w:r w:rsidR="00450D16">
        <w:t xml:space="preserve">export, and this part </w:t>
      </w:r>
      <w:r w:rsidR="00416020">
        <w:t>should not exceed its benefits gain in the water field.</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524A03" w14:paraId="5198874B" w14:textId="77777777" w:rsidTr="00FC05F3">
        <w:tc>
          <w:tcPr>
            <w:tcW w:w="6531" w:type="dxa"/>
            <w:vAlign w:val="center"/>
          </w:tcPr>
          <w:p w14:paraId="74BD6A80" w14:textId="77777777" w:rsidR="00524A03" w:rsidRPr="00524A03" w:rsidRDefault="00524A03" w:rsidP="00524A03">
            <w:pPr>
              <w:spacing w:line="240" w:lineRule="auto"/>
              <w:ind w:left="480" w:firstLineChars="0" w:firstLine="0"/>
              <w:rPr>
                <w:sz w:val="21"/>
              </w:rPr>
            </w:pPr>
            <m:oMathPara>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r>
                      <w:rPr>
                        <w:rFonts w:ascii="Cambria Math" w:hAnsi="Cambria Math"/>
                        <w:sz w:val="21"/>
                      </w:rPr>
                      <m:t xml:space="preserve"> </m:t>
                    </m:r>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r>
                  <w:rPr>
                    <w:rFonts w:ascii="Cambria Math" w:hAnsi="Cambria Math"/>
                    <w:sz w:val="21"/>
                  </w:rPr>
                  <m:t>+∆</m:t>
                </m:r>
              </m:oMath>
            </m:oMathPara>
          </w:p>
        </w:tc>
        <w:tc>
          <w:tcPr>
            <w:tcW w:w="1134" w:type="dxa"/>
            <w:vAlign w:val="center"/>
          </w:tcPr>
          <w:p w14:paraId="21ABA9A9" w14:textId="274398F7" w:rsidR="00524A03" w:rsidRDefault="00A51BFC" w:rsidP="00524A03">
            <w:pPr>
              <w:pStyle w:val="a4"/>
              <w:spacing w:line="240" w:lineRule="auto"/>
              <w:ind w:firstLineChars="0" w:firstLine="0"/>
              <w:jc w:val="center"/>
            </w:pPr>
            <w:r>
              <w:t>(9</w:t>
            </w:r>
            <w:r w:rsidR="00524A03">
              <w:rPr>
                <w:rFonts w:hint="eastAsia"/>
              </w:rPr>
              <w:t>)</w:t>
            </w:r>
          </w:p>
        </w:tc>
      </w:tr>
      <w:tr w:rsidR="00524A03" w14:paraId="1655392C" w14:textId="77777777" w:rsidTr="00FC05F3">
        <w:tc>
          <w:tcPr>
            <w:tcW w:w="6531" w:type="dxa"/>
            <w:vAlign w:val="center"/>
          </w:tcPr>
          <w:p w14:paraId="638B2C59" w14:textId="77777777" w:rsidR="00524A03" w:rsidRDefault="00524A03" w:rsidP="00FC05F3">
            <w:pPr>
              <w:pStyle w:val="a4"/>
              <w:spacing w:line="240" w:lineRule="auto"/>
              <w:ind w:firstLineChars="0" w:firstLine="0"/>
              <w:jc w:val="center"/>
            </w:pPr>
            <m:oMathPara>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r>
                      <w:rPr>
                        <w:rFonts w:ascii="Cambria Math" w:hAnsi="Cambria Math"/>
                        <w:sz w:val="21"/>
                      </w:rPr>
                      <m:t>n</m:t>
                    </m:r>
                    <m:sSub>
                      <m:sSubPr>
                        <m:ctrlPr>
                          <w:rPr>
                            <w:rFonts w:ascii="Cambria Math" w:hAnsi="Cambria Math"/>
                            <w:i/>
                            <w:sz w:val="21"/>
                          </w:rPr>
                        </m:ctrlPr>
                      </m:sSubPr>
                      <m:e>
                        <m:r>
                          <w:rPr>
                            <w:rFonts w:ascii="Cambria Math" w:hAnsi="Cambria Math"/>
                            <w:sz w:val="21"/>
                          </w:rPr>
                          <m:t>p</m:t>
                        </m:r>
                      </m:e>
                      <m:sub>
                        <m:r>
                          <w:rPr>
                            <w:rFonts w:ascii="Cambria Math" w:hAnsi="Cambria Math"/>
                            <w:sz w:val="21"/>
                          </w:rPr>
                          <m:t>e,i</m:t>
                        </m:r>
                      </m:sub>
                    </m:sSub>
                  </m:den>
                </m:f>
              </m:oMath>
            </m:oMathPara>
          </w:p>
        </w:tc>
        <w:tc>
          <w:tcPr>
            <w:tcW w:w="1134" w:type="dxa"/>
            <w:vAlign w:val="center"/>
          </w:tcPr>
          <w:p w14:paraId="6D3145F2" w14:textId="4C95BC0D" w:rsidR="00524A03" w:rsidRDefault="00524A03" w:rsidP="00FC05F3">
            <w:pPr>
              <w:pStyle w:val="a4"/>
              <w:spacing w:line="240" w:lineRule="auto"/>
              <w:ind w:firstLineChars="0" w:firstLine="0"/>
              <w:jc w:val="center"/>
            </w:pPr>
            <w:r>
              <w:rPr>
                <w:rFonts w:hint="eastAsia"/>
              </w:rPr>
              <w:t>(</w:t>
            </w:r>
            <w:r w:rsidR="00A51BFC">
              <w:t>10</w:t>
            </w:r>
            <w:r>
              <w:rPr>
                <w:rFonts w:hint="eastAsia"/>
              </w:rPr>
              <w:t>)</w:t>
            </w:r>
          </w:p>
        </w:tc>
      </w:tr>
    </w:tbl>
    <w:p w14:paraId="5E7F01F5" w14:textId="5594D960" w:rsidR="00524A03" w:rsidRDefault="00524A03" w:rsidP="00524A03">
      <w:pPr>
        <w:pStyle w:val="a4"/>
        <w:numPr>
          <w:ilvl w:val="0"/>
          <w:numId w:val="1"/>
        </w:numPr>
        <w:ind w:firstLineChars="0"/>
      </w:pPr>
      <w:r>
        <w:rPr>
          <w:rFonts w:hint="eastAsia"/>
        </w:rPr>
        <w:t>Stakeholder with electricity export desire (</w:t>
      </w:r>
      <w:r w:rsidR="00452A1A">
        <w:t>i.e.,</w:t>
      </w:r>
      <w:r>
        <w:t xml:space="preserve"> demand is less than generation</w:t>
      </w:r>
      <w:r>
        <w:rPr>
          <w:rFonts w:hint="eastAsia"/>
        </w:rPr>
        <w:t>)</w:t>
      </w:r>
      <w:r>
        <w:t xml:space="preserve"> and water benef</w:t>
      </w:r>
      <w:r w:rsidR="00450D16">
        <w:t>it gain in the dual cooperation, it can sustain additional export or import, and this part should not exceed its benefits gain in the water field.</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524A03" w14:paraId="123CB1F7" w14:textId="77777777" w:rsidTr="00FC05F3">
        <w:tc>
          <w:tcPr>
            <w:tcW w:w="6531" w:type="dxa"/>
            <w:vAlign w:val="center"/>
          </w:tcPr>
          <w:p w14:paraId="497AFDF4" w14:textId="77777777" w:rsidR="00524A03" w:rsidRPr="00524A03" w:rsidRDefault="00524A03" w:rsidP="00524A03">
            <w:pPr>
              <w:spacing w:line="240" w:lineRule="auto"/>
              <w:ind w:left="480" w:firstLineChars="0" w:firstLine="0"/>
              <w:rPr>
                <w:sz w:val="21"/>
              </w:rPr>
            </w:pPr>
            <m:oMathPara>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im</m:t>
                    </m:r>
                  </m:sup>
                </m:sSubSup>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sSub>
                      <m:sSubPr>
                        <m:ctrlPr>
                          <w:rPr>
                            <w:rFonts w:ascii="Cambria Math" w:hAnsi="Cambria Math"/>
                            <w:i/>
                            <w:sz w:val="21"/>
                          </w:rPr>
                        </m:ctrlPr>
                      </m:sSubPr>
                      <m:e>
                        <m:r>
                          <w:rPr>
                            <w:rFonts w:ascii="Cambria Math" w:hAnsi="Cambria Math"/>
                            <w:sz w:val="21"/>
                          </w:rPr>
                          <m:t>np</m:t>
                        </m:r>
                      </m:e>
                      <m:sub>
                        <m:r>
                          <w:rPr>
                            <w:rFonts w:ascii="Cambria Math" w:hAnsi="Cambria Math"/>
                            <w:sz w:val="21"/>
                          </w:rPr>
                          <m:t>e,i</m:t>
                        </m:r>
                      </m:sub>
                    </m:sSub>
                  </m:den>
                </m:f>
              </m:oMath>
            </m:oMathPara>
          </w:p>
        </w:tc>
        <w:tc>
          <w:tcPr>
            <w:tcW w:w="1134" w:type="dxa"/>
            <w:vAlign w:val="center"/>
          </w:tcPr>
          <w:p w14:paraId="0E6D4D57" w14:textId="0A031CA1" w:rsidR="00524A03" w:rsidRDefault="00524A03" w:rsidP="00A51BFC">
            <w:pPr>
              <w:pStyle w:val="a4"/>
              <w:spacing w:line="240" w:lineRule="auto"/>
              <w:ind w:firstLineChars="0" w:firstLine="0"/>
              <w:jc w:val="center"/>
            </w:pPr>
            <w:r>
              <w:rPr>
                <w:rFonts w:hint="eastAsia"/>
              </w:rPr>
              <w:t>(</w:t>
            </w:r>
            <w:r w:rsidR="00A51BFC">
              <w:t>11</w:t>
            </w:r>
            <w:r>
              <w:rPr>
                <w:rFonts w:hint="eastAsia"/>
              </w:rPr>
              <w:t>)</w:t>
            </w:r>
          </w:p>
        </w:tc>
      </w:tr>
      <w:tr w:rsidR="00524A03" w14:paraId="7986F6DB" w14:textId="77777777" w:rsidTr="00524A03">
        <w:tc>
          <w:tcPr>
            <w:tcW w:w="6531" w:type="dxa"/>
            <w:vAlign w:val="center"/>
          </w:tcPr>
          <w:p w14:paraId="3D83FC6A" w14:textId="77777777" w:rsidR="00524A03" w:rsidRPr="00524A03" w:rsidRDefault="000B0697" w:rsidP="000B0697">
            <w:pPr>
              <w:pStyle w:val="a4"/>
              <w:spacing w:line="240" w:lineRule="auto"/>
              <w:ind w:firstLineChars="0" w:firstLine="0"/>
              <w:jc w:val="center"/>
            </w:pPr>
            <m:oMathPara>
              <m:oMathParaPr>
                <m:jc m:val="center"/>
              </m:oMathParaPr>
              <m:oMath>
                <m:r>
                  <m:rPr>
                    <m:sty m:val="p"/>
                  </m:rPr>
                  <w:rPr>
                    <w:rFonts w:ascii="Cambria Math" w:hAnsi="Cambria Math"/>
                    <w:sz w:val="21"/>
                  </w:rPr>
                  <m:t>0≤</m:t>
                </m:r>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i</m:t>
                    </m:r>
                  </m:sub>
                  <m:sup>
                    <m:r>
                      <w:rPr>
                        <w:rFonts w:ascii="Cambria Math" w:hAnsi="Cambria Math"/>
                        <w:sz w:val="21"/>
                      </w:rPr>
                      <m:t>ex</m:t>
                    </m:r>
                  </m:sup>
                </m:sSubSup>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r>
                      <w:rPr>
                        <w:rFonts w:ascii="Cambria Math" w:hAnsi="Cambria Math"/>
                        <w:sz w:val="21"/>
                      </w:rPr>
                      <m:t xml:space="preserve"> </m:t>
                    </m:r>
                  </m:num>
                  <m:den>
                    <m:r>
                      <w:rPr>
                        <w:rFonts w:ascii="Cambria Math" w:hAnsi="Cambria Math"/>
                        <w:sz w:val="21"/>
                      </w:rPr>
                      <m:t>n</m:t>
                    </m:r>
                    <m:sSub>
                      <m:sSubPr>
                        <m:ctrlPr>
                          <w:rPr>
                            <w:rFonts w:ascii="Cambria Math" w:hAnsi="Cambria Math"/>
                            <w:i/>
                            <w:sz w:val="21"/>
                          </w:rPr>
                        </m:ctrlPr>
                      </m:sSubPr>
                      <m:e>
                        <m:r>
                          <w:rPr>
                            <w:rFonts w:ascii="Cambria Math" w:hAnsi="Cambria Math"/>
                            <w:sz w:val="21"/>
                          </w:rPr>
                          <m:t>p</m:t>
                        </m:r>
                      </m:e>
                      <m:sub>
                        <m:r>
                          <w:rPr>
                            <w:rFonts w:ascii="Cambria Math" w:hAnsi="Cambria Math"/>
                            <w:sz w:val="21"/>
                          </w:rPr>
                          <m:t>e,i</m:t>
                        </m:r>
                      </m:sub>
                    </m:sSub>
                  </m:den>
                </m:f>
                <m:r>
                  <w:rPr>
                    <w:rFonts w:ascii="Cambria Math" w:hAnsi="Cambria Math"/>
                    <w:sz w:val="21"/>
                  </w:rPr>
                  <m:t>+∆</m:t>
                </m:r>
              </m:oMath>
            </m:oMathPara>
          </w:p>
        </w:tc>
        <w:tc>
          <w:tcPr>
            <w:tcW w:w="1134" w:type="dxa"/>
            <w:vAlign w:val="center"/>
          </w:tcPr>
          <w:p w14:paraId="0B774461" w14:textId="16539533" w:rsidR="00524A03" w:rsidRDefault="00524A03" w:rsidP="00A51BFC">
            <w:pPr>
              <w:pStyle w:val="a4"/>
              <w:spacing w:line="240" w:lineRule="auto"/>
              <w:ind w:firstLineChars="0" w:firstLine="0"/>
              <w:jc w:val="center"/>
            </w:pPr>
            <w:r>
              <w:rPr>
                <w:rFonts w:hint="eastAsia"/>
              </w:rPr>
              <w:t>(</w:t>
            </w:r>
            <w:r w:rsidR="00A51BFC">
              <w:t>12</w:t>
            </w:r>
            <w:r>
              <w:rPr>
                <w:rFonts w:hint="eastAsia"/>
              </w:rPr>
              <w:t>)</w:t>
            </w:r>
          </w:p>
        </w:tc>
      </w:tr>
    </w:tbl>
    <w:p w14:paraId="49B9238C" w14:textId="77777777" w:rsidR="00450D16" w:rsidRDefault="00450D16" w:rsidP="00450D16">
      <w:pPr>
        <w:ind w:firstLine="480"/>
        <w:rPr>
          <w:rFonts w:ascii="Cambria Math" w:hAnsi="Cambria Math"/>
          <w:sz w:val="21"/>
        </w:rPr>
      </w:pPr>
      <w:r>
        <w:t>W</w:t>
      </w:r>
      <w:r>
        <w:rPr>
          <w:rFonts w:hint="eastAsia"/>
        </w:rPr>
        <w:t xml:space="preserve">here </w:t>
      </w:r>
      <m:oMath>
        <m:r>
          <w:rPr>
            <w:rFonts w:ascii="Cambria Math" w:hAnsi="Cambria Math"/>
          </w:rPr>
          <m:t>∆</m:t>
        </m:r>
      </m:oMath>
      <w:r>
        <w:rPr>
          <w:rFonts w:hint="eastAsia"/>
        </w:rPr>
        <w:t xml:space="preserve"> refers to the difference between the demand and generation, when demand is greater than generation, </w:t>
      </w:r>
      <w:r>
        <w:t xml:space="preserve">means electricity deficit, </w:t>
      </w:r>
      <m:oMath>
        <m:r>
          <m:rPr>
            <m:sty m:val="p"/>
          </m:rPr>
          <w:rPr>
            <w:rFonts w:ascii="Cambria Math" w:hAnsi="Cambria Math"/>
          </w:rPr>
          <m:t>∆</m:t>
        </m:r>
      </m:oMath>
      <w:r>
        <w:rPr>
          <w:rFonts w:hint="eastAsia"/>
        </w:rPr>
        <w:t xml:space="preserve"> = demand - generation; also when demand is less than generation, </w:t>
      </w:r>
      <w:r>
        <w:t xml:space="preserve">means electricity surplus, </w:t>
      </w:r>
      <m:oMath>
        <m:r>
          <m:rPr>
            <m:sty m:val="p"/>
          </m:rPr>
          <w:rPr>
            <w:rFonts w:ascii="Cambria Math" w:hAnsi="Cambria Math"/>
          </w:rPr>
          <m:t>∆</m:t>
        </m:r>
      </m:oMath>
      <w:r>
        <w:rPr>
          <w:rFonts w:hint="eastAsia"/>
        </w:rPr>
        <w:t xml:space="preserve"> = generation - deman</w:t>
      </w:r>
      <w:r w:rsidRPr="00450D16">
        <w:rPr>
          <w:rFonts w:hint="eastAsia"/>
        </w:rPr>
        <w:t>d;</w:t>
      </w:r>
      <w:r w:rsidRPr="00450D16">
        <w:t xml:space="preserve"> </w:t>
      </w:r>
      <m:oMath>
        <m:sSubSup>
          <m:sSubSupPr>
            <m:ctrlPr>
              <w:rPr>
                <w:rFonts w:ascii="Cambria Math" w:hAnsi="Cambria Math"/>
              </w:rPr>
            </m:ctrlPr>
          </m:sSubSupPr>
          <m:e>
            <m:r>
              <w:rPr>
                <w:rFonts w:ascii="Cambria Math" w:hAnsi="Cambria Math"/>
              </w:rPr>
              <m:t>B</m:t>
            </m:r>
          </m:e>
          <m:sub>
            <m:r>
              <w:rPr>
                <w:rFonts w:ascii="Cambria Math" w:hAnsi="Cambria Math"/>
              </w:rPr>
              <m:t>i</m:t>
            </m:r>
          </m:sub>
          <m:sup>
            <m:r>
              <w:rPr>
                <w:rFonts w:ascii="Cambria Math" w:hAnsi="Cambria Math"/>
              </w:rPr>
              <m:t>w</m:t>
            </m:r>
          </m:sup>
        </m:sSubSup>
      </m:oMath>
      <w:r w:rsidRPr="00450D16">
        <w:rPr>
          <w:rFonts w:hint="eastAsia"/>
        </w:rPr>
        <w:t xml:space="preserve"> re</w:t>
      </w:r>
      <w:r w:rsidR="004127E8">
        <w:rPr>
          <w:rFonts w:hint="eastAsia"/>
        </w:rPr>
        <w:t xml:space="preserve">presents the </w:t>
      </w:r>
      <w:r w:rsidRPr="00450D16">
        <w:t xml:space="preserve">benefits of stakeholder </w:t>
      </w:r>
      <m:oMath>
        <m:r>
          <w:rPr>
            <w:rFonts w:ascii="Cambria Math" w:hAnsi="Cambria Math"/>
          </w:rPr>
          <m:t>i</m:t>
        </m:r>
      </m:oMath>
      <w:r w:rsidRPr="00450D16">
        <w:rPr>
          <w:rFonts w:hint="eastAsia"/>
        </w:rPr>
        <w:t xml:space="preserve"> brought by water cooperation</w:t>
      </w:r>
      <w:r w:rsidR="004127E8">
        <w:t xml:space="preserve">, </w:t>
      </w:r>
      <w:r w:rsidR="004127E8">
        <w:lastRenderedPageBreak/>
        <w:t>the value is negative when benefit loss</w:t>
      </w:r>
      <w:r w:rsidRPr="00450D16">
        <w:rPr>
          <w:rFonts w:hint="eastAsia"/>
        </w:rPr>
        <w:t>;</w:t>
      </w:r>
      <w:r w:rsidRPr="00450D16">
        <w:t xml:space="preserve"> </w:t>
      </w:r>
      <m:oMath>
        <m:sSub>
          <m:sSubPr>
            <m:ctrlPr>
              <w:rPr>
                <w:rFonts w:ascii="Cambria Math" w:hAnsi="Cambria Math"/>
              </w:rPr>
            </m:ctrlPr>
          </m:sSubPr>
          <m:e>
            <m:r>
              <w:rPr>
                <w:rFonts w:ascii="Cambria Math" w:hAnsi="Cambria Math"/>
              </w:rPr>
              <m:t>np</m:t>
            </m:r>
          </m:e>
          <m:sub>
            <m:r>
              <w:rPr>
                <w:rFonts w:ascii="Cambria Math" w:hAnsi="Cambria Math"/>
              </w:rPr>
              <m:t>e,i</m:t>
            </m:r>
          </m:sub>
        </m:sSub>
      </m:oMath>
      <w:r w:rsidRPr="00450D16">
        <w:rPr>
          <w:rFonts w:hint="eastAsia"/>
        </w:rPr>
        <w:t xml:space="preserve"> represents the </w:t>
      </w:r>
      <w:r w:rsidRPr="00450D16">
        <w:t xml:space="preserve">net </w:t>
      </w:r>
      <w:r w:rsidRPr="00450D16">
        <w:rPr>
          <w:rFonts w:hint="eastAsia"/>
        </w:rPr>
        <w:t xml:space="preserve">electricity price of </w:t>
      </w:r>
      <w:r w:rsidRPr="00450D16">
        <w:t>stakeholder</w:t>
      </w:r>
      <w:r w:rsidRPr="00450D16">
        <w:rPr>
          <w:rFonts w:hint="eastAsia"/>
        </w:rPr>
        <w:t xml:space="preserve"> </w:t>
      </w:r>
      <m:oMath>
        <m:r>
          <w:rPr>
            <w:rFonts w:ascii="Cambria Math" w:hAnsi="Cambria Math"/>
          </w:rPr>
          <m:t>i</m:t>
        </m:r>
      </m:oMath>
      <w:r w:rsidRPr="00450D16">
        <w:rPr>
          <w:rFonts w:hint="eastAsia"/>
        </w:rPr>
        <w:t xml:space="preserve">, </w:t>
      </w:r>
      <w:r w:rsidRPr="00450D16">
        <w:t xml:space="preserve">it equals the electricity economic price minus the costs that the stakeholder must afford; </w:t>
      </w:r>
      <m:oMath>
        <m:sSubSup>
          <m:sSubSupPr>
            <m:ctrlPr>
              <w:rPr>
                <w:rFonts w:ascii="Cambria Math" w:hAnsi="Cambria Math"/>
              </w:rPr>
            </m:ctrlPr>
          </m:sSubSupPr>
          <m:e>
            <m:r>
              <w:rPr>
                <w:rFonts w:ascii="Cambria Math" w:hAnsi="Cambria Math"/>
              </w:rPr>
              <m:t>T</m:t>
            </m:r>
          </m:e>
          <m:sub>
            <m:r>
              <w:rPr>
                <w:rFonts w:ascii="Cambria Math" w:hAnsi="Cambria Math"/>
              </w:rPr>
              <m:t>i</m:t>
            </m:r>
          </m:sub>
          <m:sup>
            <m:r>
              <w:rPr>
                <w:rFonts w:ascii="Cambria Math" w:hAnsi="Cambria Math"/>
              </w:rPr>
              <m:t>im</m:t>
            </m:r>
          </m:sup>
        </m:sSubSup>
      </m:oMath>
      <w:r w:rsidRPr="00450D16">
        <w:rPr>
          <w:rFonts w:hint="eastAsia"/>
        </w:rP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i</m:t>
            </m:r>
          </m:sub>
          <m:sup>
            <m:r>
              <w:rPr>
                <w:rFonts w:ascii="Cambria Math" w:hAnsi="Cambria Math"/>
              </w:rPr>
              <m:t>ex</m:t>
            </m:r>
          </m:sup>
        </m:sSubSup>
      </m:oMath>
      <w:r w:rsidRPr="00450D16">
        <w:rPr>
          <w:rFonts w:hint="eastAsia"/>
        </w:rPr>
        <w:t xml:space="preserve"> represents the </w:t>
      </w:r>
      <w:r w:rsidRPr="00450D16">
        <w:t xml:space="preserve">import and export </w:t>
      </w:r>
      <w:r w:rsidRPr="00450D16">
        <w:rPr>
          <w:rFonts w:hint="eastAsia"/>
        </w:rPr>
        <w:t>electricity trade volume</w:t>
      </w:r>
      <w:r w:rsidRPr="00450D16">
        <w:t xml:space="preserve"> by stakeholder</w:t>
      </w:r>
      <m:oMath>
        <m:r>
          <w:rPr>
            <w:rFonts w:ascii="Cambria Math" w:hAnsi="Cambria Math"/>
          </w:rPr>
          <m:t>i</m:t>
        </m:r>
      </m:oMath>
      <w:r w:rsidRPr="00450D16">
        <w:rPr>
          <w:rFonts w:hint="eastAsia"/>
        </w:rPr>
        <w:t>;</w:t>
      </w:r>
      <w:r w:rsidRPr="00450D16">
        <w:t xml:space="preserve"> </w:t>
      </w:r>
      <m:oMath>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 xml:space="preserve"> ∈</m:t>
        </m:r>
        <m:r>
          <w:rPr>
            <w:rFonts w:ascii="Cambria Math" w:hAnsi="Cambria Math"/>
          </w:rPr>
          <m:t>N, N=1,2,⋯,6</m:t>
        </m:r>
      </m:oMath>
      <w:r w:rsidRPr="00450D16">
        <w:rPr>
          <w:rFonts w:hint="eastAsia"/>
        </w:rPr>
        <w:t>.</w:t>
      </w:r>
    </w:p>
    <w:p w14:paraId="5E959297" w14:textId="77777777" w:rsidR="00450D16" w:rsidRDefault="00450D16" w:rsidP="004663C4">
      <w:pPr>
        <w:ind w:firstLine="480"/>
      </w:pPr>
      <w:r>
        <w:t>From ele</w:t>
      </w:r>
      <w:r w:rsidR="004663C4">
        <w:t xml:space="preserve">ctricity module to water module, </w:t>
      </w:r>
      <w:r w:rsidR="004663C4">
        <w:rPr>
          <w:rFonts w:hint="eastAsia"/>
        </w:rPr>
        <w:t>Stakeholder</w:t>
      </w:r>
      <w:r w:rsidR="004663C4">
        <w:t>’s benefit loss in water would not be accepted when it exceeds electricity trade compensation capacity.</w:t>
      </w:r>
    </w:p>
    <w:p w14:paraId="2B2597CE" w14:textId="77777777" w:rsidR="004663C4" w:rsidRDefault="00BE603E" w:rsidP="004663C4">
      <w:pPr>
        <w:pStyle w:val="a4"/>
        <w:numPr>
          <w:ilvl w:val="0"/>
          <w:numId w:val="5"/>
        </w:numPr>
        <w:ind w:firstLineChars="0"/>
      </w:pPr>
      <w:r>
        <w:rPr>
          <w:rFonts w:hint="eastAsia"/>
        </w:rPr>
        <w:t>Stakeholder with electricity import desire (</w:t>
      </w:r>
      <w:proofErr w:type="gramStart"/>
      <w:r>
        <w:t>i.e.</w:t>
      </w:r>
      <w:proofErr w:type="gramEnd"/>
      <w:r>
        <w:t xml:space="preserve"> demand is greater than generation</w:t>
      </w:r>
      <w:r>
        <w:rPr>
          <w:rFonts w:hint="eastAsia"/>
        </w:rPr>
        <w:t>)</w:t>
      </w:r>
      <w:r>
        <w:t>, its electricity trade compensation capacity is determined by its own electricity import desire and electricity export provided by surrounding countries, as follows:</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BE603E" w14:paraId="7D4DC6C7" w14:textId="77777777" w:rsidTr="00FC05F3">
        <w:tc>
          <w:tcPr>
            <w:tcW w:w="6531" w:type="dxa"/>
            <w:vAlign w:val="center"/>
          </w:tcPr>
          <w:p w14:paraId="5C3D715B" w14:textId="77777777" w:rsidR="00BE603E" w:rsidRPr="00524A03" w:rsidRDefault="00BE603E" w:rsidP="00BE603E">
            <w:pPr>
              <w:spacing w:line="240" w:lineRule="auto"/>
              <w:ind w:firstLineChars="0"/>
              <w:jc w:val="center"/>
              <w:rPr>
                <w:sz w:val="21"/>
              </w:rPr>
            </w:pPr>
            <m:oMathPara>
              <m:oMath>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r>
                      <w:rPr>
                        <w:rFonts w:ascii="Cambria Math" w:hAnsi="Cambria Math"/>
                        <w:sz w:val="21"/>
                      </w:rPr>
                      <m:t>n</m:t>
                    </m:r>
                    <m:sSub>
                      <m:sSubPr>
                        <m:ctrlPr>
                          <w:rPr>
                            <w:rFonts w:ascii="Cambria Math" w:hAnsi="Cambria Math"/>
                            <w:i/>
                            <w:sz w:val="21"/>
                          </w:rPr>
                        </m:ctrlPr>
                      </m:sSubPr>
                      <m:e>
                        <m:r>
                          <w:rPr>
                            <w:rFonts w:ascii="Cambria Math" w:hAnsi="Cambria Math"/>
                            <w:sz w:val="21"/>
                          </w:rPr>
                          <m:t>p</m:t>
                        </m:r>
                      </m:e>
                      <m:sub>
                        <m:r>
                          <w:rPr>
                            <w:rFonts w:ascii="Cambria Math" w:hAnsi="Cambria Math"/>
                            <w:sz w:val="21"/>
                          </w:rPr>
                          <m:t>e,i</m:t>
                        </m:r>
                      </m:sub>
                    </m:sSub>
                  </m:den>
                </m:f>
                <m:r>
                  <m:rPr>
                    <m:sty m:val="p"/>
                  </m:rPr>
                  <w:rPr>
                    <w:rFonts w:ascii="Cambria Math" w:hAnsi="Cambria Math"/>
                    <w:sz w:val="21"/>
                  </w:rPr>
                  <m:t>≤min</m:t>
                </m:r>
                <m:d>
                  <m:dPr>
                    <m:ctrlPr>
                      <w:rPr>
                        <w:rFonts w:ascii="Cambria Math" w:hAnsi="Cambria Math"/>
                        <w:i/>
                        <w:sz w:val="21"/>
                      </w:rPr>
                    </m:ctrlPr>
                  </m:dPr>
                  <m:e>
                    <m:r>
                      <w:rPr>
                        <w:rFonts w:ascii="Cambria Math" w:hAnsi="Cambria Math"/>
                        <w:sz w:val="21"/>
                      </w:rPr>
                      <m:t xml:space="preserve">∆,   </m:t>
                    </m:r>
                    <m:nary>
                      <m:naryPr>
                        <m:chr m:val="∑"/>
                        <m:limLoc m:val="undOvr"/>
                        <m:supHide m:val="1"/>
                        <m:ctrlPr>
                          <w:rPr>
                            <w:rFonts w:ascii="Cambria Math" w:hAnsi="Cambria Math"/>
                            <w:i/>
                            <w:sz w:val="21"/>
                          </w:rPr>
                        </m:ctrlPr>
                      </m:naryPr>
                      <m:sub>
                        <m:r>
                          <w:rPr>
                            <w:rFonts w:ascii="Cambria Math" w:hAnsi="Cambria Math"/>
                            <w:sz w:val="21"/>
                          </w:rPr>
                          <m:t>j≠i</m:t>
                        </m:r>
                      </m:sub>
                      <m:sup/>
                      <m:e>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j</m:t>
                            </m:r>
                          </m:sub>
                          <m:sup>
                            <m:r>
                              <w:rPr>
                                <w:rFonts w:ascii="Cambria Math" w:hAnsi="Cambria Math"/>
                                <w:sz w:val="21"/>
                              </w:rPr>
                              <m:t>im</m:t>
                            </m:r>
                          </m:sup>
                        </m:sSubSup>
                      </m:e>
                    </m:nary>
                  </m:e>
                </m:d>
              </m:oMath>
            </m:oMathPara>
          </w:p>
        </w:tc>
        <w:tc>
          <w:tcPr>
            <w:tcW w:w="1134" w:type="dxa"/>
            <w:vAlign w:val="center"/>
          </w:tcPr>
          <w:p w14:paraId="3C32A0C0" w14:textId="5EA75057" w:rsidR="00BE603E" w:rsidRDefault="00BE603E" w:rsidP="00A51BFC">
            <w:pPr>
              <w:pStyle w:val="a4"/>
              <w:spacing w:line="240" w:lineRule="auto"/>
              <w:ind w:firstLineChars="0" w:firstLine="0"/>
              <w:jc w:val="center"/>
            </w:pPr>
            <w:r>
              <w:rPr>
                <w:rFonts w:hint="eastAsia"/>
              </w:rPr>
              <w:t>(</w:t>
            </w:r>
            <w:r w:rsidR="00A51BFC">
              <w:t>13</w:t>
            </w:r>
            <w:r>
              <w:rPr>
                <w:rFonts w:hint="eastAsia"/>
              </w:rPr>
              <w:t>)</w:t>
            </w:r>
          </w:p>
        </w:tc>
      </w:tr>
    </w:tbl>
    <w:p w14:paraId="2BCFC91D" w14:textId="77777777" w:rsidR="00BE603E" w:rsidRDefault="00BE603E" w:rsidP="00BE603E">
      <w:pPr>
        <w:pStyle w:val="a4"/>
        <w:numPr>
          <w:ilvl w:val="0"/>
          <w:numId w:val="5"/>
        </w:numPr>
        <w:ind w:firstLineChars="0"/>
      </w:pPr>
      <w:r>
        <w:t>Stakeholder with electricity export desire (</w:t>
      </w:r>
      <w:proofErr w:type="gramStart"/>
      <w:r>
        <w:t>i.e.</w:t>
      </w:r>
      <w:proofErr w:type="gramEnd"/>
      <w:r>
        <w:t xml:space="preserve"> demand is less than generation), its electricity trade compensation capacity is determined by its own electricity export desire and electricity import provided by surrounding countries, as follows:</w:t>
      </w:r>
    </w:p>
    <w:tbl>
      <w:tblPr>
        <w:tblStyle w:val="a5"/>
        <w:tblW w:w="7665" w:type="dxa"/>
        <w:tblInd w:w="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1"/>
        <w:gridCol w:w="1134"/>
      </w:tblGrid>
      <w:tr w:rsidR="00BE603E" w14:paraId="7421112D" w14:textId="77777777" w:rsidTr="00FC05F3">
        <w:tc>
          <w:tcPr>
            <w:tcW w:w="6531" w:type="dxa"/>
            <w:vAlign w:val="center"/>
          </w:tcPr>
          <w:p w14:paraId="5D632B16" w14:textId="77777777" w:rsidR="00BE603E" w:rsidRPr="00524A03" w:rsidRDefault="00BE603E" w:rsidP="00BE603E">
            <w:pPr>
              <w:spacing w:line="240" w:lineRule="auto"/>
              <w:ind w:left="480" w:firstLineChars="0" w:firstLine="0"/>
              <w:jc w:val="center"/>
              <w:rPr>
                <w:sz w:val="21"/>
              </w:rPr>
            </w:pPr>
            <m:oMathPara>
              <m:oMath>
                <m:r>
                  <m:rPr>
                    <m:sty m:val="p"/>
                  </m:rPr>
                  <w:rPr>
                    <w:rFonts w:ascii="Cambria Math" w:hAnsi="Cambria Math"/>
                    <w:sz w:val="21"/>
                  </w:rPr>
                  <m:t>-</m:t>
                </m:r>
                <m:f>
                  <m:fPr>
                    <m:ctrlPr>
                      <w:rPr>
                        <w:rFonts w:ascii="Cambria Math" w:hAnsi="Cambria Math"/>
                        <w:sz w:val="21"/>
                      </w:rPr>
                    </m:ctrlPr>
                  </m:fPr>
                  <m:num>
                    <m:sSubSup>
                      <m:sSubSupPr>
                        <m:ctrlPr>
                          <w:rPr>
                            <w:rFonts w:ascii="Cambria Math" w:hAnsi="Cambria Math"/>
                            <w:i/>
                            <w:sz w:val="21"/>
                          </w:rPr>
                        </m:ctrlPr>
                      </m:sSubSupPr>
                      <m:e>
                        <m:r>
                          <w:rPr>
                            <w:rFonts w:ascii="Cambria Math" w:hAnsi="Cambria Math"/>
                            <w:sz w:val="21"/>
                          </w:rPr>
                          <m:t>B</m:t>
                        </m:r>
                      </m:e>
                      <m:sub>
                        <m:r>
                          <w:rPr>
                            <w:rFonts w:ascii="Cambria Math" w:hAnsi="Cambria Math"/>
                            <w:sz w:val="21"/>
                          </w:rPr>
                          <m:t>i</m:t>
                        </m:r>
                      </m:sub>
                      <m:sup>
                        <m:r>
                          <w:rPr>
                            <w:rFonts w:ascii="Cambria Math" w:hAnsi="Cambria Math"/>
                            <w:sz w:val="21"/>
                          </w:rPr>
                          <m:t>w</m:t>
                        </m:r>
                      </m:sup>
                    </m:sSubSup>
                  </m:num>
                  <m:den>
                    <m:r>
                      <w:rPr>
                        <w:rFonts w:ascii="Cambria Math" w:hAnsi="Cambria Math"/>
                        <w:sz w:val="21"/>
                      </w:rPr>
                      <m:t>n</m:t>
                    </m:r>
                    <m:sSub>
                      <m:sSubPr>
                        <m:ctrlPr>
                          <w:rPr>
                            <w:rFonts w:ascii="Cambria Math" w:hAnsi="Cambria Math"/>
                            <w:i/>
                            <w:sz w:val="21"/>
                          </w:rPr>
                        </m:ctrlPr>
                      </m:sSubPr>
                      <m:e>
                        <m:r>
                          <w:rPr>
                            <w:rFonts w:ascii="Cambria Math" w:hAnsi="Cambria Math"/>
                            <w:sz w:val="21"/>
                          </w:rPr>
                          <m:t>p</m:t>
                        </m:r>
                      </m:e>
                      <m:sub>
                        <m:r>
                          <w:rPr>
                            <w:rFonts w:ascii="Cambria Math" w:hAnsi="Cambria Math"/>
                            <w:sz w:val="21"/>
                          </w:rPr>
                          <m:t>e,i</m:t>
                        </m:r>
                      </m:sub>
                    </m:sSub>
                  </m:den>
                </m:f>
                <m:r>
                  <m:rPr>
                    <m:sty m:val="p"/>
                  </m:rPr>
                  <w:rPr>
                    <w:rFonts w:ascii="Cambria Math" w:hAnsi="Cambria Math"/>
                    <w:sz w:val="21"/>
                  </w:rPr>
                  <m:t>≤min</m:t>
                </m:r>
                <m:d>
                  <m:dPr>
                    <m:ctrlPr>
                      <w:rPr>
                        <w:rFonts w:ascii="Cambria Math" w:hAnsi="Cambria Math"/>
                        <w:i/>
                        <w:sz w:val="21"/>
                      </w:rPr>
                    </m:ctrlPr>
                  </m:dPr>
                  <m:e>
                    <m:r>
                      <w:rPr>
                        <w:rFonts w:ascii="Cambria Math" w:hAnsi="Cambria Math"/>
                        <w:sz w:val="21"/>
                      </w:rPr>
                      <m:t xml:space="preserve">∆,   </m:t>
                    </m:r>
                    <m:nary>
                      <m:naryPr>
                        <m:chr m:val="∑"/>
                        <m:limLoc m:val="undOvr"/>
                        <m:supHide m:val="1"/>
                        <m:ctrlPr>
                          <w:rPr>
                            <w:rFonts w:ascii="Cambria Math" w:hAnsi="Cambria Math"/>
                            <w:i/>
                            <w:sz w:val="21"/>
                          </w:rPr>
                        </m:ctrlPr>
                      </m:naryPr>
                      <m:sub>
                        <m:r>
                          <w:rPr>
                            <w:rFonts w:ascii="Cambria Math" w:hAnsi="Cambria Math"/>
                            <w:sz w:val="21"/>
                          </w:rPr>
                          <m:t>j≠i</m:t>
                        </m:r>
                      </m:sub>
                      <m:sup/>
                      <m:e>
                        <m:sSubSup>
                          <m:sSubSupPr>
                            <m:ctrlPr>
                              <w:rPr>
                                <w:rFonts w:ascii="Cambria Math" w:hAnsi="Cambria Math"/>
                                <w:i/>
                                <w:sz w:val="21"/>
                              </w:rPr>
                            </m:ctrlPr>
                          </m:sSubSupPr>
                          <m:e>
                            <m:r>
                              <w:rPr>
                                <w:rFonts w:ascii="Cambria Math" w:hAnsi="Cambria Math"/>
                                <w:sz w:val="21"/>
                              </w:rPr>
                              <m:t>T</m:t>
                            </m:r>
                          </m:e>
                          <m:sub>
                            <m:r>
                              <w:rPr>
                                <w:rFonts w:ascii="Cambria Math" w:hAnsi="Cambria Math"/>
                                <w:sz w:val="21"/>
                              </w:rPr>
                              <m:t>j</m:t>
                            </m:r>
                          </m:sub>
                          <m:sup>
                            <m:r>
                              <w:rPr>
                                <w:rFonts w:ascii="Cambria Math" w:hAnsi="Cambria Math"/>
                                <w:sz w:val="21"/>
                              </w:rPr>
                              <m:t>ex</m:t>
                            </m:r>
                          </m:sup>
                        </m:sSubSup>
                      </m:e>
                    </m:nary>
                  </m:e>
                </m:d>
              </m:oMath>
            </m:oMathPara>
          </w:p>
        </w:tc>
        <w:tc>
          <w:tcPr>
            <w:tcW w:w="1134" w:type="dxa"/>
            <w:vAlign w:val="center"/>
          </w:tcPr>
          <w:p w14:paraId="4078C4C2" w14:textId="55E3E8B6" w:rsidR="00BE603E" w:rsidRDefault="00BE603E" w:rsidP="00BE603E">
            <w:pPr>
              <w:pStyle w:val="a4"/>
              <w:spacing w:line="240" w:lineRule="auto"/>
              <w:ind w:firstLineChars="0" w:firstLine="0"/>
              <w:jc w:val="center"/>
            </w:pPr>
            <w:r>
              <w:rPr>
                <w:rFonts w:hint="eastAsia"/>
              </w:rPr>
              <w:t>(</w:t>
            </w:r>
            <w:r w:rsidR="00A51BFC">
              <w:t>14</w:t>
            </w:r>
            <w:r>
              <w:rPr>
                <w:rFonts w:hint="eastAsia"/>
              </w:rPr>
              <w:t>)</w:t>
            </w:r>
          </w:p>
        </w:tc>
      </w:tr>
    </w:tbl>
    <w:p w14:paraId="339CEF39" w14:textId="77777777" w:rsidR="00BE603E" w:rsidRPr="00450D16" w:rsidRDefault="00BE603E" w:rsidP="00BE603E">
      <w:pPr>
        <w:ind w:firstLineChars="0" w:firstLine="0"/>
      </w:pPr>
    </w:p>
    <w:sectPr w:rsidR="00BE603E" w:rsidRPr="00450D16">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BD167" w14:textId="77777777" w:rsidR="007F1992" w:rsidRDefault="007F1992" w:rsidP="000B0697">
      <w:pPr>
        <w:spacing w:line="240" w:lineRule="auto"/>
        <w:ind w:firstLine="480"/>
      </w:pPr>
      <w:r>
        <w:separator/>
      </w:r>
    </w:p>
  </w:endnote>
  <w:endnote w:type="continuationSeparator" w:id="0">
    <w:p w14:paraId="7DBC9B42" w14:textId="77777777" w:rsidR="007F1992" w:rsidRDefault="007F1992" w:rsidP="000B069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4B37" w14:textId="77777777" w:rsidR="009F66C6" w:rsidRDefault="009F66C6">
    <w:pPr>
      <w:pStyle w:val="ab"/>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63C1" w14:textId="77777777" w:rsidR="009F66C6" w:rsidRDefault="009F66C6">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BB3A" w14:textId="77777777" w:rsidR="009F66C6" w:rsidRDefault="009F66C6">
    <w:pPr>
      <w:pStyle w:val="ab"/>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17E6E" w14:textId="77777777" w:rsidR="007F1992" w:rsidRDefault="007F1992" w:rsidP="000B0697">
      <w:pPr>
        <w:spacing w:line="240" w:lineRule="auto"/>
        <w:ind w:firstLine="480"/>
      </w:pPr>
      <w:r>
        <w:separator/>
      </w:r>
    </w:p>
  </w:footnote>
  <w:footnote w:type="continuationSeparator" w:id="0">
    <w:p w14:paraId="4EE56BC4" w14:textId="77777777" w:rsidR="007F1992" w:rsidRDefault="007F1992" w:rsidP="000B0697">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9C81" w14:textId="77777777" w:rsidR="009F66C6" w:rsidRDefault="009F66C6">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8B08" w14:textId="77777777" w:rsidR="009F66C6" w:rsidRDefault="009F66C6">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B67A" w14:textId="77777777" w:rsidR="009F66C6" w:rsidRDefault="009F66C6">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D838A3"/>
    <w:multiLevelType w:val="singleLevel"/>
    <w:tmpl w:val="C9D838A3"/>
    <w:lvl w:ilvl="0">
      <w:start w:val="1"/>
      <w:numFmt w:val="lowerLetter"/>
      <w:suff w:val="space"/>
      <w:lvlText w:val="%1."/>
      <w:lvlJc w:val="left"/>
    </w:lvl>
  </w:abstractNum>
  <w:abstractNum w:abstractNumId="1" w15:restartNumberingAfterBreak="0">
    <w:nsid w:val="1AF71DE6"/>
    <w:multiLevelType w:val="hybridMultilevel"/>
    <w:tmpl w:val="9A1A6060"/>
    <w:lvl w:ilvl="0" w:tplc="102257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193C42"/>
    <w:multiLevelType w:val="hybridMultilevel"/>
    <w:tmpl w:val="D720A6E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DAE791B"/>
    <w:multiLevelType w:val="hybridMultilevel"/>
    <w:tmpl w:val="A6FED48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15:restartNumberingAfterBreak="0">
    <w:nsid w:val="40972D8A"/>
    <w:multiLevelType w:val="hybridMultilevel"/>
    <w:tmpl w:val="4858B67A"/>
    <w:lvl w:ilvl="0" w:tplc="19508D4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9A2771F"/>
    <w:multiLevelType w:val="hybridMultilevel"/>
    <w:tmpl w:val="213435C0"/>
    <w:lvl w:ilvl="0" w:tplc="3B6E6B2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A6805A9"/>
    <w:multiLevelType w:val="hybridMultilevel"/>
    <w:tmpl w:val="C7FA60F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7" w15:restartNumberingAfterBreak="0">
    <w:nsid w:val="6DC4532D"/>
    <w:multiLevelType w:val="hybridMultilevel"/>
    <w:tmpl w:val="7402E6C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E964628"/>
    <w:multiLevelType w:val="hybridMultilevel"/>
    <w:tmpl w:val="47B2CCF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7C51014D"/>
    <w:multiLevelType w:val="hybridMultilevel"/>
    <w:tmpl w:val="450C648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DFA38C3"/>
    <w:multiLevelType w:val="hybridMultilevel"/>
    <w:tmpl w:val="5386B4F0"/>
    <w:lvl w:ilvl="0" w:tplc="F0707DB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0"/>
  </w:num>
  <w:num w:numId="3">
    <w:abstractNumId w:val="9"/>
  </w:num>
  <w:num w:numId="4">
    <w:abstractNumId w:val="7"/>
  </w:num>
  <w:num w:numId="5">
    <w:abstractNumId w:val="8"/>
  </w:num>
  <w:num w:numId="6">
    <w:abstractNumId w:val="3"/>
  </w:num>
  <w:num w:numId="7">
    <w:abstractNumId w:val="6"/>
  </w:num>
  <w:num w:numId="8">
    <w:abstractNumId w:val="2"/>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3EA"/>
    <w:rsid w:val="0000653D"/>
    <w:rsid w:val="00012FD5"/>
    <w:rsid w:val="00014348"/>
    <w:rsid w:val="00022BBF"/>
    <w:rsid w:val="00046588"/>
    <w:rsid w:val="00056F5E"/>
    <w:rsid w:val="000600BC"/>
    <w:rsid w:val="000610C7"/>
    <w:rsid w:val="000666D8"/>
    <w:rsid w:val="0007094C"/>
    <w:rsid w:val="00082983"/>
    <w:rsid w:val="00096926"/>
    <w:rsid w:val="000B0697"/>
    <w:rsid w:val="000B3DFE"/>
    <w:rsid w:val="000C1F35"/>
    <w:rsid w:val="000C35E5"/>
    <w:rsid w:val="000D63CF"/>
    <w:rsid w:val="000E400E"/>
    <w:rsid w:val="00101447"/>
    <w:rsid w:val="00106C63"/>
    <w:rsid w:val="00110B9A"/>
    <w:rsid w:val="001117FD"/>
    <w:rsid w:val="00111B39"/>
    <w:rsid w:val="001253F9"/>
    <w:rsid w:val="00136B69"/>
    <w:rsid w:val="00143945"/>
    <w:rsid w:val="00156CA2"/>
    <w:rsid w:val="00160109"/>
    <w:rsid w:val="0016618E"/>
    <w:rsid w:val="00176CCF"/>
    <w:rsid w:val="00177CB6"/>
    <w:rsid w:val="001A3F1B"/>
    <w:rsid w:val="001B59F0"/>
    <w:rsid w:val="001C2C13"/>
    <w:rsid w:val="001E44C2"/>
    <w:rsid w:val="001F3693"/>
    <w:rsid w:val="001F7A89"/>
    <w:rsid w:val="00211649"/>
    <w:rsid w:val="00242BC9"/>
    <w:rsid w:val="00253B47"/>
    <w:rsid w:val="0026259D"/>
    <w:rsid w:val="00283891"/>
    <w:rsid w:val="002A453A"/>
    <w:rsid w:val="002A5D47"/>
    <w:rsid w:val="002B2EB6"/>
    <w:rsid w:val="002B54DA"/>
    <w:rsid w:val="002D050F"/>
    <w:rsid w:val="002D5883"/>
    <w:rsid w:val="002D5CB0"/>
    <w:rsid w:val="002D6776"/>
    <w:rsid w:val="002E21FE"/>
    <w:rsid w:val="002F4BF0"/>
    <w:rsid w:val="00303AE8"/>
    <w:rsid w:val="00337386"/>
    <w:rsid w:val="00352429"/>
    <w:rsid w:val="00377FB9"/>
    <w:rsid w:val="00382B27"/>
    <w:rsid w:val="0038479F"/>
    <w:rsid w:val="0038768E"/>
    <w:rsid w:val="003925B0"/>
    <w:rsid w:val="003971F7"/>
    <w:rsid w:val="003A0699"/>
    <w:rsid w:val="003A45F0"/>
    <w:rsid w:val="003A6001"/>
    <w:rsid w:val="003B5925"/>
    <w:rsid w:val="003C2035"/>
    <w:rsid w:val="003E5EA2"/>
    <w:rsid w:val="003E6EAD"/>
    <w:rsid w:val="003F0EBB"/>
    <w:rsid w:val="003F5A27"/>
    <w:rsid w:val="00406146"/>
    <w:rsid w:val="00410C59"/>
    <w:rsid w:val="00411385"/>
    <w:rsid w:val="004127E8"/>
    <w:rsid w:val="004143EA"/>
    <w:rsid w:val="00416020"/>
    <w:rsid w:val="004165F5"/>
    <w:rsid w:val="0041784F"/>
    <w:rsid w:val="00421F0B"/>
    <w:rsid w:val="00424253"/>
    <w:rsid w:val="0045032D"/>
    <w:rsid w:val="00450D16"/>
    <w:rsid w:val="00452A1A"/>
    <w:rsid w:val="004663C4"/>
    <w:rsid w:val="00486A97"/>
    <w:rsid w:val="00491068"/>
    <w:rsid w:val="00491D4D"/>
    <w:rsid w:val="00496240"/>
    <w:rsid w:val="004A182A"/>
    <w:rsid w:val="004A54EE"/>
    <w:rsid w:val="004B307A"/>
    <w:rsid w:val="004B67D5"/>
    <w:rsid w:val="004C7EA1"/>
    <w:rsid w:val="004D6CD5"/>
    <w:rsid w:val="004E161E"/>
    <w:rsid w:val="004E2EBD"/>
    <w:rsid w:val="004F091D"/>
    <w:rsid w:val="0050378A"/>
    <w:rsid w:val="00505A77"/>
    <w:rsid w:val="00524418"/>
    <w:rsid w:val="005245AE"/>
    <w:rsid w:val="00524A03"/>
    <w:rsid w:val="00524EE6"/>
    <w:rsid w:val="0053160C"/>
    <w:rsid w:val="00577AA5"/>
    <w:rsid w:val="00582775"/>
    <w:rsid w:val="00594373"/>
    <w:rsid w:val="005B590D"/>
    <w:rsid w:val="005C74DE"/>
    <w:rsid w:val="005C7BB4"/>
    <w:rsid w:val="005D4D95"/>
    <w:rsid w:val="006043DA"/>
    <w:rsid w:val="00631E4A"/>
    <w:rsid w:val="00633492"/>
    <w:rsid w:val="0064175E"/>
    <w:rsid w:val="00645D86"/>
    <w:rsid w:val="00654E35"/>
    <w:rsid w:val="00655480"/>
    <w:rsid w:val="00691FA9"/>
    <w:rsid w:val="006B0434"/>
    <w:rsid w:val="006B7E76"/>
    <w:rsid w:val="006F48AE"/>
    <w:rsid w:val="0070356E"/>
    <w:rsid w:val="0070595E"/>
    <w:rsid w:val="007074E2"/>
    <w:rsid w:val="00710455"/>
    <w:rsid w:val="00723ED0"/>
    <w:rsid w:val="00727E35"/>
    <w:rsid w:val="007308E7"/>
    <w:rsid w:val="00735BF6"/>
    <w:rsid w:val="00744B6B"/>
    <w:rsid w:val="00753438"/>
    <w:rsid w:val="0076438B"/>
    <w:rsid w:val="00767DC7"/>
    <w:rsid w:val="00780ECF"/>
    <w:rsid w:val="00781B26"/>
    <w:rsid w:val="007845D1"/>
    <w:rsid w:val="00787CC9"/>
    <w:rsid w:val="00797523"/>
    <w:rsid w:val="007A6906"/>
    <w:rsid w:val="007B0AE8"/>
    <w:rsid w:val="007C22D4"/>
    <w:rsid w:val="007C2703"/>
    <w:rsid w:val="007D6623"/>
    <w:rsid w:val="007D7F9B"/>
    <w:rsid w:val="007E0C03"/>
    <w:rsid w:val="007E7067"/>
    <w:rsid w:val="007E74CA"/>
    <w:rsid w:val="007F1992"/>
    <w:rsid w:val="007F7B54"/>
    <w:rsid w:val="007F7E74"/>
    <w:rsid w:val="00803BDC"/>
    <w:rsid w:val="008057F7"/>
    <w:rsid w:val="00812483"/>
    <w:rsid w:val="00830CB8"/>
    <w:rsid w:val="00830DF5"/>
    <w:rsid w:val="00857139"/>
    <w:rsid w:val="00861ECA"/>
    <w:rsid w:val="00863EEF"/>
    <w:rsid w:val="00865A67"/>
    <w:rsid w:val="0088415E"/>
    <w:rsid w:val="008A7D1F"/>
    <w:rsid w:val="008B1E11"/>
    <w:rsid w:val="008C4976"/>
    <w:rsid w:val="008C54F6"/>
    <w:rsid w:val="008D23D9"/>
    <w:rsid w:val="008D40AD"/>
    <w:rsid w:val="008E67EE"/>
    <w:rsid w:val="00910191"/>
    <w:rsid w:val="00911FE7"/>
    <w:rsid w:val="0096176C"/>
    <w:rsid w:val="00990223"/>
    <w:rsid w:val="009943F1"/>
    <w:rsid w:val="0099447B"/>
    <w:rsid w:val="00996AB9"/>
    <w:rsid w:val="009A21B7"/>
    <w:rsid w:val="009A2B6A"/>
    <w:rsid w:val="009A36B9"/>
    <w:rsid w:val="009C4F18"/>
    <w:rsid w:val="009D0B72"/>
    <w:rsid w:val="009D1487"/>
    <w:rsid w:val="009D2C4D"/>
    <w:rsid w:val="009F2EC9"/>
    <w:rsid w:val="009F66C6"/>
    <w:rsid w:val="00A03160"/>
    <w:rsid w:val="00A1128E"/>
    <w:rsid w:val="00A214B4"/>
    <w:rsid w:val="00A51BFC"/>
    <w:rsid w:val="00A56336"/>
    <w:rsid w:val="00A70326"/>
    <w:rsid w:val="00A7340F"/>
    <w:rsid w:val="00AA17F6"/>
    <w:rsid w:val="00AB7388"/>
    <w:rsid w:val="00AC0F41"/>
    <w:rsid w:val="00B05640"/>
    <w:rsid w:val="00B11FA7"/>
    <w:rsid w:val="00B1436F"/>
    <w:rsid w:val="00B14B76"/>
    <w:rsid w:val="00B31B02"/>
    <w:rsid w:val="00B33DE4"/>
    <w:rsid w:val="00B36761"/>
    <w:rsid w:val="00B373A1"/>
    <w:rsid w:val="00B41047"/>
    <w:rsid w:val="00B50F63"/>
    <w:rsid w:val="00B5443C"/>
    <w:rsid w:val="00B63AE3"/>
    <w:rsid w:val="00B642CD"/>
    <w:rsid w:val="00B71DD8"/>
    <w:rsid w:val="00B72167"/>
    <w:rsid w:val="00B906BA"/>
    <w:rsid w:val="00BA10A5"/>
    <w:rsid w:val="00BA6217"/>
    <w:rsid w:val="00BB7E92"/>
    <w:rsid w:val="00BE1304"/>
    <w:rsid w:val="00BE4622"/>
    <w:rsid w:val="00BE603E"/>
    <w:rsid w:val="00BF3675"/>
    <w:rsid w:val="00C01D26"/>
    <w:rsid w:val="00C169ED"/>
    <w:rsid w:val="00C228CC"/>
    <w:rsid w:val="00C2394D"/>
    <w:rsid w:val="00C3126D"/>
    <w:rsid w:val="00C36661"/>
    <w:rsid w:val="00C37E52"/>
    <w:rsid w:val="00C402A2"/>
    <w:rsid w:val="00C441A2"/>
    <w:rsid w:val="00C54417"/>
    <w:rsid w:val="00C549B8"/>
    <w:rsid w:val="00C72349"/>
    <w:rsid w:val="00C81A38"/>
    <w:rsid w:val="00C866BD"/>
    <w:rsid w:val="00C9062B"/>
    <w:rsid w:val="00C917C2"/>
    <w:rsid w:val="00C921DE"/>
    <w:rsid w:val="00C95663"/>
    <w:rsid w:val="00CA0425"/>
    <w:rsid w:val="00CA5710"/>
    <w:rsid w:val="00CB162A"/>
    <w:rsid w:val="00CC519C"/>
    <w:rsid w:val="00CD4859"/>
    <w:rsid w:val="00CF394B"/>
    <w:rsid w:val="00CF5C7C"/>
    <w:rsid w:val="00D02AFB"/>
    <w:rsid w:val="00D068DA"/>
    <w:rsid w:val="00D11BCF"/>
    <w:rsid w:val="00D235B0"/>
    <w:rsid w:val="00D32A1D"/>
    <w:rsid w:val="00D3309C"/>
    <w:rsid w:val="00D4772D"/>
    <w:rsid w:val="00D54F80"/>
    <w:rsid w:val="00D6396D"/>
    <w:rsid w:val="00D76058"/>
    <w:rsid w:val="00D85F2E"/>
    <w:rsid w:val="00D9006C"/>
    <w:rsid w:val="00D94B32"/>
    <w:rsid w:val="00DA25E7"/>
    <w:rsid w:val="00DA6CDD"/>
    <w:rsid w:val="00DC6091"/>
    <w:rsid w:val="00DE1EE6"/>
    <w:rsid w:val="00DF0ADA"/>
    <w:rsid w:val="00E00097"/>
    <w:rsid w:val="00E01CC8"/>
    <w:rsid w:val="00E0684B"/>
    <w:rsid w:val="00E1480D"/>
    <w:rsid w:val="00E17361"/>
    <w:rsid w:val="00E2093C"/>
    <w:rsid w:val="00E231B0"/>
    <w:rsid w:val="00E275F0"/>
    <w:rsid w:val="00E34F2E"/>
    <w:rsid w:val="00E36A72"/>
    <w:rsid w:val="00E45779"/>
    <w:rsid w:val="00E568E2"/>
    <w:rsid w:val="00E8123E"/>
    <w:rsid w:val="00E848B8"/>
    <w:rsid w:val="00E87A8C"/>
    <w:rsid w:val="00E93092"/>
    <w:rsid w:val="00EB2120"/>
    <w:rsid w:val="00ED4CF2"/>
    <w:rsid w:val="00EE23EB"/>
    <w:rsid w:val="00EE4758"/>
    <w:rsid w:val="00EF6728"/>
    <w:rsid w:val="00F15C6C"/>
    <w:rsid w:val="00F15DA3"/>
    <w:rsid w:val="00F16BB7"/>
    <w:rsid w:val="00F27B3B"/>
    <w:rsid w:val="00F34593"/>
    <w:rsid w:val="00F3724C"/>
    <w:rsid w:val="00F61868"/>
    <w:rsid w:val="00F762B2"/>
    <w:rsid w:val="00F76F24"/>
    <w:rsid w:val="00F94C3D"/>
    <w:rsid w:val="00F95676"/>
    <w:rsid w:val="00FA5B3A"/>
    <w:rsid w:val="00FB6C82"/>
    <w:rsid w:val="00FC05F3"/>
    <w:rsid w:val="00FC5594"/>
    <w:rsid w:val="00FD3262"/>
    <w:rsid w:val="00FD6464"/>
    <w:rsid w:val="00FE19BA"/>
    <w:rsid w:val="00FE2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B86A1"/>
  <w15:chartTrackingRefBased/>
  <w15:docId w15:val="{BAFECF5E-82D3-4EFE-8D6E-812AA7B3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109"/>
    <w:pPr>
      <w:widowControl w:val="0"/>
      <w:spacing w:line="440" w:lineRule="exac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1304"/>
    <w:pPr>
      <w:widowControl/>
      <w:spacing w:before="100" w:beforeAutospacing="1" w:after="100" w:afterAutospacing="1" w:line="240" w:lineRule="auto"/>
      <w:ind w:firstLineChars="0" w:firstLine="0"/>
      <w:jc w:val="left"/>
    </w:pPr>
    <w:rPr>
      <w:rFonts w:ascii="宋体" w:hAnsi="宋体" w:cs="宋体"/>
      <w:kern w:val="0"/>
      <w:szCs w:val="24"/>
    </w:rPr>
  </w:style>
  <w:style w:type="paragraph" w:styleId="a4">
    <w:name w:val="List Paragraph"/>
    <w:basedOn w:val="a"/>
    <w:uiPriority w:val="34"/>
    <w:qFormat/>
    <w:rsid w:val="000B3DFE"/>
    <w:pPr>
      <w:ind w:firstLine="420"/>
    </w:pPr>
  </w:style>
  <w:style w:type="table" w:styleId="a5">
    <w:name w:val="Table Grid"/>
    <w:basedOn w:val="a1"/>
    <w:uiPriority w:val="39"/>
    <w:rsid w:val="000B3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B3DFE"/>
    <w:pPr>
      <w:spacing w:line="240" w:lineRule="auto"/>
    </w:pPr>
    <w:rPr>
      <w:sz w:val="18"/>
      <w:szCs w:val="18"/>
    </w:rPr>
  </w:style>
  <w:style w:type="character" w:customStyle="1" w:styleId="a7">
    <w:name w:val="批注框文本 字符"/>
    <w:basedOn w:val="a0"/>
    <w:link w:val="a6"/>
    <w:uiPriority w:val="99"/>
    <w:semiHidden/>
    <w:rsid w:val="000B3DFE"/>
    <w:rPr>
      <w:rFonts w:ascii="Times New Roman" w:eastAsia="宋体" w:hAnsi="Times New Roman" w:cs="Times New Roman"/>
      <w:sz w:val="18"/>
      <w:szCs w:val="18"/>
    </w:rPr>
  </w:style>
  <w:style w:type="character" w:styleId="a8">
    <w:name w:val="Placeholder Text"/>
    <w:basedOn w:val="a0"/>
    <w:uiPriority w:val="99"/>
    <w:semiHidden/>
    <w:rsid w:val="000B3DFE"/>
    <w:rPr>
      <w:color w:val="808080"/>
    </w:rPr>
  </w:style>
  <w:style w:type="paragraph" w:styleId="a9">
    <w:name w:val="header"/>
    <w:basedOn w:val="a"/>
    <w:link w:val="aa"/>
    <w:uiPriority w:val="99"/>
    <w:unhideWhenUsed/>
    <w:rsid w:val="000B069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a">
    <w:name w:val="页眉 字符"/>
    <w:basedOn w:val="a0"/>
    <w:link w:val="a9"/>
    <w:uiPriority w:val="99"/>
    <w:rsid w:val="000B0697"/>
    <w:rPr>
      <w:rFonts w:ascii="Times New Roman" w:eastAsia="宋体" w:hAnsi="Times New Roman" w:cs="Times New Roman"/>
      <w:sz w:val="18"/>
      <w:szCs w:val="18"/>
    </w:rPr>
  </w:style>
  <w:style w:type="paragraph" w:styleId="ab">
    <w:name w:val="footer"/>
    <w:basedOn w:val="a"/>
    <w:link w:val="ac"/>
    <w:uiPriority w:val="99"/>
    <w:unhideWhenUsed/>
    <w:rsid w:val="000B0697"/>
    <w:pPr>
      <w:tabs>
        <w:tab w:val="center" w:pos="4153"/>
        <w:tab w:val="right" w:pos="8306"/>
      </w:tabs>
      <w:snapToGrid w:val="0"/>
      <w:spacing w:line="240" w:lineRule="atLeast"/>
      <w:jc w:val="left"/>
    </w:pPr>
    <w:rPr>
      <w:sz w:val="18"/>
      <w:szCs w:val="18"/>
    </w:rPr>
  </w:style>
  <w:style w:type="character" w:customStyle="1" w:styleId="ac">
    <w:name w:val="页脚 字符"/>
    <w:basedOn w:val="a0"/>
    <w:link w:val="ab"/>
    <w:uiPriority w:val="99"/>
    <w:rsid w:val="000B0697"/>
    <w:rPr>
      <w:rFonts w:ascii="Times New Roman" w:eastAsia="宋体" w:hAnsi="Times New Roman" w:cs="Times New Roman"/>
      <w:sz w:val="18"/>
      <w:szCs w:val="18"/>
    </w:rPr>
  </w:style>
  <w:style w:type="paragraph" w:styleId="ad">
    <w:name w:val="No Spacing"/>
    <w:uiPriority w:val="1"/>
    <w:qFormat/>
    <w:rsid w:val="00450D16"/>
    <w:pPr>
      <w:widowControl w:val="0"/>
      <w:ind w:firstLineChars="200" w:firstLine="200"/>
      <w:jc w:val="both"/>
    </w:pPr>
    <w:rPr>
      <w:rFonts w:ascii="Times New Roman" w:eastAsia="宋体" w:hAnsi="Times New Roman" w:cs="Times New Roman"/>
      <w:sz w:val="24"/>
      <w:szCs w:val="21"/>
    </w:rPr>
  </w:style>
  <w:style w:type="paragraph" w:styleId="ae">
    <w:name w:val="Revision"/>
    <w:hidden/>
    <w:uiPriority w:val="99"/>
    <w:semiHidden/>
    <w:rsid w:val="001F7A89"/>
    <w:rPr>
      <w:rFonts w:ascii="Times New Roman" w:eastAsia="宋体" w:hAnsi="Times New Roman" w:cs="Times New Roman"/>
      <w:sz w:val="24"/>
      <w:szCs w:val="21"/>
    </w:rPr>
  </w:style>
  <w:style w:type="character" w:styleId="af">
    <w:name w:val="annotation reference"/>
    <w:basedOn w:val="a0"/>
    <w:uiPriority w:val="99"/>
    <w:semiHidden/>
    <w:unhideWhenUsed/>
    <w:rsid w:val="004D6CD5"/>
    <w:rPr>
      <w:sz w:val="16"/>
      <w:szCs w:val="16"/>
    </w:rPr>
  </w:style>
  <w:style w:type="paragraph" w:styleId="af0">
    <w:name w:val="annotation text"/>
    <w:basedOn w:val="a"/>
    <w:link w:val="af1"/>
    <w:uiPriority w:val="99"/>
    <w:unhideWhenUsed/>
    <w:rsid w:val="004D6CD5"/>
    <w:pPr>
      <w:spacing w:line="240" w:lineRule="auto"/>
    </w:pPr>
    <w:rPr>
      <w:sz w:val="20"/>
      <w:szCs w:val="20"/>
    </w:rPr>
  </w:style>
  <w:style w:type="character" w:customStyle="1" w:styleId="af1">
    <w:name w:val="批注文字 字符"/>
    <w:basedOn w:val="a0"/>
    <w:link w:val="af0"/>
    <w:uiPriority w:val="99"/>
    <w:rsid w:val="004D6CD5"/>
    <w:rPr>
      <w:rFonts w:ascii="Times New Roman" w:eastAsia="宋体" w:hAnsi="Times New Roman" w:cs="Times New Roman"/>
      <w:sz w:val="20"/>
      <w:szCs w:val="20"/>
    </w:rPr>
  </w:style>
  <w:style w:type="paragraph" w:styleId="af2">
    <w:name w:val="annotation subject"/>
    <w:basedOn w:val="af0"/>
    <w:next w:val="af0"/>
    <w:link w:val="af3"/>
    <w:uiPriority w:val="99"/>
    <w:semiHidden/>
    <w:unhideWhenUsed/>
    <w:rsid w:val="004D6CD5"/>
    <w:rPr>
      <w:b/>
      <w:bCs/>
    </w:rPr>
  </w:style>
  <w:style w:type="character" w:customStyle="1" w:styleId="af3">
    <w:name w:val="批注主题 字符"/>
    <w:basedOn w:val="af1"/>
    <w:link w:val="af2"/>
    <w:uiPriority w:val="99"/>
    <w:semiHidden/>
    <w:rsid w:val="004D6CD5"/>
    <w:rPr>
      <w:rFonts w:ascii="Times New Roman" w:eastAsia="宋体" w:hAnsi="Times New Roman" w:cs="Times New Roman"/>
      <w:b/>
      <w:bCs/>
      <w:sz w:val="20"/>
      <w:szCs w:val="20"/>
    </w:rPr>
  </w:style>
  <w:style w:type="paragraph" w:styleId="af4">
    <w:name w:val="footnote text"/>
    <w:basedOn w:val="a"/>
    <w:link w:val="af5"/>
    <w:uiPriority w:val="99"/>
    <w:semiHidden/>
    <w:unhideWhenUsed/>
    <w:rsid w:val="009F66C6"/>
    <w:pPr>
      <w:snapToGrid w:val="0"/>
      <w:jc w:val="left"/>
    </w:pPr>
    <w:rPr>
      <w:sz w:val="18"/>
      <w:szCs w:val="18"/>
    </w:rPr>
  </w:style>
  <w:style w:type="character" w:customStyle="1" w:styleId="af5">
    <w:name w:val="脚注文本 字符"/>
    <w:basedOn w:val="a0"/>
    <w:link w:val="af4"/>
    <w:uiPriority w:val="99"/>
    <w:semiHidden/>
    <w:rsid w:val="009F66C6"/>
    <w:rPr>
      <w:rFonts w:ascii="Times New Roman" w:eastAsia="宋体" w:hAnsi="Times New Roman" w:cs="Times New Roman"/>
      <w:sz w:val="18"/>
      <w:szCs w:val="18"/>
    </w:rPr>
  </w:style>
  <w:style w:type="character" w:styleId="af6">
    <w:name w:val="footnote reference"/>
    <w:basedOn w:val="a0"/>
    <w:uiPriority w:val="99"/>
    <w:semiHidden/>
    <w:unhideWhenUsed/>
    <w:rsid w:val="009F66C6"/>
    <w:rPr>
      <w:vertAlign w:val="superscript"/>
    </w:rPr>
  </w:style>
  <w:style w:type="character" w:styleId="af7">
    <w:name w:val="Hyperlink"/>
    <w:basedOn w:val="a0"/>
    <w:uiPriority w:val="99"/>
    <w:unhideWhenUsed/>
    <w:rsid w:val="00D94B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yu@dlut.edu.cn"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zhang@dlut.edu.cn"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352BB-30C4-4862-8801-B308344D5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8</Pages>
  <Words>1363</Words>
  <Characters>7772</Characters>
  <Application>Microsoft Office Word</Application>
  <DocSecurity>0</DocSecurity>
  <Lines>64</Lines>
  <Paragraphs>18</Paragraphs>
  <ScaleCrop>false</ScaleCrop>
  <Company>China</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dc:creator>
  <cp:keywords/>
  <dc:description/>
  <cp:lastModifiedBy>zhang bingyao</cp:lastModifiedBy>
  <cp:revision>20</cp:revision>
  <dcterms:created xsi:type="dcterms:W3CDTF">2021-10-15T11:39:00Z</dcterms:created>
  <dcterms:modified xsi:type="dcterms:W3CDTF">2022-01-18T12:46:00Z</dcterms:modified>
</cp:coreProperties>
</file>