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9C3" w:rsidRPr="00E915A5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7</w:t>
      </w:r>
      <w:r w:rsidRPr="00E915A5">
        <w:rPr>
          <w:rFonts w:ascii="Times New Roman" w:hAnsi="Times New Roman" w:cs="Times New Roman"/>
          <w:b/>
          <w:sz w:val="24"/>
          <w:szCs w:val="24"/>
          <w:lang w:val="en-US"/>
        </w:rPr>
        <w:t>: Description of health determinants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identified</w:t>
      </w:r>
      <w:r w:rsidRPr="00E915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us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ing linked data </w:t>
      </w:r>
      <w:r w:rsidRPr="00E915A5">
        <w:rPr>
          <w:rFonts w:ascii="Times New Roman" w:hAnsi="Times New Roman" w:cs="Times New Roman"/>
          <w:b/>
          <w:sz w:val="24"/>
          <w:szCs w:val="24"/>
          <w:lang w:val="en-US"/>
        </w:rPr>
        <w:t>across European countries in 2019</w:t>
      </w:r>
    </w:p>
    <w:tbl>
      <w:tblPr>
        <w:tblStyle w:val="Grilledutableau"/>
        <w:tblW w:w="89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94"/>
        <w:gridCol w:w="1816"/>
        <w:gridCol w:w="3544"/>
        <w:gridCol w:w="1559"/>
        <w:gridCol w:w="1417"/>
      </w:tblGrid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S/No</w:t>
            </w: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Domain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/Health condition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Health determinants (N = 34</w:t>
            </w: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Variables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can be stratified </w:t>
            </w: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by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European countries 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890FC1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90FC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8336" w:type="dxa"/>
            <w:gridSpan w:val="4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Physical environment (N = 12)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Emphysema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Air quality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BE, UK-WL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Injury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Place of injury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 and area of residence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NO, 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UK-WL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Type of injury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After injury hospitalized or not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Parkinson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Exposure to pesticides (i.e., agricultural activities, in vineyards, metallurgy and solvents, in textile industry)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Breast cancer mortality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Industrial pollution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Adiposity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Proximity of fast food outlets from areas of residence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 (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Various chronic health conditions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Alcohol outlet density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Area of residence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NO, SW, UK (SC,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Mental health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Presence to green-blue spaces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Access and visit to green-blue spaces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AA21AD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Visit to green-blue spaces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AA21AD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Housing quality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890FC1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90FC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8336" w:type="dxa"/>
            <w:gridSpan w:val="4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Socioeconomic and environment (N = 10)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Multi-morbidity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Number of single households of older people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and living condition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Breast cancer mortality, injury, diabetes, cardiovascular, mental health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Sociodemographic status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 and area of residence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EE, ES, FR, NL,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NO,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PT, 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 (SC, WL)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Socioeconomic status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NO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Employment status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Level of education achieved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NO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Deprivation index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Pre-term birth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Maternal education to measure social disparities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Injury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Time and distance between road accident and emergency room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Standardized absenteeism and attributable indirect costs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types of cancer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Accessibility to linear accelerators for radiotherapy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Area of residence</w:t>
            </w: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Pr="00890FC1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90FC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8336" w:type="dxa"/>
            <w:gridSpan w:val="4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Health behavior and life style (N = 6)</w:t>
            </w:r>
          </w:p>
        </w:tc>
      </w:tr>
      <w:tr w:rsidR="00D939C3" w:rsidRPr="00966EA5" w:rsidTr="00340367">
        <w:tc>
          <w:tcPr>
            <w:tcW w:w="594" w:type="dxa"/>
            <w:shd w:val="clear" w:color="auto" w:fill="auto"/>
          </w:tcPr>
          <w:p w:rsidR="00D939C3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Stroke, myocardial infarction, lung cancer, mental health, obesity, other chronic condition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Smoking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rate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sex, socioeconomic status and area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BE, CY, FR, IT, MT, NL, 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(SC,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Alcohol consumption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and sex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NO, UK-SC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Physical activity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162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UK-SC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Dietary consumption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162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UK-SC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Drug use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F162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UK-SC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Diabetes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Diabetes risk score 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 and area of residence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CY,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SL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890FC1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890FC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</w:p>
        </w:tc>
        <w:tc>
          <w:tcPr>
            <w:tcW w:w="8336" w:type="dxa"/>
            <w:gridSpan w:val="4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Biological/metabolic parameters (N = 3)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Self-reported BMI</w:t>
            </w:r>
          </w:p>
        </w:tc>
        <w:tc>
          <w:tcPr>
            <w:tcW w:w="1559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 and area of residence (i.e., in county, municipality)</w:t>
            </w: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UK-SC</w:t>
            </w:r>
          </w:p>
        </w:tc>
      </w:tr>
      <w:tr w:rsidR="00D939C3" w:rsidRPr="00040220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Diabetes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Blindness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Age, sex and area of residence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CY, FR</w:t>
            </w:r>
          </w:p>
        </w:tc>
      </w:tr>
      <w:tr w:rsidR="00D939C3" w:rsidRPr="008005EB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022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Proteinuria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939C3" w:rsidRPr="008005EB" w:rsidTr="00340367">
        <w:tc>
          <w:tcPr>
            <w:tcW w:w="594" w:type="dxa"/>
            <w:shd w:val="clear" w:color="auto" w:fill="auto"/>
          </w:tcPr>
          <w:p w:rsidR="00D939C3" w:rsidRPr="00D653B7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53B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8336" w:type="dxa"/>
            <w:gridSpan w:val="4"/>
            <w:shd w:val="clear" w:color="auto" w:fill="auto"/>
          </w:tcPr>
          <w:p w:rsidR="00D939C3" w:rsidRPr="00EB776C" w:rsidRDefault="00D939C3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B776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Others (N=3)</w:t>
            </w:r>
          </w:p>
        </w:tc>
      </w:tr>
      <w:tr w:rsidR="00D939C3" w:rsidRPr="008005EB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Road accidents, neurodegenerative disease 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Multi-morbidity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and sex</w:t>
            </w:r>
          </w:p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D939C3" w:rsidRPr="008005EB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 w:val="restart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Chronic health conditions</w:t>
            </w:r>
          </w:p>
        </w:tc>
        <w:tc>
          <w:tcPr>
            <w:tcW w:w="354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Disability 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D939C3" w:rsidRPr="008005EB" w:rsidTr="00340367">
        <w:tc>
          <w:tcPr>
            <w:tcW w:w="594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6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544" w:type="dxa"/>
            <w:shd w:val="clear" w:color="auto" w:fill="auto"/>
          </w:tcPr>
          <w:p w:rsidR="00D939C3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Frailty</w:t>
            </w:r>
          </w:p>
        </w:tc>
        <w:tc>
          <w:tcPr>
            <w:tcW w:w="1559" w:type="dxa"/>
            <w:vMerge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D939C3" w:rsidRPr="00040220" w:rsidRDefault="00D939C3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</w:tbl>
    <w:p w:rsidR="00D939C3" w:rsidRPr="00557226" w:rsidRDefault="00D939C3" w:rsidP="00D939C3">
      <w:pPr>
        <w:spacing w:after="0" w:line="480" w:lineRule="auto"/>
        <w:jc w:val="both"/>
        <w:rPr>
          <w:i/>
          <w:sz w:val="24"/>
          <w:szCs w:val="24"/>
          <w:u w:val="single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939C3" w:rsidRDefault="00D939C3" w:rsidP="00D939C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580" w:rsidRDefault="00D939C3"/>
    <w:sectPr w:rsidR="000E25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9C3"/>
    <w:rsid w:val="00600FE4"/>
    <w:rsid w:val="00AF7EB1"/>
    <w:rsid w:val="00D9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7826D"/>
  <w15:chartTrackingRefBased/>
  <w15:docId w15:val="{92C59C62-01EB-47EC-8B3E-6EAA2869F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39C3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93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ANSP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HANEEF Romana</dc:creator>
  <cp:keywords/>
  <dc:description/>
  <cp:lastModifiedBy>HANEEF Romana</cp:lastModifiedBy>
  <cp:revision>1</cp:revision>
  <dcterms:created xsi:type="dcterms:W3CDTF">2020-05-20T08:37:00Z</dcterms:created>
  <dcterms:modified xsi:type="dcterms:W3CDTF">2020-05-20T08:38:00Z</dcterms:modified>
</cp:coreProperties>
</file>