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260BA" w:rsidRDefault="009260BA" w:rsidP="009260BA">
      <w:pPr>
        <w:jc w:val="both"/>
        <w:rPr>
          <w:b/>
          <w:bCs/>
        </w:rPr>
      </w:pPr>
      <w:r>
        <w:rPr>
          <w:b/>
          <w:bCs/>
        </w:rPr>
        <w:t>Supplementary Material</w:t>
      </w:r>
      <w:bookmarkStart w:id="0" w:name="_GoBack"/>
      <w:bookmarkEnd w:id="0"/>
    </w:p>
    <w:p w:rsidR="009260BA" w:rsidRPr="009260BA" w:rsidRDefault="009260BA" w:rsidP="009260BA">
      <w:pPr>
        <w:jc w:val="both"/>
        <w:rPr>
          <w:b/>
          <w:bCs/>
        </w:rPr>
      </w:pPr>
      <w:r>
        <w:rPr>
          <w:b/>
          <w:bCs/>
        </w:rPr>
        <w:t>Supplementary Figure 1 – Surgical model</w:t>
      </w:r>
      <w:r>
        <w:rPr>
          <w:b/>
          <w:bCs/>
        </w:rPr>
        <w:t xml:space="preserve"> </w:t>
      </w:r>
      <w:r w:rsidRPr="00CF5C9F">
        <w:t xml:space="preserve">Exposure and vessel clamping during the induction of warm ischemic injury in the mouse hind limb. </w:t>
      </w:r>
      <w:r>
        <w:t>A</w:t>
      </w:r>
      <w:r w:rsidRPr="00CF5C9F">
        <w:t>pplying the (A) arterial and (B) venous vessel clamps after transection of the (C) ventral and dorsal muscle groups of the thigh while preserving all (D) major nerve branches allows for reliable induction of warm ischemic injury.</w:t>
      </w:r>
    </w:p>
    <w:p w:rsidR="002B7626" w:rsidRDefault="009260BA">
      <w:r>
        <w:rPr>
          <w:noProof/>
        </w:rPr>
        <w:drawing>
          <wp:inline distT="0" distB="0" distL="0" distR="0">
            <wp:extent cx="5756910" cy="2650490"/>
            <wp:effectExtent l="0" t="0" r="0" b="381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plementary Figure 1.tiff"/>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56910" cy="2650490"/>
                    </a:xfrm>
                    <a:prstGeom prst="rect">
                      <a:avLst/>
                    </a:prstGeom>
                  </pic:spPr>
                </pic:pic>
              </a:graphicData>
            </a:graphic>
          </wp:inline>
        </w:drawing>
      </w:r>
    </w:p>
    <w:p w:rsidR="009260BA" w:rsidRDefault="009260BA" w:rsidP="009260BA">
      <w:pPr>
        <w:jc w:val="both"/>
        <w:rPr>
          <w:b/>
          <w:bCs/>
        </w:rPr>
      </w:pPr>
      <w:r>
        <w:rPr>
          <w:b/>
          <w:bCs/>
        </w:rPr>
        <w:br w:type="page"/>
      </w:r>
    </w:p>
    <w:p w:rsidR="009260BA" w:rsidRDefault="009260BA" w:rsidP="009260BA">
      <w:pPr>
        <w:jc w:val="both"/>
        <w:rPr>
          <w:b/>
          <w:bCs/>
        </w:rPr>
      </w:pPr>
      <w:r w:rsidRPr="009260BA">
        <w:rPr>
          <w:b/>
          <w:bCs/>
        </w:rPr>
        <w:lastRenderedPageBreak/>
        <w:t>Supplementary Figure 2 – Cell injection</w:t>
      </w:r>
      <w:r>
        <w:rPr>
          <w:b/>
          <w:bCs/>
        </w:rPr>
        <w:t xml:space="preserve"> </w:t>
      </w:r>
      <w:r w:rsidRPr="009260BA">
        <w:rPr>
          <w:b/>
          <w:bCs/>
        </w:rPr>
        <w:t>(</w:t>
      </w:r>
      <w:r w:rsidRPr="00CF5C9F">
        <w:t>A) Injection</w:t>
      </w:r>
      <w:r>
        <w:t>s</w:t>
      </w:r>
      <w:r w:rsidRPr="00CF5C9F">
        <w:t xml:space="preserve"> of MPC</w:t>
      </w:r>
      <w:r>
        <w:t>s</w:t>
      </w:r>
      <w:r w:rsidRPr="00CF5C9F">
        <w:t xml:space="preserve"> w</w:t>
      </w:r>
      <w:r>
        <w:t>ere</w:t>
      </w:r>
      <w:r w:rsidRPr="00CF5C9F">
        <w:t xml:space="preserve"> performed in the </w:t>
      </w:r>
      <w:r w:rsidRPr="009260BA">
        <w:rPr>
          <w:i/>
          <w:iCs/>
        </w:rPr>
        <w:t>tibialis anterior</w:t>
      </w:r>
      <w:r w:rsidRPr="00CF5C9F">
        <w:t xml:space="preserve"> muscle after release of vascular clamps and successful reperfusion using a </w:t>
      </w:r>
      <w:r w:rsidRPr="00C94F44">
        <w:t>custom-made</w:t>
      </w:r>
      <w:r w:rsidRPr="00A7175E">
        <w:t xml:space="preserve"> injector</w:t>
      </w:r>
      <w:r>
        <w:t xml:space="preserve"> </w:t>
      </w:r>
      <w:r w:rsidRPr="00A7175E">
        <w:t>containing</w:t>
      </w:r>
      <w:r>
        <w:t xml:space="preserve"> </w:t>
      </w:r>
      <w:r w:rsidRPr="00A7175E">
        <w:t>4 needles (</w:t>
      </w:r>
      <w:r>
        <w:t>30</w:t>
      </w:r>
      <w:r w:rsidRPr="00A7175E">
        <w:t>G)</w:t>
      </w:r>
      <w:r>
        <w:t xml:space="preserve"> mounted on</w:t>
      </w:r>
      <w:r w:rsidRPr="00A7175E">
        <w:t xml:space="preserve"> a 1 ml syringe</w:t>
      </w:r>
      <w:r>
        <w:t xml:space="preserve">. (B) Sham injections were performed after exposure of the </w:t>
      </w:r>
      <w:r w:rsidRPr="009260BA">
        <w:rPr>
          <w:i/>
          <w:iCs/>
        </w:rPr>
        <w:t>tibialis anterior</w:t>
      </w:r>
      <w:r>
        <w:t xml:space="preserve"> muscle. (C) Co-injected </w:t>
      </w:r>
      <w:proofErr w:type="spellStart"/>
      <w:r w:rsidRPr="00A7175E">
        <w:t>FluoSpheres</w:t>
      </w:r>
      <w:proofErr w:type="spellEnd"/>
      <w:r w:rsidRPr="00A7175E">
        <w:t xml:space="preserve">® polystyrene beads </w:t>
      </w:r>
      <w:r>
        <w:t>(</w:t>
      </w:r>
      <w:r w:rsidRPr="00A7175E">
        <w:t>15 µm, yellow-</w:t>
      </w:r>
      <w:r>
        <w:t xml:space="preserve">green) were visible macroscopically after injection in the </w:t>
      </w:r>
      <w:r w:rsidRPr="009260BA">
        <w:rPr>
          <w:i/>
          <w:iCs/>
        </w:rPr>
        <w:t>tibialis anterior</w:t>
      </w:r>
      <w:r w:rsidRPr="00A7175E">
        <w:t xml:space="preserve"> </w:t>
      </w:r>
      <w:r>
        <w:t>muscle. G, gauge; MPC, myogenic progenitor cell.</w:t>
      </w:r>
    </w:p>
    <w:p w:rsidR="009260BA" w:rsidRDefault="009260BA" w:rsidP="009260BA">
      <w:pPr>
        <w:jc w:val="both"/>
        <w:rPr>
          <w:b/>
          <w:bCs/>
        </w:rPr>
      </w:pPr>
      <w:r>
        <w:rPr>
          <w:noProof/>
        </w:rPr>
        <w:drawing>
          <wp:anchor distT="0" distB="0" distL="114300" distR="114300" simplePos="0" relativeHeight="251658240" behindDoc="0" locked="0" layoutInCell="1" allowOverlap="1">
            <wp:simplePos x="0" y="0"/>
            <wp:positionH relativeFrom="column">
              <wp:posOffset>858520</wp:posOffset>
            </wp:positionH>
            <wp:positionV relativeFrom="paragraph">
              <wp:posOffset>49237</wp:posOffset>
            </wp:positionV>
            <wp:extent cx="3396508" cy="7367954"/>
            <wp:effectExtent l="0" t="0" r="0" b="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upplementary Figure 2.tiff"/>
                    <pic:cNvPicPr/>
                  </pic:nvPicPr>
                  <pic:blipFill>
                    <a:blip r:embed="rId6" cstate="print">
                      <a:extLst>
                        <a:ext uri="{28A0092B-C50C-407E-A947-70E740481C1C}">
                          <a14:useLocalDpi xmlns:a14="http://schemas.microsoft.com/office/drawing/2010/main" val="0"/>
                        </a:ext>
                      </a:extLst>
                    </a:blip>
                    <a:stretch>
                      <a:fillRect/>
                    </a:stretch>
                  </pic:blipFill>
                  <pic:spPr>
                    <a:xfrm>
                      <a:off x="0" y="0"/>
                      <a:ext cx="3396508" cy="7367954"/>
                    </a:xfrm>
                    <a:prstGeom prst="rect">
                      <a:avLst/>
                    </a:prstGeom>
                  </pic:spPr>
                </pic:pic>
              </a:graphicData>
            </a:graphic>
            <wp14:sizeRelH relativeFrom="page">
              <wp14:pctWidth>0</wp14:pctWidth>
            </wp14:sizeRelH>
            <wp14:sizeRelV relativeFrom="page">
              <wp14:pctHeight>0</wp14:pctHeight>
            </wp14:sizeRelV>
          </wp:anchor>
        </w:drawing>
      </w:r>
    </w:p>
    <w:p w:rsidR="009260BA" w:rsidRDefault="009260BA" w:rsidP="009260BA">
      <w:pPr>
        <w:jc w:val="both"/>
        <w:rPr>
          <w:b/>
          <w:bCs/>
        </w:rPr>
      </w:pPr>
    </w:p>
    <w:p w:rsidR="009260BA" w:rsidRDefault="009260BA" w:rsidP="009260BA">
      <w:pPr>
        <w:jc w:val="both"/>
        <w:rPr>
          <w:b/>
          <w:bCs/>
        </w:rPr>
      </w:pPr>
    </w:p>
    <w:p w:rsidR="009260BA" w:rsidRDefault="009260BA" w:rsidP="009260BA">
      <w:pPr>
        <w:jc w:val="both"/>
        <w:rPr>
          <w:b/>
          <w:bCs/>
        </w:rPr>
      </w:pPr>
    </w:p>
    <w:p w:rsidR="009260BA" w:rsidRDefault="009260BA" w:rsidP="009260BA">
      <w:pPr>
        <w:jc w:val="both"/>
        <w:rPr>
          <w:b/>
          <w:bCs/>
        </w:rPr>
      </w:pPr>
    </w:p>
    <w:p w:rsidR="009260BA" w:rsidRDefault="009260BA" w:rsidP="009260BA">
      <w:pPr>
        <w:jc w:val="both"/>
        <w:rPr>
          <w:b/>
          <w:bCs/>
        </w:rPr>
      </w:pPr>
    </w:p>
    <w:p w:rsidR="009260BA" w:rsidRDefault="009260BA" w:rsidP="009260BA">
      <w:pPr>
        <w:jc w:val="both"/>
        <w:rPr>
          <w:b/>
          <w:bCs/>
        </w:rPr>
      </w:pPr>
    </w:p>
    <w:p w:rsidR="009260BA" w:rsidRDefault="009260BA" w:rsidP="009260BA">
      <w:pPr>
        <w:jc w:val="both"/>
        <w:rPr>
          <w:b/>
          <w:bCs/>
        </w:rPr>
      </w:pPr>
    </w:p>
    <w:p w:rsidR="009260BA" w:rsidRDefault="009260BA" w:rsidP="009260BA">
      <w:pPr>
        <w:jc w:val="both"/>
        <w:rPr>
          <w:b/>
          <w:bCs/>
        </w:rPr>
      </w:pPr>
    </w:p>
    <w:p w:rsidR="009260BA" w:rsidRDefault="009260BA" w:rsidP="009260BA">
      <w:pPr>
        <w:jc w:val="both"/>
        <w:rPr>
          <w:b/>
          <w:bCs/>
        </w:rPr>
      </w:pPr>
    </w:p>
    <w:p w:rsidR="009260BA" w:rsidRDefault="009260BA" w:rsidP="009260BA">
      <w:pPr>
        <w:jc w:val="both"/>
        <w:rPr>
          <w:b/>
          <w:bCs/>
        </w:rPr>
      </w:pPr>
    </w:p>
    <w:p w:rsidR="009260BA" w:rsidRDefault="009260BA" w:rsidP="009260BA">
      <w:pPr>
        <w:jc w:val="both"/>
        <w:rPr>
          <w:b/>
          <w:bCs/>
        </w:rPr>
      </w:pPr>
    </w:p>
    <w:p w:rsidR="009260BA" w:rsidRDefault="009260BA" w:rsidP="009260BA">
      <w:pPr>
        <w:jc w:val="both"/>
        <w:rPr>
          <w:b/>
          <w:bCs/>
        </w:rPr>
      </w:pPr>
    </w:p>
    <w:p w:rsidR="009260BA" w:rsidRDefault="009260BA" w:rsidP="009260BA">
      <w:pPr>
        <w:jc w:val="both"/>
        <w:rPr>
          <w:b/>
          <w:bCs/>
        </w:rPr>
      </w:pPr>
    </w:p>
    <w:p w:rsidR="009260BA" w:rsidRDefault="009260BA" w:rsidP="009260BA">
      <w:pPr>
        <w:jc w:val="both"/>
        <w:rPr>
          <w:b/>
          <w:bCs/>
        </w:rPr>
      </w:pPr>
    </w:p>
    <w:p w:rsidR="009260BA" w:rsidRDefault="009260BA" w:rsidP="009260BA">
      <w:pPr>
        <w:jc w:val="both"/>
        <w:rPr>
          <w:b/>
          <w:bCs/>
        </w:rPr>
      </w:pPr>
    </w:p>
    <w:p w:rsidR="009260BA" w:rsidRDefault="009260BA" w:rsidP="009260BA">
      <w:pPr>
        <w:jc w:val="both"/>
        <w:rPr>
          <w:b/>
          <w:bCs/>
        </w:rPr>
      </w:pPr>
    </w:p>
    <w:p w:rsidR="009260BA" w:rsidRDefault="009260BA" w:rsidP="009260BA">
      <w:pPr>
        <w:jc w:val="both"/>
        <w:rPr>
          <w:b/>
          <w:bCs/>
        </w:rPr>
      </w:pPr>
    </w:p>
    <w:p w:rsidR="009260BA" w:rsidRDefault="009260BA" w:rsidP="009260BA">
      <w:pPr>
        <w:jc w:val="both"/>
        <w:rPr>
          <w:b/>
          <w:bCs/>
        </w:rPr>
      </w:pPr>
    </w:p>
    <w:p w:rsidR="009260BA" w:rsidRDefault="009260BA" w:rsidP="009260BA">
      <w:pPr>
        <w:jc w:val="both"/>
        <w:rPr>
          <w:b/>
          <w:bCs/>
        </w:rPr>
      </w:pPr>
    </w:p>
    <w:p w:rsidR="009260BA" w:rsidRDefault="009260BA" w:rsidP="009260BA">
      <w:pPr>
        <w:jc w:val="both"/>
        <w:rPr>
          <w:b/>
          <w:bCs/>
        </w:rPr>
      </w:pPr>
    </w:p>
    <w:p w:rsidR="009260BA" w:rsidRDefault="009260BA" w:rsidP="009260BA">
      <w:pPr>
        <w:jc w:val="both"/>
        <w:rPr>
          <w:b/>
          <w:bCs/>
        </w:rPr>
      </w:pPr>
    </w:p>
    <w:p w:rsidR="009260BA" w:rsidRDefault="009260BA" w:rsidP="009260BA">
      <w:pPr>
        <w:jc w:val="both"/>
        <w:rPr>
          <w:b/>
          <w:bCs/>
        </w:rPr>
      </w:pPr>
      <w:r w:rsidRPr="00CF5C9F">
        <w:rPr>
          <w:b/>
          <w:bCs/>
        </w:rPr>
        <w:lastRenderedPageBreak/>
        <w:t>Supplementary Figure 3</w:t>
      </w:r>
      <w:r>
        <w:rPr>
          <w:b/>
          <w:bCs/>
        </w:rPr>
        <w:t xml:space="preserve"> – Customized injectors</w:t>
      </w:r>
      <w:r>
        <w:rPr>
          <w:b/>
          <w:bCs/>
        </w:rPr>
        <w:t xml:space="preserve"> </w:t>
      </w:r>
      <w:proofErr w:type="gramStart"/>
      <w:r>
        <w:t>In</w:t>
      </w:r>
      <w:proofErr w:type="gramEnd"/>
      <w:r>
        <w:t xml:space="preserve"> order to assess the best mode of injection, different </w:t>
      </w:r>
      <w:r w:rsidRPr="00C94F44">
        <w:t>custom-made</w:t>
      </w:r>
      <w:r w:rsidRPr="00A7175E">
        <w:t xml:space="preserve"> injector</w:t>
      </w:r>
      <w:r>
        <w:t xml:space="preserve">s were tested. While a standard 30 G injection needle consists of one needle (A), </w:t>
      </w:r>
      <w:r w:rsidRPr="00C94F44">
        <w:t>custom-made</w:t>
      </w:r>
      <w:r>
        <w:t xml:space="preserve"> </w:t>
      </w:r>
      <w:r w:rsidRPr="00A7175E">
        <w:t>injector</w:t>
      </w:r>
      <w:r>
        <w:t xml:space="preserve">s </w:t>
      </w:r>
      <w:r w:rsidRPr="00A7175E">
        <w:t>containing</w:t>
      </w:r>
      <w:r>
        <w:t xml:space="preserve"> 2 (B), 4 (C), and 8 (D)</w:t>
      </w:r>
      <w:r w:rsidRPr="00A7175E">
        <w:t xml:space="preserve"> needles (</w:t>
      </w:r>
      <w:r>
        <w:t xml:space="preserve">30 </w:t>
      </w:r>
      <w:r w:rsidRPr="00A7175E">
        <w:t>G)</w:t>
      </w:r>
      <w:r>
        <w:t xml:space="preserve"> were tested. The injector containing four needles (C) was most effective in cell aspiration, injection, and distribution of cells. With the injector containing 8 needles, aspiration of the 30 µl injection volume was not possible without aspiration of air. G, gauge.</w:t>
      </w:r>
    </w:p>
    <w:p w:rsidR="009260BA" w:rsidRPr="009260BA" w:rsidRDefault="009260BA" w:rsidP="009260BA">
      <w:pPr>
        <w:jc w:val="both"/>
        <w:rPr>
          <w:b/>
          <w:bCs/>
        </w:rPr>
      </w:pPr>
      <w:r>
        <w:rPr>
          <w:b/>
          <w:bCs/>
          <w:noProof/>
        </w:rPr>
        <w:drawing>
          <wp:inline distT="0" distB="0" distL="0" distR="0" wp14:anchorId="6DD600B0" wp14:editId="45E54D42">
            <wp:extent cx="5756910" cy="3411220"/>
            <wp:effectExtent l="0" t="0" r="0" b="508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upplementary Figure 3.tiff"/>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56910" cy="3411220"/>
                    </a:xfrm>
                    <a:prstGeom prst="rect">
                      <a:avLst/>
                    </a:prstGeom>
                  </pic:spPr>
                </pic:pic>
              </a:graphicData>
            </a:graphic>
          </wp:inline>
        </w:drawing>
      </w:r>
    </w:p>
    <w:sectPr w:rsidR="009260BA" w:rsidRPr="009260BA" w:rsidSect="005421D1">
      <w:pgSz w:w="11900" w:h="16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6D4BAF"/>
    <w:multiLevelType w:val="hybridMultilevel"/>
    <w:tmpl w:val="4106CD96"/>
    <w:lvl w:ilvl="0" w:tplc="DF6243BE">
      <w:start w:val="1"/>
      <w:numFmt w:val="upp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60BA"/>
    <w:rsid w:val="002B7626"/>
    <w:rsid w:val="005421D1"/>
    <w:rsid w:val="00594623"/>
    <w:rsid w:val="007A407A"/>
    <w:rsid w:val="009260BA"/>
    <w:rsid w:val="00F0728F"/>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5E007E"/>
  <w15:chartTrackingRefBased/>
  <w15:docId w15:val="{201794FB-FFFE-8242-AB77-97B6F3C807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AT"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Standard">
    <w:name w:val="Normal"/>
    <w:qFormat/>
    <w:rsid w:val="009260BA"/>
    <w:pPr>
      <w:spacing w:after="160" w:line="360" w:lineRule="auto"/>
    </w:pPr>
    <w:rPr>
      <w:rFonts w:ascii="Arial" w:hAnsi="Arial"/>
      <w:sz w:val="22"/>
      <w:szCs w:val="22"/>
      <w:lang w:val="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9260B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tif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203</Words>
  <Characters>1285</Characters>
  <Application>Microsoft Office Word</Application>
  <DocSecurity>0</DocSecurity>
  <Lines>10</Lines>
  <Paragraphs>2</Paragraphs>
  <ScaleCrop>false</ScaleCrop>
  <Company/>
  <LinksUpToDate>false</LinksUpToDate>
  <CharactersWithSpaces>1486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Franka Messner</dc:creator>
  <cp:keywords/>
  <dc:description/>
  <cp:lastModifiedBy>Franka Messner</cp:lastModifiedBy>
  <cp:revision>1</cp:revision>
  <dcterms:created xsi:type="dcterms:W3CDTF">2020-11-24T14:52:00Z</dcterms:created>
  <dcterms:modified xsi:type="dcterms:W3CDTF">2020-11-24T15:02:00Z</dcterms:modified>
</cp:coreProperties>
</file>