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EDE80" w14:textId="7ED8FE42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FCC7D21" wp14:editId="0C3C42BD">
            <wp:extent cx="5943600" cy="1695450"/>
            <wp:effectExtent l="0" t="0" r="0" b="0"/>
            <wp:docPr id="10" name="Picture 1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ACE56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Extended Data Fig. 1 | Diagram of example simple and complex structural variants and their aberrant alignment patterns.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, The </w:t>
      </w:r>
      <w:proofErr w:type="gramStart"/>
      <w:r>
        <w:rPr>
          <w:rFonts w:ascii="Times New Roman" w:hAnsi="Times New Roman" w:cs="Times New Roman"/>
        </w:rPr>
        <w:t>diagram</w:t>
      </w:r>
      <w:proofErr w:type="gramEnd"/>
      <w:r>
        <w:rPr>
          <w:rFonts w:ascii="Times New Roman" w:hAnsi="Times New Roman" w:cs="Times New Roman"/>
        </w:rPr>
        <w:t xml:space="preserve"> and alignment pattern of a simple deletion.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diagram and alignment pattern of a deletion associated with inversion, where the inverted segment occurred at the 3’ flank region of the deletion. </w:t>
      </w:r>
    </w:p>
    <w:p w14:paraId="099A7A0F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6494980" w14:textId="7ED87474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2E9600F" wp14:editId="67BAA853">
            <wp:extent cx="5943600" cy="4781550"/>
            <wp:effectExtent l="0" t="0" r="0" b="0"/>
            <wp:docPr id="9" name="Picture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561E1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Extended Data Fig. 2 | Performance evaluation of callers with HG002 </w:t>
      </w:r>
      <w:proofErr w:type="spellStart"/>
      <w:r>
        <w:rPr>
          <w:rFonts w:ascii="Times New Roman" w:hAnsi="Times New Roman" w:cs="Times New Roman"/>
          <w:b/>
          <w:bCs/>
        </w:rPr>
        <w:t>truthset</w:t>
      </w:r>
      <w:proofErr w:type="spellEnd"/>
      <w:r>
        <w:rPr>
          <w:rFonts w:ascii="Times New Roman" w:hAnsi="Times New Roman" w:cs="Times New Roman"/>
          <w:b/>
          <w:bCs/>
        </w:rPr>
        <w:t xml:space="preserve"> at different coverages and platforms.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t xml:space="preserve"> F-score of callers on different platforms evaluated with </w:t>
      </w:r>
      <w:proofErr w:type="spellStart"/>
      <w:r>
        <w:rPr>
          <w:rFonts w:ascii="Times New Roman" w:hAnsi="Times New Roman" w:cs="Times New Roman"/>
        </w:rPr>
        <w:t>Truvari</w:t>
      </w:r>
      <w:proofErr w:type="spellEnd"/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precision (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-axis), recall (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</w:rPr>
        <w:t xml:space="preserve">-axis) and F-score (F, dotted line) measurements of detecting SVs from HiFi data at different coverages. 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precision and recall measurements of detecting SVs from ONT data at different coverages.  </w:t>
      </w:r>
    </w:p>
    <w:p w14:paraId="31D8DF4A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7FAD898" w14:textId="0FD1572B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E171011" wp14:editId="7E5EA448">
            <wp:extent cx="5943600" cy="8077200"/>
            <wp:effectExtent l="0" t="0" r="0" b="0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440B3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Extended Data Fig. 3 | Simulated complex structural variant types and performance of detecting complex structural variant subcomponents.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, The diagrams of simulated complex structural variants (CSV). Each type has a unique ID and a </w:t>
      </w:r>
      <w:proofErr w:type="gramStart"/>
      <w:r>
        <w:rPr>
          <w:rFonts w:ascii="Times New Roman" w:hAnsi="Times New Roman" w:cs="Times New Roman"/>
        </w:rPr>
        <w:t>type</w:t>
      </w:r>
      <w:proofErr w:type="gramEnd"/>
      <w:r>
        <w:rPr>
          <w:rFonts w:ascii="Times New Roman" w:hAnsi="Times New Roman" w:cs="Times New Roman"/>
        </w:rPr>
        <w:t xml:space="preserve"> definition.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, The size distribution of simulated CSVs smaller than 1Kbp (1,200 events). 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 xml:space="preserve">, The size distribution of simulated CSVs larger than 1Kbp (1,800 events).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region-match recall rates of model-based callers for detecting subcomponents (i.e., DUP-duplication, DEL-deletion, INV-inversion) of CSVs. </w:t>
      </w:r>
    </w:p>
    <w:p w14:paraId="4442C1B5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00E1CD0" w14:textId="00FE5FAA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D0363D" wp14:editId="607198C3">
            <wp:extent cx="5943600" cy="3028950"/>
            <wp:effectExtent l="0" t="0" r="0" b="0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42C28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Extended Data Fig. 4 | The diagrams and alignment patterns of two unclassified complex structural variants.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SVision</w:t>
      </w:r>
      <w:proofErr w:type="spellEnd"/>
      <w:r>
        <w:rPr>
          <w:rFonts w:ascii="Times New Roman" w:hAnsi="Times New Roman" w:cs="Times New Roman"/>
        </w:rPr>
        <w:t xml:space="preserve"> correctly detected a deleted sequence replaced with dispersed duplication and inverted duplication.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SVision</w:t>
      </w:r>
      <w:proofErr w:type="spellEnd"/>
      <w:r>
        <w:rPr>
          <w:rFonts w:ascii="Times New Roman" w:hAnsi="Times New Roman" w:cs="Times New Roman"/>
        </w:rPr>
        <w:t xml:space="preserve"> characterized a complex insertion, consisting of two dispersed duplications and one inverted duplication. Both types of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and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 are labeled as unclassified (NA) in the 1KGP call set. The top panel of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and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 are the discordant alignments derived from short-read sequencing (i.e., one end unmapped and discordant alignment). The bottom panels of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and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 describe the abnormal alignments from long-read alignment.</w:t>
      </w:r>
    </w:p>
    <w:p w14:paraId="2BCED725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206D66" w14:textId="0DA5C04E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BDA8BC" wp14:editId="1E285DDE">
            <wp:extent cx="5943600" cy="6029325"/>
            <wp:effectExtent l="0" t="0" r="0" b="9525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2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1BC6B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Extended Data Fig. 5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| One example of simple deletion misinterpreted as complex event by short-read data due to local repeats. a, </w:t>
      </w:r>
      <w:r>
        <w:rPr>
          <w:rFonts w:ascii="Times New Roman" w:hAnsi="Times New Roman" w:cs="Times New Roman"/>
        </w:rPr>
        <w:t xml:space="preserve">Two </w:t>
      </w:r>
      <w:proofErr w:type="spellStart"/>
      <w:r>
        <w:rPr>
          <w:rFonts w:ascii="Times New Roman" w:hAnsi="Times New Roman" w:cs="Times New Roman"/>
        </w:rPr>
        <w:t>Dotplots</w:t>
      </w:r>
      <w:proofErr w:type="spellEnd"/>
      <w:r>
        <w:rPr>
          <w:rFonts w:ascii="Times New Roman" w:hAnsi="Times New Roman" w:cs="Times New Roman"/>
        </w:rPr>
        <w:t xml:space="preserve"> are created with </w:t>
      </w:r>
      <w:proofErr w:type="spellStart"/>
      <w:r>
        <w:rPr>
          <w:rFonts w:ascii="Times New Roman" w:hAnsi="Times New Roman" w:cs="Times New Roman"/>
        </w:rPr>
        <w:t>Gepard</w:t>
      </w:r>
      <w:proofErr w:type="spellEnd"/>
      <w:r>
        <w:rPr>
          <w:rFonts w:ascii="Times New Roman" w:hAnsi="Times New Roman" w:cs="Times New Roman"/>
        </w:rPr>
        <w:t xml:space="preserve"> to illustrate the local repeats at the variant locus on the reference genome (left) and the breakpoints comparing HiFi read (READ, 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</w:rPr>
        <w:t xml:space="preserve">-axis) and the reference genome (REF, 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 xml:space="preserve">-axis).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, The IGV view at this locus with reads grouped by pair orientation and colored by insert-size and pair orientation.</w:t>
      </w:r>
    </w:p>
    <w:p w14:paraId="3F7630F5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44109E9" w14:textId="453951A1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9FF27B1" wp14:editId="673A5E1C">
            <wp:extent cx="5743575" cy="8229600"/>
            <wp:effectExtent l="0" t="0" r="9525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6007E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Extended Data Fig. 6 | Examples of reported complex structural variant types identified by </w:t>
      </w:r>
      <w:proofErr w:type="spellStart"/>
      <w:r>
        <w:rPr>
          <w:rFonts w:ascii="Times New Roman" w:hAnsi="Times New Roman" w:cs="Times New Roman"/>
          <w:b/>
          <w:bCs/>
        </w:rPr>
        <w:t>SVision</w:t>
      </w:r>
      <w:proofErr w:type="spellEnd"/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, One of the 12 inverted duplication events detected by </w:t>
      </w:r>
      <w:proofErr w:type="spellStart"/>
      <w:r>
        <w:rPr>
          <w:rFonts w:ascii="Times New Roman" w:hAnsi="Times New Roman" w:cs="Times New Roman"/>
        </w:rPr>
        <w:t>SVision</w:t>
      </w:r>
      <w:proofErr w:type="spellEnd"/>
      <w:r>
        <w:rPr>
          <w:rFonts w:ascii="Times New Roman" w:hAnsi="Times New Roman" w:cs="Times New Roman"/>
        </w:rPr>
        <w:t xml:space="preserve"> and classified as CSV graph structure ‘12’,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, One of the eight deletion associated with inversion events detected by </w:t>
      </w:r>
      <w:proofErr w:type="spellStart"/>
      <w:r>
        <w:rPr>
          <w:rFonts w:ascii="Times New Roman" w:hAnsi="Times New Roman" w:cs="Times New Roman"/>
        </w:rPr>
        <w:t>SVison</w:t>
      </w:r>
      <w:proofErr w:type="spellEnd"/>
      <w:r>
        <w:rPr>
          <w:rFonts w:ascii="Times New Roman" w:hAnsi="Times New Roman" w:cs="Times New Roman"/>
        </w:rPr>
        <w:t xml:space="preserve"> and classified as CSV graph structure ‘15’. 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 xml:space="preserve">, One of the five multiple-deletion with spacer events detected by </w:t>
      </w:r>
      <w:proofErr w:type="spellStart"/>
      <w:r>
        <w:rPr>
          <w:rFonts w:ascii="Times New Roman" w:hAnsi="Times New Roman" w:cs="Times New Roman"/>
        </w:rPr>
        <w:t>SVision</w:t>
      </w:r>
      <w:proofErr w:type="spellEnd"/>
      <w:r>
        <w:rPr>
          <w:rFonts w:ascii="Times New Roman" w:hAnsi="Times New Roman" w:cs="Times New Roman"/>
        </w:rPr>
        <w:t xml:space="preserve"> and classified as CSV graph structure ‘27’.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</w:rPr>
        <w:t xml:space="preserve">, One of ten deletion with inverted duplication events detected by </w:t>
      </w:r>
      <w:proofErr w:type="spellStart"/>
      <w:r>
        <w:rPr>
          <w:rFonts w:ascii="Times New Roman" w:hAnsi="Times New Roman" w:cs="Times New Roman"/>
        </w:rPr>
        <w:t>SVision</w:t>
      </w:r>
      <w:proofErr w:type="spellEnd"/>
      <w:r>
        <w:rPr>
          <w:rFonts w:ascii="Times New Roman" w:hAnsi="Times New Roman" w:cs="Times New Roman"/>
        </w:rPr>
        <w:t xml:space="preserve"> and classified as CSV graph structure ‘23’. 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</w:rPr>
        <w:t xml:space="preserve">, One of the five deletion with duplication events detected by </w:t>
      </w:r>
      <w:proofErr w:type="spellStart"/>
      <w:r>
        <w:rPr>
          <w:rFonts w:ascii="Times New Roman" w:hAnsi="Times New Roman" w:cs="Times New Roman"/>
        </w:rPr>
        <w:t>SVision</w:t>
      </w:r>
      <w:proofErr w:type="spellEnd"/>
      <w:r>
        <w:rPr>
          <w:rFonts w:ascii="Times New Roman" w:hAnsi="Times New Roman" w:cs="Times New Roman"/>
        </w:rPr>
        <w:t xml:space="preserve"> and classified as CSV graph structure ‘28’. From figure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to (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</w:rPr>
        <w:t xml:space="preserve">), the </w:t>
      </w:r>
      <w:proofErr w:type="spellStart"/>
      <w:r>
        <w:rPr>
          <w:rFonts w:ascii="Times New Roman" w:hAnsi="Times New Roman" w:cs="Times New Roman"/>
        </w:rPr>
        <w:t>Dotplots</w:t>
      </w:r>
      <w:proofErr w:type="spellEnd"/>
      <w:r>
        <w:rPr>
          <w:rFonts w:ascii="Times New Roman" w:hAnsi="Times New Roman" w:cs="Times New Roman"/>
        </w:rPr>
        <w:t xml:space="preserve"> on the left column are </w:t>
      </w:r>
      <w:proofErr w:type="spellStart"/>
      <w:r>
        <w:rPr>
          <w:rFonts w:ascii="Times New Roman" w:hAnsi="Times New Roman" w:cs="Times New Roman"/>
        </w:rPr>
        <w:t>SVision</w:t>
      </w:r>
      <w:proofErr w:type="spellEnd"/>
      <w:r>
        <w:rPr>
          <w:rFonts w:ascii="Times New Roman" w:hAnsi="Times New Roman" w:cs="Times New Roman"/>
        </w:rPr>
        <w:t xml:space="preserve"> one-variant images created with variant feature sequence (VAR, 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</w:rPr>
        <w:t xml:space="preserve">-axis) and reference sequence (REF, 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 xml:space="preserve">-axis) at the variant loci, while the </w:t>
      </w:r>
      <w:proofErr w:type="spellStart"/>
      <w:r>
        <w:rPr>
          <w:rFonts w:ascii="Times New Roman" w:hAnsi="Times New Roman" w:cs="Times New Roman"/>
        </w:rPr>
        <w:t>Dotplots</w:t>
      </w:r>
      <w:proofErr w:type="spellEnd"/>
      <w:r>
        <w:rPr>
          <w:rFonts w:ascii="Times New Roman" w:hAnsi="Times New Roman" w:cs="Times New Roman"/>
        </w:rPr>
        <w:t xml:space="preserve"> on right column are created with variant spanning HiFi assemblies (CONTIG, 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</w:rPr>
        <w:t xml:space="preserve">-axis) and the reference sequence (REF, 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 xml:space="preserve">-axis) at the variant loci. </w:t>
      </w:r>
    </w:p>
    <w:p w14:paraId="52EDBB3D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534E85C" w14:textId="34462B5A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CA25A4A" wp14:editId="28D5FC8B">
            <wp:extent cx="5943600" cy="2847975"/>
            <wp:effectExtent l="0" t="0" r="0" b="9525"/>
            <wp:docPr id="4" name="Picture 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2B2B0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Extended Data Fig. 7 | The HiFi assembly reconstruction of the expanded allele and complex structural variant allele affecting </w:t>
      </w:r>
      <w:r>
        <w:rPr>
          <w:rFonts w:ascii="Times New Roman" w:hAnsi="Times New Roman" w:cs="Times New Roman"/>
          <w:b/>
          <w:bCs/>
          <w:i/>
          <w:iCs/>
        </w:rPr>
        <w:t>CNTN5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 xml:space="preserve">The grey region indicates the repeat expansion. The dark red region indicates exon 4 of </w:t>
      </w:r>
      <w:r>
        <w:rPr>
          <w:rFonts w:ascii="Times New Roman" w:hAnsi="Times New Roman" w:cs="Times New Roman"/>
          <w:i/>
          <w:iCs/>
        </w:rPr>
        <w:t xml:space="preserve">CNTN5, </w:t>
      </w:r>
      <w:r>
        <w:rPr>
          <w:rFonts w:ascii="Times New Roman" w:hAnsi="Times New Roman" w:cs="Times New Roman"/>
        </w:rPr>
        <w:t>while the light red region is the 5’ flanking region of the exon.</w:t>
      </w:r>
    </w:p>
    <w:p w14:paraId="1D4DFCA8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3E27007" w14:textId="73468711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B6E8A13" wp14:editId="07FC4097">
            <wp:extent cx="5943600" cy="5524500"/>
            <wp:effectExtent l="0" t="0" r="0" b="0"/>
            <wp:docPr id="3" name="Picture 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2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0A2D2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Extended Data Fig. 8 | The IGV screenshot of duplicated </w:t>
      </w:r>
      <w:r>
        <w:rPr>
          <w:rFonts w:ascii="Times New Roman" w:hAnsi="Times New Roman" w:cs="Times New Roman"/>
          <w:b/>
          <w:bCs/>
          <w:i/>
          <w:iCs/>
        </w:rPr>
        <w:t>CNTN5</w:t>
      </w:r>
      <w:r>
        <w:rPr>
          <w:rFonts w:ascii="Times New Roman" w:hAnsi="Times New Roman" w:cs="Times New Roman"/>
          <w:b/>
          <w:bCs/>
        </w:rPr>
        <w:t xml:space="preserve"> exon signature observed in RNA-Seq data. a</w:t>
      </w:r>
      <w:r>
        <w:rPr>
          <w:rFonts w:ascii="Times New Roman" w:hAnsi="Times New Roman" w:cs="Times New Roman"/>
        </w:rPr>
        <w:t xml:space="preserve">, The RNA-Seq data of the primary visual cortex from an Alzheimer disease female.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RNA-Seq data of a control male precuneus. In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and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), the green bars pointed by red arrows are duplication like read-pair signatures, i.e., there are 4 supporting discordant read-pairs in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), and 2 in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). Moreover, read depth change (fitted by purple line) on exon is observed in both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and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). The RNA-Seq data for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and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 are obtained from Sequence Read Archive (SRA) with accession number SRR14194220 and SRR14194206, respectively.</w:t>
      </w:r>
    </w:p>
    <w:p w14:paraId="1AA329CF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087A3AC" w14:textId="7E370532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AB3AF6C" wp14:editId="051127F8">
            <wp:extent cx="5943600" cy="5095875"/>
            <wp:effectExtent l="0" t="0" r="0" b="9525"/>
            <wp:docPr id="2" name="Picture 2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EBD2C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Extended Data Fig. 9 | The ancestral state of one genome segment revealed by a complex structural variant. a,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structure and breakpoint junction sequence of the variant derived from HiFi assembly.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Blastn</w:t>
      </w:r>
      <w:proofErr w:type="spellEnd"/>
      <w:r>
        <w:rPr>
          <w:rFonts w:ascii="Times New Roman" w:hAnsi="Times New Roman" w:cs="Times New Roman"/>
        </w:rPr>
        <w:t xml:space="preserve"> results of the inserted sequence mapping to primate genomes, and the top hits include pan troglodytes and gorilla. </w:t>
      </w:r>
    </w:p>
    <w:p w14:paraId="5ACC29F5" w14:textId="77777777" w:rsidR="007A32CF" w:rsidRDefault="007A32CF" w:rsidP="007A3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57293D0" w14:textId="2EF70238" w:rsidR="007A32CF" w:rsidRDefault="007A32CF" w:rsidP="007A32CF">
      <w:pPr>
        <w:spacing w:line="360" w:lineRule="auto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A5DCF19" wp14:editId="55BF824F">
            <wp:extent cx="5943600" cy="523875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3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D7D68" w14:textId="77777777" w:rsidR="007A32CF" w:rsidRDefault="007A32CF" w:rsidP="007A32C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Extended Data Fig. 10 | Examples of graph and symmetric graphs as well as two special complex events identified by </w:t>
      </w:r>
      <w:proofErr w:type="spellStart"/>
      <w:r>
        <w:rPr>
          <w:rFonts w:ascii="Times New Roman" w:hAnsi="Times New Roman" w:cs="Times New Roman"/>
          <w:b/>
          <w:bCs/>
        </w:rPr>
        <w:t>SVision</w:t>
      </w:r>
      <w:proofErr w:type="spellEnd"/>
      <w:r>
        <w:rPr>
          <w:rFonts w:ascii="Times New Roman" w:hAnsi="Times New Roman" w:cs="Times New Roman"/>
          <w:b/>
          <w:bCs/>
        </w:rPr>
        <w:t>. a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An</w:t>
      </w:r>
      <w:proofErr w:type="gramEnd"/>
      <w:r>
        <w:rPr>
          <w:rFonts w:ascii="Times New Roman" w:hAnsi="Times New Roman" w:cs="Times New Roman"/>
        </w:rPr>
        <w:t xml:space="preserve"> example of a complex structural variant (CSV) graph where its graph path is interpreted as S1+S3-S3-S4+.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Examples of isomorphic graphs representing two different CSV events. 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SVision</w:t>
      </w:r>
      <w:proofErr w:type="spellEnd"/>
      <w:r>
        <w:rPr>
          <w:rFonts w:ascii="Times New Roman" w:hAnsi="Times New Roman" w:cs="Times New Roman"/>
        </w:rPr>
        <w:t xml:space="preserve"> detected CSV classified as local target site duplication.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SVision</w:t>
      </w:r>
      <w:proofErr w:type="spellEnd"/>
      <w:r>
        <w:rPr>
          <w:rFonts w:ascii="Times New Roman" w:hAnsi="Times New Roman" w:cs="Times New Roman"/>
        </w:rPr>
        <w:t xml:space="preserve"> detected CSV classified as tandem duplication. Though events of structure depicted by (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>) and (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</w:rPr>
        <w:t>) were computed as complex events, they were considered as simple events from the biological perspective.</w:t>
      </w:r>
    </w:p>
    <w:p w14:paraId="407ED20C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2CF"/>
    <w:rsid w:val="007A32CF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C162B"/>
  <w15:chartTrackingRefBased/>
  <w15:docId w15:val="{B7586C28-5C0C-4C1D-9F35-1C77D5BA4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2CF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4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801</Words>
  <Characters>4566</Characters>
  <Application>Microsoft Office Word</Application>
  <DocSecurity>0</DocSecurity>
  <Lines>38</Lines>
  <Paragraphs>10</Paragraphs>
  <ScaleCrop>false</ScaleCrop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2022-01-28T21:49:00Z</dcterms:created>
  <dcterms:modified xsi:type="dcterms:W3CDTF">2022-01-28T21:50:00Z</dcterms:modified>
</cp:coreProperties>
</file>