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Textkrper-Zeileneinzug"/>
        <w:spacing w:line="480" w:lineRule="auto"/>
        <w:ind w:firstLine="0"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</w:t>
      </w:r>
    </w:p>
    <w:p>
      <w:pPr>
        <w:pStyle w:val="Textkrper-Zeileneinzug"/>
        <w:spacing w:line="480" w:lineRule="auto"/>
        <w:ind w:firstLine="0"/>
        <w:jc w:val="left"/>
        <w:rPr>
          <w:rFonts w:ascii="Arial" w:hAnsi="Arial" w:cs="Arial"/>
        </w:rPr>
      </w:pPr>
      <w:r>
        <w:rPr>
          <w:noProof/>
          <w:lang w:val="de-DE" w:eastAsia="de-DE"/>
        </w:rPr>
        <w:drawing>
          <wp:inline distT="0" distB="0" distL="0" distR="0">
            <wp:extent cx="5756910" cy="3803015"/>
            <wp:effectExtent l="0" t="0" r="0" b="698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80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extkrper-Zeileneinzug"/>
        <w:spacing w:line="276" w:lineRule="auto"/>
        <w:ind w:firstLine="0"/>
        <w:rPr>
          <w:rFonts w:ascii="Arial" w:hAnsi="Arial" w:cs="Arial"/>
          <w:bCs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 xml:space="preserve">Supplemental Figure 1 – Associations of perfusion and tau pattern expression with clinical severity of patients with PSP. </w:t>
      </w:r>
      <w:r>
        <w:rPr>
          <w:rFonts w:ascii="Arial" w:hAnsi="Arial" w:cs="Arial"/>
          <w:bCs/>
          <w:sz w:val="20"/>
          <w:szCs w:val="16"/>
        </w:rPr>
        <w:t xml:space="preserve">Pearson’s correlation coefficients (R) derived from patients with PSP with available PSP rating scale (n=54; </w:t>
      </w:r>
      <w:r>
        <w:rPr>
          <w:rFonts w:ascii="Arial" w:hAnsi="Arial" w:cs="Arial"/>
          <w:b/>
          <w:bCs/>
          <w:sz w:val="20"/>
          <w:szCs w:val="16"/>
        </w:rPr>
        <w:t>A</w:t>
      </w:r>
      <w:proofErr w:type="gramStart"/>
      <w:r>
        <w:rPr>
          <w:rFonts w:ascii="Arial" w:hAnsi="Arial" w:cs="Arial"/>
          <w:b/>
          <w:bCs/>
          <w:sz w:val="20"/>
          <w:szCs w:val="16"/>
        </w:rPr>
        <w:t>,D</w:t>
      </w:r>
      <w:proofErr w:type="gramEnd"/>
      <w:r>
        <w:rPr>
          <w:rFonts w:ascii="Arial" w:hAnsi="Arial" w:cs="Arial"/>
          <w:bCs/>
          <w:sz w:val="20"/>
          <w:szCs w:val="16"/>
        </w:rPr>
        <w:t xml:space="preserve">), Schwab and England activities of daily living (SEADL, n=55; </w:t>
      </w:r>
      <w:r>
        <w:rPr>
          <w:rFonts w:ascii="Arial" w:hAnsi="Arial" w:cs="Arial"/>
          <w:b/>
          <w:bCs/>
          <w:sz w:val="20"/>
          <w:szCs w:val="16"/>
        </w:rPr>
        <w:t>B,E</w:t>
      </w:r>
      <w:r>
        <w:rPr>
          <w:rFonts w:ascii="Arial" w:hAnsi="Arial" w:cs="Arial"/>
          <w:bCs/>
          <w:sz w:val="20"/>
          <w:szCs w:val="16"/>
        </w:rPr>
        <w:t>) and Montreal cognitive assessment (</w:t>
      </w:r>
      <w:proofErr w:type="spellStart"/>
      <w:r>
        <w:rPr>
          <w:rFonts w:ascii="Arial" w:hAnsi="Arial" w:cs="Arial"/>
          <w:bCs/>
          <w:sz w:val="20"/>
          <w:szCs w:val="16"/>
        </w:rPr>
        <w:t>MoCA</w:t>
      </w:r>
      <w:proofErr w:type="spellEnd"/>
      <w:r>
        <w:rPr>
          <w:rFonts w:ascii="Arial" w:hAnsi="Arial" w:cs="Arial"/>
          <w:bCs/>
          <w:sz w:val="20"/>
          <w:szCs w:val="16"/>
        </w:rPr>
        <w:t xml:space="preserve">, n=57; </w:t>
      </w:r>
      <w:r>
        <w:rPr>
          <w:rFonts w:ascii="Arial" w:hAnsi="Arial" w:cs="Arial"/>
          <w:b/>
          <w:bCs/>
          <w:sz w:val="20"/>
          <w:szCs w:val="16"/>
        </w:rPr>
        <w:t>C,F</w:t>
      </w:r>
      <w:r>
        <w:rPr>
          <w:rFonts w:ascii="Arial" w:hAnsi="Arial" w:cs="Arial"/>
          <w:bCs/>
          <w:sz w:val="20"/>
          <w:szCs w:val="16"/>
        </w:rPr>
        <w:t>). Correlations were controlled for age, sex, and disease duration (symptom onset).</w:t>
      </w:r>
    </w:p>
    <w:p>
      <w:bookmarkStart w:id="0" w:name="_GoBack"/>
      <w:bookmarkEnd w:id="0"/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4A0A07-02A9-41B1-8505-E95CD35A5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character" w:customStyle="1" w:styleId="Textkrper-ZeileneinzugZchn">
    <w:name w:val="Textkörper-Zeileneinzug Zchn"/>
    <w:basedOn w:val="Absatz-Standardschriftart"/>
    <w:link w:val="Textkrper-Zeileneinzug"/>
    <w:rPr>
      <w:rFonts w:ascii="Times New Roman" w:eastAsia="Times New Roman" w:hAnsi="Times New Roman" w:cs="Times New Roman"/>
      <w:sz w:val="24"/>
      <w:szCs w:val="20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389</Characters>
  <Application>Microsoft Office Word</Application>
  <DocSecurity>0</DocSecurity>
  <Lines>3</Lines>
  <Paragraphs>1</Paragraphs>
  <ScaleCrop>false</ScaleCrop>
  <Company>Klinikum der Universitaet Muenchen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mabrende</dc:creator>
  <cp:keywords/>
  <dc:description/>
  <cp:lastModifiedBy>mabrende</cp:lastModifiedBy>
  <cp:revision>2</cp:revision>
  <dcterms:created xsi:type="dcterms:W3CDTF">2022-01-17T07:36:00Z</dcterms:created>
  <dcterms:modified xsi:type="dcterms:W3CDTF">2022-01-17T07:36:00Z</dcterms:modified>
</cp:coreProperties>
</file>