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01CB28" w14:textId="211C5EBC" w:rsidR="00A619D5" w:rsidRPr="00E46BF4" w:rsidRDefault="00A619D5" w:rsidP="00E46BF4">
      <w:pPr>
        <w:pStyle w:val="Title"/>
      </w:pPr>
      <w:r w:rsidRPr="00E46BF4">
        <w:t>Supplementary Information: Part C</w:t>
      </w:r>
    </w:p>
    <w:p w14:paraId="05498309" w14:textId="77777777" w:rsidR="007E33CC" w:rsidRDefault="007E33CC" w:rsidP="007E33CC">
      <w:pPr>
        <w:pStyle w:val="Title"/>
      </w:pPr>
    </w:p>
    <w:p w14:paraId="6CBCCF8A" w14:textId="73AAFFC3" w:rsidR="007E33CC" w:rsidRDefault="007E33CC" w:rsidP="007E33CC">
      <w:pPr>
        <w:pStyle w:val="Title"/>
      </w:pPr>
      <w:r>
        <w:t xml:space="preserve">A </w:t>
      </w:r>
      <w:r w:rsidR="00046BAE">
        <w:t>G</w:t>
      </w:r>
      <w:r>
        <w:t xml:space="preserve">lobal </w:t>
      </w:r>
      <w:r w:rsidR="00046BAE">
        <w:t>R</w:t>
      </w:r>
      <w:r>
        <w:t xml:space="preserve">oll-out of </w:t>
      </w:r>
      <w:r w:rsidR="00046BAE">
        <w:t>N</w:t>
      </w:r>
      <w:r>
        <w:t xml:space="preserve">ationally </w:t>
      </w:r>
      <w:r w:rsidR="00046BAE">
        <w:t>R</w:t>
      </w:r>
      <w:r>
        <w:t xml:space="preserve">elevant </w:t>
      </w:r>
      <w:r w:rsidR="00046BAE">
        <w:t>P</w:t>
      </w:r>
      <w:r>
        <w:t xml:space="preserve">olicies </w:t>
      </w:r>
      <w:r w:rsidR="00046BAE">
        <w:t>B</w:t>
      </w:r>
      <w:r>
        <w:t>ridge</w:t>
      </w:r>
      <w:r w:rsidR="00046BAE">
        <w:t>s</w:t>
      </w:r>
      <w:r>
        <w:t xml:space="preserve"> the </w:t>
      </w:r>
      <w:r w:rsidR="00046BAE">
        <w:t>E</w:t>
      </w:r>
      <w:r>
        <w:t xml:space="preserve">missions </w:t>
      </w:r>
      <w:r w:rsidR="00046BAE">
        <w:t>G</w:t>
      </w:r>
      <w:r>
        <w:t xml:space="preserve">ap </w:t>
      </w:r>
    </w:p>
    <w:p w14:paraId="5DFEEAB5" w14:textId="3DEFA42A" w:rsidR="00020633" w:rsidRPr="00020633" w:rsidRDefault="00020633" w:rsidP="00020633">
      <w:pPr>
        <w:spacing w:after="240" w:line="240" w:lineRule="auto"/>
        <w:rPr>
          <w:rFonts w:ascii="Calibri Light" w:eastAsia="MS PGothic" w:hAnsi="Calibri Light" w:cs="Times New Roman"/>
          <w:color w:val="50B4C8" w:themeColor="accent1"/>
          <w:sz w:val="28"/>
          <w:szCs w:val="28"/>
          <w:vertAlign w:val="superscript"/>
          <w:lang w:val="en-US" w:eastAsia="nl-NL"/>
        </w:rPr>
      </w:pPr>
      <w:r w:rsidRPr="00020633">
        <w:rPr>
          <w:rFonts w:ascii="Calibri Light" w:eastAsia="MS PGothic" w:hAnsi="Calibri Light" w:cs="Times New Roman"/>
          <w:color w:val="50B4C8" w:themeColor="accent1"/>
          <w:sz w:val="28"/>
          <w:szCs w:val="28"/>
          <w:lang w:eastAsia="nl-NL"/>
        </w:rPr>
        <w:t>Heleen L. van Soest</w:t>
      </w:r>
      <w:r w:rsidRPr="00020633">
        <w:rPr>
          <w:rFonts w:ascii="Calibri Light" w:eastAsia="MS PGothic" w:hAnsi="Calibri Light" w:cs="Times New Roman"/>
          <w:color w:val="50B4C8" w:themeColor="accent1"/>
          <w:sz w:val="28"/>
          <w:szCs w:val="28"/>
          <w:vertAlign w:val="superscript"/>
          <w:lang w:eastAsia="nl-NL"/>
        </w:rPr>
        <w:t>1,2</w:t>
      </w:r>
      <w:r w:rsidRPr="00020633">
        <w:rPr>
          <w:rFonts w:ascii="Calibri Light" w:eastAsia="MS PGothic" w:hAnsi="Calibri Light" w:cs="Times New Roman"/>
          <w:color w:val="50B4C8" w:themeColor="accent1"/>
          <w:sz w:val="28"/>
          <w:szCs w:val="28"/>
          <w:lang w:eastAsia="nl-NL"/>
        </w:rPr>
        <w:t>, Lara Aleluia Reis</w:t>
      </w:r>
      <w:r w:rsidRPr="00020633">
        <w:rPr>
          <w:rFonts w:ascii="Calibri Light" w:eastAsia="MS PGothic" w:hAnsi="Calibri Light" w:cs="Times New Roman"/>
          <w:color w:val="50B4C8" w:themeColor="accent1"/>
          <w:sz w:val="28"/>
          <w:szCs w:val="28"/>
          <w:vertAlign w:val="superscript"/>
          <w:lang w:eastAsia="nl-NL"/>
        </w:rPr>
        <w:t>3</w:t>
      </w:r>
      <w:r w:rsidRPr="00020633">
        <w:rPr>
          <w:rFonts w:ascii="Calibri Light" w:eastAsia="MS PGothic" w:hAnsi="Calibri Light" w:cs="Times New Roman"/>
          <w:color w:val="50B4C8" w:themeColor="accent1"/>
          <w:sz w:val="28"/>
          <w:szCs w:val="28"/>
          <w:lang w:eastAsia="nl-NL"/>
        </w:rPr>
        <w:t>, Luiz Bernardo Baptista</w:t>
      </w:r>
      <w:r w:rsidRPr="00020633">
        <w:rPr>
          <w:rFonts w:ascii="Calibri Light" w:eastAsia="MS PGothic" w:hAnsi="Calibri Light" w:cs="Times New Roman"/>
          <w:color w:val="50B4C8" w:themeColor="accent1"/>
          <w:sz w:val="28"/>
          <w:szCs w:val="28"/>
          <w:vertAlign w:val="superscript"/>
          <w:lang w:eastAsia="nl-NL"/>
        </w:rPr>
        <w:t>4</w:t>
      </w:r>
      <w:r w:rsidRPr="00020633">
        <w:rPr>
          <w:rFonts w:ascii="Calibri Light" w:eastAsia="MS PGothic" w:hAnsi="Calibri Light" w:cs="Times New Roman"/>
          <w:color w:val="50B4C8" w:themeColor="accent1"/>
          <w:sz w:val="28"/>
          <w:szCs w:val="28"/>
          <w:lang w:eastAsia="nl-NL"/>
        </w:rPr>
        <w:t>, Christoph Bertram</w:t>
      </w:r>
      <w:r w:rsidRPr="00020633">
        <w:rPr>
          <w:rFonts w:ascii="Calibri Light" w:eastAsia="MS PGothic" w:hAnsi="Calibri Light" w:cs="Times New Roman"/>
          <w:color w:val="50B4C8" w:themeColor="accent1"/>
          <w:sz w:val="28"/>
          <w:szCs w:val="28"/>
          <w:vertAlign w:val="superscript"/>
          <w:lang w:eastAsia="nl-NL"/>
        </w:rPr>
        <w:t>5</w:t>
      </w:r>
      <w:r w:rsidRPr="00020633">
        <w:rPr>
          <w:rFonts w:ascii="Calibri Light" w:eastAsia="MS PGothic" w:hAnsi="Calibri Light" w:cs="Times New Roman"/>
          <w:color w:val="50B4C8" w:themeColor="accent1"/>
          <w:sz w:val="28"/>
          <w:szCs w:val="28"/>
          <w:lang w:eastAsia="nl-NL"/>
        </w:rPr>
        <w:t>, Jacques Després</w:t>
      </w:r>
      <w:r w:rsidRPr="00020633">
        <w:rPr>
          <w:rFonts w:ascii="Calibri Light" w:eastAsia="MS PGothic" w:hAnsi="Calibri Light" w:cs="Times New Roman"/>
          <w:color w:val="50B4C8" w:themeColor="accent1"/>
          <w:sz w:val="28"/>
          <w:szCs w:val="28"/>
          <w:vertAlign w:val="superscript"/>
          <w:lang w:eastAsia="nl-NL"/>
        </w:rPr>
        <w:t>6</w:t>
      </w:r>
      <w:r w:rsidRPr="00020633">
        <w:rPr>
          <w:rFonts w:ascii="Calibri Light" w:eastAsia="MS PGothic" w:hAnsi="Calibri Light" w:cs="Times New Roman"/>
          <w:color w:val="50B4C8" w:themeColor="accent1"/>
          <w:sz w:val="28"/>
          <w:szCs w:val="28"/>
          <w:lang w:eastAsia="nl-NL"/>
        </w:rPr>
        <w:t xml:space="preserve">, </w:t>
      </w:r>
      <w:r w:rsidRPr="00020633">
        <w:rPr>
          <w:rFonts w:ascii="Calibri Light" w:eastAsia="MS PGothic" w:hAnsi="Calibri Light" w:cs="Times New Roman"/>
          <w:color w:val="50B4C8" w:themeColor="accent1"/>
          <w:sz w:val="28"/>
          <w:szCs w:val="28"/>
          <w:lang w:val="en-US" w:eastAsia="nl-NL"/>
        </w:rPr>
        <w:t>Laurent Drouet</w:t>
      </w:r>
      <w:r w:rsidRPr="00020633">
        <w:rPr>
          <w:rFonts w:ascii="Calibri Light" w:eastAsia="MS PGothic" w:hAnsi="Calibri Light" w:cs="Times New Roman"/>
          <w:color w:val="50B4C8" w:themeColor="accent1"/>
          <w:sz w:val="28"/>
          <w:szCs w:val="28"/>
          <w:vertAlign w:val="superscript"/>
          <w:lang w:val="en-US" w:eastAsia="nl-NL"/>
        </w:rPr>
        <w:t>3</w:t>
      </w:r>
      <w:r w:rsidRPr="00020633">
        <w:rPr>
          <w:rFonts w:ascii="Calibri Light" w:eastAsia="MS PGothic" w:hAnsi="Calibri Light" w:cs="Times New Roman"/>
          <w:color w:val="50B4C8" w:themeColor="accent1"/>
          <w:sz w:val="28"/>
          <w:szCs w:val="28"/>
          <w:lang w:val="en-US" w:eastAsia="nl-NL"/>
        </w:rPr>
        <w:t>,</w:t>
      </w:r>
      <w:r w:rsidRPr="00020633">
        <w:rPr>
          <w:rFonts w:ascii="Calibri Light" w:eastAsia="MS PGothic" w:hAnsi="Calibri Light" w:cs="Times New Roman"/>
          <w:color w:val="50B4C8" w:themeColor="accent1"/>
          <w:sz w:val="28"/>
          <w:szCs w:val="28"/>
          <w:vertAlign w:val="superscript"/>
          <w:lang w:val="en-US" w:eastAsia="nl-NL"/>
        </w:rPr>
        <w:t xml:space="preserve"> </w:t>
      </w:r>
      <w:r w:rsidRPr="00020633">
        <w:rPr>
          <w:rFonts w:ascii="Calibri Light" w:eastAsia="MS PGothic" w:hAnsi="Calibri Light" w:cs="Times New Roman"/>
          <w:color w:val="50B4C8" w:themeColor="accent1"/>
          <w:sz w:val="28"/>
          <w:szCs w:val="28"/>
          <w:lang w:eastAsia="nl-NL"/>
        </w:rPr>
        <w:t>Michel den Elzen</w:t>
      </w:r>
      <w:r w:rsidRPr="00020633">
        <w:rPr>
          <w:rFonts w:ascii="Calibri Light" w:eastAsia="MS PGothic" w:hAnsi="Calibri Light" w:cs="Times New Roman"/>
          <w:color w:val="50B4C8" w:themeColor="accent1"/>
          <w:sz w:val="28"/>
          <w:szCs w:val="28"/>
          <w:vertAlign w:val="superscript"/>
          <w:lang w:eastAsia="nl-NL"/>
        </w:rPr>
        <w:t>1</w:t>
      </w:r>
      <w:r w:rsidRPr="00020633">
        <w:rPr>
          <w:rFonts w:ascii="Calibri Light" w:eastAsia="MS PGothic" w:hAnsi="Calibri Light" w:cs="Times New Roman"/>
          <w:color w:val="50B4C8" w:themeColor="accent1"/>
          <w:sz w:val="28"/>
          <w:szCs w:val="28"/>
          <w:lang w:eastAsia="nl-NL"/>
        </w:rPr>
        <w:t>, Panagiotis Fragkos</w:t>
      </w:r>
      <w:r w:rsidRPr="00020633">
        <w:rPr>
          <w:rFonts w:ascii="Calibri Light" w:eastAsia="MS PGothic" w:hAnsi="Calibri Light" w:cs="Times New Roman"/>
          <w:color w:val="50B4C8" w:themeColor="accent1"/>
          <w:sz w:val="28"/>
          <w:szCs w:val="28"/>
          <w:vertAlign w:val="superscript"/>
          <w:lang w:eastAsia="nl-NL"/>
        </w:rPr>
        <w:t>7</w:t>
      </w:r>
      <w:r w:rsidRPr="00020633">
        <w:rPr>
          <w:rFonts w:ascii="Calibri Light" w:eastAsia="MS PGothic" w:hAnsi="Calibri Light" w:cs="Times New Roman"/>
          <w:color w:val="50B4C8" w:themeColor="accent1"/>
          <w:sz w:val="28"/>
          <w:szCs w:val="28"/>
          <w:lang w:eastAsia="nl-NL"/>
        </w:rPr>
        <w:t xml:space="preserve">, </w:t>
      </w:r>
      <w:r w:rsidRPr="00020633">
        <w:rPr>
          <w:rFonts w:ascii="Calibri Light" w:eastAsia="MS PGothic" w:hAnsi="Calibri Light" w:cs="Times New Roman"/>
          <w:color w:val="50B4C8" w:themeColor="accent1"/>
          <w:sz w:val="28"/>
          <w:szCs w:val="28"/>
          <w:lang w:val="en-US" w:eastAsia="nl-NL"/>
        </w:rPr>
        <w:t>Oliver Fricko</w:t>
      </w:r>
      <w:r w:rsidRPr="00020633">
        <w:rPr>
          <w:rFonts w:ascii="Calibri Light" w:eastAsia="MS PGothic" w:hAnsi="Calibri Light" w:cs="Times New Roman"/>
          <w:color w:val="50B4C8" w:themeColor="accent1"/>
          <w:sz w:val="28"/>
          <w:szCs w:val="28"/>
          <w:vertAlign w:val="superscript"/>
          <w:lang w:val="en-US" w:eastAsia="nl-NL"/>
        </w:rPr>
        <w:t>8</w:t>
      </w:r>
      <w:r w:rsidRPr="00020633">
        <w:rPr>
          <w:rFonts w:ascii="Calibri Light" w:eastAsia="MS PGothic" w:hAnsi="Calibri Light" w:cs="Times New Roman"/>
          <w:color w:val="50B4C8" w:themeColor="accent1"/>
          <w:sz w:val="28"/>
          <w:szCs w:val="28"/>
          <w:lang w:val="en-US" w:eastAsia="nl-NL"/>
        </w:rPr>
        <w:t xml:space="preserve">, </w:t>
      </w:r>
      <w:r w:rsidRPr="00020633">
        <w:rPr>
          <w:rFonts w:ascii="Calibri Light" w:eastAsia="MS PGothic" w:hAnsi="Calibri Light" w:cs="Times New Roman"/>
          <w:color w:val="50B4C8" w:themeColor="accent1"/>
          <w:sz w:val="28"/>
          <w:szCs w:val="28"/>
          <w:lang w:eastAsia="nl-NL"/>
        </w:rPr>
        <w:t>Shinichiro Fujimori</w:t>
      </w:r>
      <w:r w:rsidRPr="00020633">
        <w:rPr>
          <w:rFonts w:ascii="Calibri Light" w:eastAsia="MS PGothic" w:hAnsi="Calibri Light" w:cs="Times New Roman"/>
          <w:color w:val="50B4C8" w:themeColor="accent1"/>
          <w:sz w:val="28"/>
          <w:szCs w:val="28"/>
          <w:vertAlign w:val="superscript"/>
          <w:lang w:eastAsia="nl-NL"/>
        </w:rPr>
        <w:t>9,10,8</w:t>
      </w:r>
      <w:r w:rsidRPr="00020633">
        <w:rPr>
          <w:rFonts w:ascii="Calibri Light" w:eastAsia="MS PGothic" w:hAnsi="Calibri Light" w:cs="Times New Roman"/>
          <w:color w:val="50B4C8" w:themeColor="accent1"/>
          <w:sz w:val="28"/>
          <w:szCs w:val="28"/>
          <w:lang w:eastAsia="nl-NL"/>
        </w:rPr>
        <w:t>, Neil Grant</w:t>
      </w:r>
      <w:r w:rsidRPr="00020633">
        <w:rPr>
          <w:rFonts w:ascii="Calibri Light" w:eastAsia="MS PGothic" w:hAnsi="Calibri Light" w:cs="Times New Roman"/>
          <w:color w:val="50B4C8" w:themeColor="accent1"/>
          <w:sz w:val="28"/>
          <w:szCs w:val="28"/>
          <w:vertAlign w:val="superscript"/>
          <w:lang w:eastAsia="nl-NL"/>
        </w:rPr>
        <w:t>11</w:t>
      </w:r>
      <w:r w:rsidRPr="00020633">
        <w:rPr>
          <w:rFonts w:ascii="Calibri Light" w:eastAsia="MS PGothic" w:hAnsi="Calibri Light" w:cs="Times New Roman"/>
          <w:color w:val="50B4C8" w:themeColor="accent1"/>
          <w:sz w:val="28"/>
          <w:szCs w:val="28"/>
          <w:lang w:eastAsia="nl-NL"/>
        </w:rPr>
        <w:t>, Mathijs Harmsen</w:t>
      </w:r>
      <w:r w:rsidRPr="00020633">
        <w:rPr>
          <w:rFonts w:ascii="Calibri Light" w:eastAsia="MS PGothic" w:hAnsi="Calibri Light" w:cs="Times New Roman"/>
          <w:color w:val="50B4C8" w:themeColor="accent1"/>
          <w:sz w:val="28"/>
          <w:szCs w:val="28"/>
          <w:vertAlign w:val="superscript"/>
          <w:lang w:eastAsia="nl-NL"/>
        </w:rPr>
        <w:t>1,2</w:t>
      </w:r>
      <w:r w:rsidRPr="00020633">
        <w:rPr>
          <w:rFonts w:ascii="Calibri Light" w:eastAsia="MS PGothic" w:hAnsi="Calibri Light" w:cs="Times New Roman"/>
          <w:color w:val="50B4C8" w:themeColor="accent1"/>
          <w:sz w:val="28"/>
          <w:szCs w:val="28"/>
          <w:lang w:eastAsia="nl-NL"/>
        </w:rPr>
        <w:t xml:space="preserve">, </w:t>
      </w:r>
      <w:r w:rsidRPr="00020633">
        <w:rPr>
          <w:rFonts w:ascii="Calibri Light" w:eastAsia="MS PGothic" w:hAnsi="Calibri Light" w:cs="Times New Roman"/>
          <w:color w:val="50B4C8" w:themeColor="accent1"/>
          <w:sz w:val="28"/>
          <w:szCs w:val="28"/>
          <w:lang w:val="en-US" w:eastAsia="nl-NL"/>
        </w:rPr>
        <w:t>Gokul Iyer</w:t>
      </w:r>
      <w:r w:rsidRPr="00020633">
        <w:rPr>
          <w:rFonts w:ascii="Calibri Light" w:eastAsia="MS PGothic" w:hAnsi="Calibri Light" w:cs="Times New Roman"/>
          <w:color w:val="50B4C8" w:themeColor="accent1"/>
          <w:sz w:val="28"/>
          <w:szCs w:val="28"/>
          <w:vertAlign w:val="superscript"/>
          <w:lang w:val="en-US" w:eastAsia="nl-NL"/>
        </w:rPr>
        <w:t>12</w:t>
      </w:r>
      <w:r w:rsidRPr="00020633">
        <w:rPr>
          <w:rFonts w:ascii="Calibri Light" w:eastAsia="MS PGothic" w:hAnsi="Calibri Light" w:cs="Times New Roman"/>
          <w:color w:val="50B4C8" w:themeColor="accent1"/>
          <w:sz w:val="28"/>
          <w:szCs w:val="28"/>
          <w:lang w:eastAsia="nl-NL"/>
        </w:rPr>
        <w:t xml:space="preserve">, </w:t>
      </w:r>
      <w:r w:rsidR="00892C5D" w:rsidRPr="00892C5D">
        <w:rPr>
          <w:rFonts w:ascii="Calibri Light" w:eastAsia="MS PGothic" w:hAnsi="Calibri Light" w:cs="Times New Roman"/>
          <w:color w:val="50B4C8" w:themeColor="accent1"/>
          <w:sz w:val="28"/>
          <w:szCs w:val="28"/>
          <w:lang w:eastAsia="nl-NL"/>
        </w:rPr>
        <w:t>Kimon Keramidas</w:t>
      </w:r>
      <w:r w:rsidR="00892C5D" w:rsidRPr="00892C5D">
        <w:rPr>
          <w:rFonts w:ascii="Calibri Light" w:eastAsia="MS PGothic" w:hAnsi="Calibri Light" w:cs="Times New Roman"/>
          <w:color w:val="50B4C8" w:themeColor="accent1"/>
          <w:sz w:val="28"/>
          <w:szCs w:val="28"/>
          <w:vertAlign w:val="superscript"/>
          <w:lang w:eastAsia="nl-NL"/>
        </w:rPr>
        <w:t>6</w:t>
      </w:r>
      <w:r w:rsidR="00892C5D" w:rsidRPr="00892C5D">
        <w:rPr>
          <w:rFonts w:ascii="Calibri Light" w:eastAsia="MS PGothic" w:hAnsi="Calibri Light" w:cs="Times New Roman"/>
          <w:color w:val="50B4C8" w:themeColor="accent1"/>
          <w:sz w:val="28"/>
          <w:szCs w:val="28"/>
          <w:lang w:eastAsia="nl-NL"/>
        </w:rPr>
        <w:t xml:space="preserve">, </w:t>
      </w:r>
      <w:r w:rsidRPr="00020633">
        <w:rPr>
          <w:rFonts w:ascii="Calibri Light" w:eastAsia="MS PGothic" w:hAnsi="Calibri Light" w:cs="Times New Roman"/>
          <w:color w:val="50B4C8" w:themeColor="accent1"/>
          <w:sz w:val="28"/>
          <w:szCs w:val="28"/>
          <w:lang w:eastAsia="nl-NL"/>
        </w:rPr>
        <w:t>Alexandre C. Köberle</w:t>
      </w:r>
      <w:r w:rsidRPr="00020633">
        <w:rPr>
          <w:rFonts w:ascii="Calibri Light" w:eastAsia="MS PGothic" w:hAnsi="Calibri Light" w:cs="Times New Roman"/>
          <w:color w:val="50B4C8" w:themeColor="accent1"/>
          <w:sz w:val="28"/>
          <w:szCs w:val="28"/>
          <w:vertAlign w:val="superscript"/>
          <w:lang w:eastAsia="nl-NL"/>
        </w:rPr>
        <w:t>11</w:t>
      </w:r>
      <w:r w:rsidRPr="00020633">
        <w:rPr>
          <w:rFonts w:ascii="Calibri Light" w:eastAsia="MS PGothic" w:hAnsi="Calibri Light" w:cs="Times New Roman"/>
          <w:color w:val="50B4C8" w:themeColor="accent1"/>
          <w:sz w:val="28"/>
          <w:szCs w:val="28"/>
          <w:lang w:eastAsia="nl-NL"/>
        </w:rPr>
        <w:t>, Elmar Kriegler</w:t>
      </w:r>
      <w:r w:rsidRPr="00020633">
        <w:rPr>
          <w:rFonts w:ascii="Calibri Light" w:eastAsia="MS PGothic" w:hAnsi="Calibri Light" w:cs="Times New Roman"/>
          <w:color w:val="50B4C8" w:themeColor="accent1"/>
          <w:sz w:val="28"/>
          <w:szCs w:val="28"/>
          <w:vertAlign w:val="superscript"/>
          <w:lang w:eastAsia="nl-NL"/>
        </w:rPr>
        <w:t>5</w:t>
      </w:r>
      <w:r w:rsidRPr="00020633">
        <w:rPr>
          <w:rFonts w:ascii="Calibri Light" w:eastAsia="MS PGothic" w:hAnsi="Calibri Light" w:cs="Times New Roman"/>
          <w:color w:val="50B4C8" w:themeColor="accent1"/>
          <w:sz w:val="28"/>
          <w:szCs w:val="28"/>
          <w:lang w:eastAsia="nl-NL"/>
        </w:rPr>
        <w:t xml:space="preserve">, </w:t>
      </w:r>
      <w:r w:rsidRPr="00020633">
        <w:rPr>
          <w:rFonts w:ascii="Calibri Light" w:eastAsia="MS PGothic" w:hAnsi="Calibri Light" w:cs="Times New Roman"/>
          <w:color w:val="50B4C8" w:themeColor="accent1"/>
          <w:sz w:val="28"/>
          <w:szCs w:val="28"/>
          <w:lang w:val="en-US" w:eastAsia="nl-NL"/>
        </w:rPr>
        <w:t>Aman Malik</w:t>
      </w:r>
      <w:r w:rsidRPr="00020633">
        <w:rPr>
          <w:rFonts w:ascii="Calibri Light" w:eastAsia="MS PGothic" w:hAnsi="Calibri Light" w:cs="Times New Roman"/>
          <w:color w:val="50B4C8" w:themeColor="accent1"/>
          <w:sz w:val="28"/>
          <w:szCs w:val="28"/>
          <w:vertAlign w:val="superscript"/>
          <w:lang w:val="en-US" w:eastAsia="nl-NL"/>
        </w:rPr>
        <w:t>5</w:t>
      </w:r>
      <w:r w:rsidRPr="00020633">
        <w:rPr>
          <w:rFonts w:ascii="Calibri Light" w:eastAsia="MS PGothic" w:hAnsi="Calibri Light" w:cs="Times New Roman"/>
          <w:color w:val="50B4C8" w:themeColor="accent1"/>
          <w:sz w:val="28"/>
          <w:szCs w:val="28"/>
          <w:lang w:val="en-US" w:eastAsia="nl-NL"/>
        </w:rPr>
        <w:t xml:space="preserve">, </w:t>
      </w:r>
      <w:r w:rsidRPr="00020633">
        <w:rPr>
          <w:rFonts w:ascii="Calibri Light" w:eastAsia="MS PGothic" w:hAnsi="Calibri Light" w:cs="Times New Roman"/>
          <w:color w:val="50B4C8" w:themeColor="accent1"/>
          <w:sz w:val="28"/>
          <w:szCs w:val="28"/>
          <w:lang w:eastAsia="nl-NL"/>
        </w:rPr>
        <w:t>Shivika Mittal</w:t>
      </w:r>
      <w:r w:rsidRPr="00020633">
        <w:rPr>
          <w:rFonts w:ascii="Calibri Light" w:eastAsia="MS PGothic" w:hAnsi="Calibri Light" w:cs="Times New Roman"/>
          <w:color w:val="50B4C8" w:themeColor="accent1"/>
          <w:sz w:val="28"/>
          <w:szCs w:val="28"/>
          <w:vertAlign w:val="superscript"/>
          <w:lang w:eastAsia="nl-NL"/>
        </w:rPr>
        <w:t>11</w:t>
      </w:r>
      <w:r w:rsidRPr="00020633">
        <w:rPr>
          <w:rFonts w:ascii="Calibri Light" w:eastAsia="MS PGothic" w:hAnsi="Calibri Light" w:cs="Times New Roman"/>
          <w:color w:val="50B4C8" w:themeColor="accent1"/>
          <w:sz w:val="28"/>
          <w:szCs w:val="28"/>
          <w:lang w:eastAsia="nl-NL"/>
        </w:rPr>
        <w:t>, Ken Oshiro</w:t>
      </w:r>
      <w:r w:rsidRPr="00020633">
        <w:rPr>
          <w:rFonts w:ascii="Calibri Light" w:eastAsia="MS PGothic" w:hAnsi="Calibri Light" w:cs="Times New Roman"/>
          <w:color w:val="50B4C8" w:themeColor="accent1"/>
          <w:sz w:val="28"/>
          <w:szCs w:val="28"/>
          <w:vertAlign w:val="superscript"/>
          <w:lang w:eastAsia="nl-NL"/>
        </w:rPr>
        <w:t>9</w:t>
      </w:r>
      <w:r w:rsidRPr="00020633">
        <w:rPr>
          <w:rFonts w:ascii="Calibri Light" w:eastAsia="MS PGothic" w:hAnsi="Calibri Light" w:cs="Times New Roman"/>
          <w:color w:val="50B4C8" w:themeColor="accent1"/>
          <w:sz w:val="28"/>
          <w:szCs w:val="28"/>
          <w:lang w:eastAsia="nl-NL"/>
        </w:rPr>
        <w:t>, Keywan Riahi</w:t>
      </w:r>
      <w:r w:rsidRPr="00020633">
        <w:rPr>
          <w:rFonts w:ascii="Calibri Light" w:eastAsia="MS PGothic" w:hAnsi="Calibri Light" w:cs="Times New Roman"/>
          <w:color w:val="50B4C8" w:themeColor="accent1"/>
          <w:sz w:val="28"/>
          <w:szCs w:val="28"/>
          <w:vertAlign w:val="superscript"/>
          <w:lang w:eastAsia="nl-NL"/>
        </w:rPr>
        <w:t>8</w:t>
      </w:r>
      <w:r w:rsidRPr="00020633">
        <w:rPr>
          <w:rFonts w:ascii="Calibri Light" w:eastAsia="MS PGothic" w:hAnsi="Calibri Light" w:cs="Times New Roman"/>
          <w:color w:val="50B4C8" w:themeColor="accent1"/>
          <w:sz w:val="28"/>
          <w:szCs w:val="28"/>
          <w:lang w:eastAsia="nl-NL"/>
        </w:rPr>
        <w:t>, Mark Roelfsema</w:t>
      </w:r>
      <w:r w:rsidRPr="00020633">
        <w:rPr>
          <w:rFonts w:ascii="Calibri Light" w:eastAsia="MS PGothic" w:hAnsi="Calibri Light" w:cs="Times New Roman"/>
          <w:color w:val="50B4C8" w:themeColor="accent1"/>
          <w:sz w:val="28"/>
          <w:szCs w:val="28"/>
          <w:vertAlign w:val="superscript"/>
          <w:lang w:eastAsia="nl-NL"/>
        </w:rPr>
        <w:t>2</w:t>
      </w:r>
      <w:r w:rsidRPr="00020633">
        <w:rPr>
          <w:rFonts w:ascii="Calibri Light" w:eastAsia="MS PGothic" w:hAnsi="Calibri Light" w:cs="Times New Roman"/>
          <w:color w:val="50B4C8" w:themeColor="accent1"/>
          <w:sz w:val="28"/>
          <w:szCs w:val="28"/>
          <w:lang w:eastAsia="nl-NL"/>
        </w:rPr>
        <w:t xml:space="preserve">, </w:t>
      </w:r>
      <w:r w:rsidRPr="00020633">
        <w:rPr>
          <w:rFonts w:ascii="Calibri Light" w:eastAsia="MS PGothic" w:hAnsi="Calibri Light" w:cs="Times New Roman"/>
          <w:color w:val="50B4C8" w:themeColor="accent1"/>
          <w:sz w:val="28"/>
          <w:szCs w:val="28"/>
          <w:lang w:val="en-US" w:eastAsia="nl-NL"/>
        </w:rPr>
        <w:t>Bas van Ruijven</w:t>
      </w:r>
      <w:r w:rsidRPr="00020633">
        <w:rPr>
          <w:rFonts w:ascii="Calibri Light" w:eastAsia="MS PGothic" w:hAnsi="Calibri Light" w:cs="Times New Roman"/>
          <w:color w:val="50B4C8" w:themeColor="accent1"/>
          <w:sz w:val="28"/>
          <w:szCs w:val="28"/>
          <w:vertAlign w:val="superscript"/>
          <w:lang w:val="en-US" w:eastAsia="nl-NL"/>
        </w:rPr>
        <w:t>8</w:t>
      </w:r>
      <w:r w:rsidRPr="00020633">
        <w:rPr>
          <w:rFonts w:ascii="Calibri Light" w:eastAsia="MS PGothic" w:hAnsi="Calibri Light" w:cs="Times New Roman"/>
          <w:color w:val="50B4C8" w:themeColor="accent1"/>
          <w:sz w:val="28"/>
          <w:szCs w:val="28"/>
          <w:lang w:val="en-US" w:eastAsia="nl-NL"/>
        </w:rPr>
        <w:t xml:space="preserve">, </w:t>
      </w:r>
      <w:r w:rsidRPr="00020633">
        <w:rPr>
          <w:rFonts w:ascii="Calibri Light" w:eastAsia="MS PGothic" w:hAnsi="Calibri Light" w:cs="Times New Roman"/>
          <w:color w:val="50B4C8" w:themeColor="accent1"/>
          <w:sz w:val="28"/>
          <w:szCs w:val="28"/>
          <w:lang w:eastAsia="nl-NL"/>
        </w:rPr>
        <w:t>Roberto Schaeffer</w:t>
      </w:r>
      <w:r w:rsidRPr="00020633">
        <w:rPr>
          <w:rFonts w:ascii="Calibri Light" w:eastAsia="MS PGothic" w:hAnsi="Calibri Light" w:cs="Times New Roman"/>
          <w:color w:val="50B4C8" w:themeColor="accent1"/>
          <w:sz w:val="28"/>
          <w:szCs w:val="28"/>
          <w:vertAlign w:val="superscript"/>
          <w:lang w:eastAsia="nl-NL"/>
        </w:rPr>
        <w:t>4</w:t>
      </w:r>
      <w:r w:rsidRPr="00020633">
        <w:rPr>
          <w:rFonts w:ascii="Calibri Light" w:eastAsia="MS PGothic" w:hAnsi="Calibri Light" w:cs="Times New Roman"/>
          <w:color w:val="50B4C8" w:themeColor="accent1"/>
          <w:sz w:val="28"/>
          <w:szCs w:val="28"/>
          <w:lang w:eastAsia="nl-NL"/>
        </w:rPr>
        <w:t>, Diego Silva Herran</w:t>
      </w:r>
      <w:r w:rsidRPr="00020633">
        <w:rPr>
          <w:rFonts w:ascii="Calibri Light" w:eastAsia="MS PGothic" w:hAnsi="Calibri Light" w:cs="Times New Roman"/>
          <w:color w:val="50B4C8" w:themeColor="accent1"/>
          <w:sz w:val="28"/>
          <w:szCs w:val="28"/>
          <w:vertAlign w:val="superscript"/>
          <w:lang w:eastAsia="nl-NL"/>
        </w:rPr>
        <w:t>10,13</w:t>
      </w:r>
      <w:r w:rsidRPr="00020633">
        <w:rPr>
          <w:rFonts w:ascii="Calibri Light" w:eastAsia="MS PGothic" w:hAnsi="Calibri Light" w:cs="Times New Roman"/>
          <w:color w:val="50B4C8" w:themeColor="accent1"/>
          <w:sz w:val="28"/>
          <w:szCs w:val="28"/>
          <w:lang w:eastAsia="nl-NL"/>
        </w:rPr>
        <w:t>, Massimo Tavoni</w:t>
      </w:r>
      <w:r w:rsidRPr="00020633">
        <w:rPr>
          <w:rFonts w:ascii="Calibri Light" w:eastAsia="MS PGothic" w:hAnsi="Calibri Light" w:cs="Times New Roman"/>
          <w:color w:val="50B4C8" w:themeColor="accent1"/>
          <w:sz w:val="28"/>
          <w:szCs w:val="28"/>
          <w:vertAlign w:val="superscript"/>
          <w:lang w:eastAsia="nl-NL"/>
        </w:rPr>
        <w:t>3</w:t>
      </w:r>
      <w:r w:rsidRPr="00020633">
        <w:rPr>
          <w:rFonts w:ascii="Calibri Light" w:eastAsia="MS PGothic" w:hAnsi="Calibri Light" w:cs="Times New Roman"/>
          <w:color w:val="50B4C8" w:themeColor="accent1"/>
          <w:sz w:val="28"/>
          <w:szCs w:val="28"/>
          <w:lang w:eastAsia="nl-NL"/>
        </w:rPr>
        <w:t xml:space="preserve">, </w:t>
      </w:r>
      <w:r w:rsidRPr="00020633">
        <w:rPr>
          <w:rFonts w:ascii="Calibri Light" w:eastAsia="MS PGothic" w:hAnsi="Calibri Light" w:cs="Times New Roman"/>
          <w:color w:val="50B4C8" w:themeColor="accent1"/>
          <w:sz w:val="28"/>
          <w:szCs w:val="28"/>
          <w:lang w:val="en-US" w:eastAsia="nl-NL"/>
        </w:rPr>
        <w:t>Gamze Unlu</w:t>
      </w:r>
      <w:r w:rsidRPr="00020633">
        <w:rPr>
          <w:rFonts w:ascii="Calibri Light" w:eastAsia="MS PGothic" w:hAnsi="Calibri Light" w:cs="Times New Roman"/>
          <w:color w:val="50B4C8" w:themeColor="accent1"/>
          <w:sz w:val="28"/>
          <w:szCs w:val="28"/>
          <w:vertAlign w:val="superscript"/>
          <w:lang w:val="en-US" w:eastAsia="nl-NL"/>
        </w:rPr>
        <w:t>8</w:t>
      </w:r>
      <w:r w:rsidRPr="00020633">
        <w:rPr>
          <w:rFonts w:ascii="Calibri Light" w:eastAsia="MS PGothic" w:hAnsi="Calibri Light" w:cs="Times New Roman"/>
          <w:color w:val="50B4C8" w:themeColor="accent1"/>
          <w:sz w:val="28"/>
          <w:szCs w:val="28"/>
          <w:lang w:val="en-US" w:eastAsia="nl-NL"/>
        </w:rPr>
        <w:t xml:space="preserve">, </w:t>
      </w:r>
      <w:r w:rsidRPr="00020633">
        <w:rPr>
          <w:rFonts w:ascii="Calibri Light" w:eastAsia="MS PGothic" w:hAnsi="Calibri Light" w:cs="Times New Roman"/>
          <w:color w:val="50B4C8" w:themeColor="accent1"/>
          <w:sz w:val="28"/>
          <w:szCs w:val="28"/>
          <w:lang w:eastAsia="nl-NL"/>
        </w:rPr>
        <w:t>Toon Vandyck</w:t>
      </w:r>
      <w:r w:rsidRPr="00020633">
        <w:rPr>
          <w:rFonts w:ascii="Calibri Light" w:eastAsia="MS PGothic" w:hAnsi="Calibri Light" w:cs="Times New Roman"/>
          <w:color w:val="50B4C8" w:themeColor="accent1"/>
          <w:sz w:val="28"/>
          <w:szCs w:val="28"/>
          <w:vertAlign w:val="superscript"/>
          <w:lang w:eastAsia="nl-NL"/>
        </w:rPr>
        <w:t>6</w:t>
      </w:r>
      <w:r w:rsidRPr="00020633">
        <w:rPr>
          <w:rFonts w:ascii="Calibri Light" w:eastAsia="MS PGothic" w:hAnsi="Calibri Light" w:cs="Times New Roman"/>
          <w:color w:val="50B4C8" w:themeColor="accent1"/>
          <w:sz w:val="28"/>
          <w:szCs w:val="28"/>
          <w:lang w:eastAsia="nl-NL"/>
        </w:rPr>
        <w:t>, Detlef P. van Vuuren</w:t>
      </w:r>
      <w:r w:rsidRPr="00020633">
        <w:rPr>
          <w:rFonts w:ascii="Calibri Light" w:eastAsia="MS PGothic" w:hAnsi="Calibri Light" w:cs="Times New Roman"/>
          <w:color w:val="50B4C8" w:themeColor="accent1"/>
          <w:sz w:val="28"/>
          <w:szCs w:val="28"/>
          <w:vertAlign w:val="superscript"/>
          <w:lang w:eastAsia="nl-NL"/>
        </w:rPr>
        <w:t>1,2</w:t>
      </w:r>
    </w:p>
    <w:p w14:paraId="177F1479" w14:textId="77777777" w:rsidR="00020633" w:rsidRPr="00020633" w:rsidRDefault="00020633" w:rsidP="00020633">
      <w:pPr>
        <w:spacing w:line="256" w:lineRule="auto"/>
        <w:rPr>
          <w:rFonts w:ascii="Calibri Light" w:eastAsia="MS PGothic" w:hAnsi="Calibri Light" w:cs="Times New Roman"/>
          <w:lang w:eastAsia="nl-NL"/>
        </w:rPr>
      </w:pPr>
      <w:r w:rsidRPr="00020633">
        <w:rPr>
          <w:rFonts w:ascii="Calibri Light" w:eastAsia="MS PGothic" w:hAnsi="Calibri Light" w:cs="Times New Roman"/>
          <w:vertAlign w:val="superscript"/>
          <w:lang w:eastAsia="nl-NL"/>
        </w:rPr>
        <w:t>1</w:t>
      </w:r>
      <w:r w:rsidRPr="00020633">
        <w:rPr>
          <w:rFonts w:ascii="Calibri Light" w:eastAsia="MS PGothic" w:hAnsi="Calibri Light" w:cs="Times New Roman"/>
          <w:lang w:eastAsia="nl-NL"/>
        </w:rPr>
        <w:t xml:space="preserve"> PBL Netherlands Environmental Assessment Agency, PO Box 30314, 2500 GH The Hague, the Netherlands</w:t>
      </w:r>
    </w:p>
    <w:p w14:paraId="01411CF5" w14:textId="77777777" w:rsidR="00020633" w:rsidRPr="00020633" w:rsidRDefault="00020633" w:rsidP="00020633">
      <w:pPr>
        <w:spacing w:line="256" w:lineRule="auto"/>
        <w:rPr>
          <w:rFonts w:ascii="Calibri Light" w:eastAsia="MS PGothic" w:hAnsi="Calibri Light" w:cs="Times New Roman"/>
          <w:lang w:eastAsia="nl-NL"/>
        </w:rPr>
      </w:pPr>
      <w:r w:rsidRPr="00020633">
        <w:rPr>
          <w:rFonts w:ascii="Calibri Light" w:eastAsia="MS PGothic" w:hAnsi="Calibri Light" w:cs="Times New Roman"/>
          <w:vertAlign w:val="superscript"/>
          <w:lang w:eastAsia="nl-NL"/>
        </w:rPr>
        <w:t>2</w:t>
      </w:r>
      <w:r w:rsidRPr="00020633">
        <w:rPr>
          <w:rFonts w:ascii="Calibri Light" w:eastAsia="MS PGothic" w:hAnsi="Calibri Light" w:cs="Times New Roman"/>
          <w:lang w:eastAsia="nl-NL"/>
        </w:rPr>
        <w:t xml:space="preserve"> Copernicus Institute of Sustainable Development, Utrecht University, </w:t>
      </w:r>
      <w:proofErr w:type="spellStart"/>
      <w:r w:rsidRPr="00020633">
        <w:rPr>
          <w:rFonts w:ascii="Calibri Light" w:eastAsia="MS PGothic" w:hAnsi="Calibri Light" w:cs="Times New Roman"/>
          <w:lang w:eastAsia="nl-NL"/>
        </w:rPr>
        <w:t>Princetonlaan</w:t>
      </w:r>
      <w:proofErr w:type="spellEnd"/>
      <w:r w:rsidRPr="00020633">
        <w:rPr>
          <w:rFonts w:ascii="Calibri Light" w:eastAsia="MS PGothic" w:hAnsi="Calibri Light" w:cs="Times New Roman"/>
          <w:lang w:eastAsia="nl-NL"/>
        </w:rPr>
        <w:t xml:space="preserve"> 8a, 3584 CB Utrecht, the Netherlands</w:t>
      </w:r>
    </w:p>
    <w:p w14:paraId="3A00A2EB" w14:textId="77777777" w:rsidR="00020633" w:rsidRPr="00020633" w:rsidRDefault="00020633" w:rsidP="00020633">
      <w:pPr>
        <w:spacing w:line="256" w:lineRule="auto"/>
        <w:rPr>
          <w:rFonts w:ascii="Calibri Light" w:eastAsia="MS PGothic" w:hAnsi="Calibri Light" w:cs="Times New Roman"/>
          <w:lang w:eastAsia="nl-NL"/>
        </w:rPr>
      </w:pPr>
      <w:r w:rsidRPr="00020633">
        <w:rPr>
          <w:rFonts w:ascii="Calibri Light" w:eastAsia="MS PGothic" w:hAnsi="Calibri Light" w:cs="Times New Roman"/>
          <w:vertAlign w:val="superscript"/>
          <w:lang w:eastAsia="nl-NL"/>
        </w:rPr>
        <w:t>3</w:t>
      </w:r>
      <w:r w:rsidRPr="00020633">
        <w:rPr>
          <w:rFonts w:ascii="Calibri Light" w:eastAsia="MS PGothic" w:hAnsi="Calibri Light" w:cs="Times New Roman"/>
          <w:lang w:eastAsia="nl-NL"/>
        </w:rPr>
        <w:t>RFF-CMCC European Institute on Economics and the Environment, Milan 20144, Italy</w:t>
      </w:r>
    </w:p>
    <w:p w14:paraId="4576E8E3" w14:textId="77777777" w:rsidR="00020633" w:rsidRPr="009B0D50" w:rsidRDefault="00020633" w:rsidP="00020633">
      <w:pPr>
        <w:spacing w:line="256" w:lineRule="auto"/>
        <w:rPr>
          <w:rFonts w:eastAsia="MS PGothic" w:cstheme="minorHAnsi"/>
          <w:lang w:eastAsia="nl-NL"/>
        </w:rPr>
      </w:pPr>
      <w:r w:rsidRPr="009B0D50">
        <w:rPr>
          <w:rFonts w:eastAsia="MS PGothic" w:cstheme="minorHAnsi"/>
          <w:vertAlign w:val="superscript"/>
          <w:lang w:eastAsia="nl-NL"/>
        </w:rPr>
        <w:t>4</w:t>
      </w:r>
      <w:r w:rsidRPr="009B0D50">
        <w:rPr>
          <w:rFonts w:eastAsia="MS PGothic" w:cstheme="minorHAnsi"/>
          <w:lang w:val="pt-BR" w:eastAsia="nl-NL"/>
        </w:rPr>
        <w:t xml:space="preserve"> Centre for Energy and Environmental Economics, Universidade Federal do Rio de Janeiro (CENERGIA/COPPE/UFRJ), 21941-914 Rio de Janeiro, Brazil</w:t>
      </w:r>
    </w:p>
    <w:p w14:paraId="7DD137C2" w14:textId="77777777" w:rsidR="00020633" w:rsidRPr="00020633" w:rsidRDefault="00020633" w:rsidP="00020633">
      <w:pPr>
        <w:spacing w:line="256" w:lineRule="auto"/>
        <w:rPr>
          <w:rFonts w:ascii="Calibri Light" w:eastAsia="MS PGothic" w:hAnsi="Calibri Light" w:cs="Times New Roman"/>
          <w:lang w:val="en-US" w:eastAsia="nl-NL"/>
        </w:rPr>
      </w:pPr>
      <w:r w:rsidRPr="00020633">
        <w:rPr>
          <w:rFonts w:ascii="Calibri Light" w:eastAsia="MS PGothic" w:hAnsi="Calibri Light" w:cs="Times New Roman"/>
          <w:vertAlign w:val="superscript"/>
          <w:lang w:eastAsia="nl-NL"/>
        </w:rPr>
        <w:t>5</w:t>
      </w:r>
      <w:r w:rsidRPr="00020633">
        <w:rPr>
          <w:rFonts w:ascii="Calibri Light" w:eastAsia="MS PGothic" w:hAnsi="Calibri Light" w:cs="Times New Roman"/>
          <w:lang w:eastAsia="nl-NL"/>
        </w:rPr>
        <w:t xml:space="preserve"> </w:t>
      </w:r>
      <w:r w:rsidRPr="00020633">
        <w:rPr>
          <w:rFonts w:ascii="Calibri Light" w:eastAsia="MS PGothic" w:hAnsi="Calibri Light" w:cs="Times New Roman"/>
          <w:lang w:val="en-US" w:eastAsia="nl-NL"/>
        </w:rPr>
        <w:t>Potsdam Institute for Climate Impact Research, Member of the Leibniz Association, P.O. Box 601203 , 14412, Potsdam, Germany</w:t>
      </w:r>
    </w:p>
    <w:p w14:paraId="21E280B0" w14:textId="77777777" w:rsidR="009B0D50" w:rsidRDefault="00020633" w:rsidP="009B0D50">
      <w:pPr>
        <w:rPr>
          <w:vertAlign w:val="superscript"/>
        </w:rPr>
      </w:pPr>
      <w:r w:rsidRPr="00020633">
        <w:rPr>
          <w:rFonts w:ascii="Calibri Light" w:eastAsia="MS PGothic" w:hAnsi="Calibri Light" w:cs="Times New Roman"/>
          <w:vertAlign w:val="superscript"/>
          <w:lang w:eastAsia="nl-NL"/>
        </w:rPr>
        <w:t>6</w:t>
      </w:r>
      <w:r w:rsidRPr="00020633">
        <w:rPr>
          <w:rFonts w:ascii="Calibri Light" w:eastAsia="MS PGothic" w:hAnsi="Calibri Light" w:cs="Times New Roman"/>
          <w:lang w:eastAsia="nl-NL"/>
        </w:rPr>
        <w:t xml:space="preserve"> </w:t>
      </w:r>
      <w:r w:rsidR="009B0D50">
        <w:t>European Commission, Joint Research Centre (JRC), Seville, Spain</w:t>
      </w:r>
    </w:p>
    <w:p w14:paraId="009B96B8" w14:textId="0544223F" w:rsidR="00020633" w:rsidRPr="00020633" w:rsidRDefault="00020633" w:rsidP="00020633">
      <w:pPr>
        <w:spacing w:line="256" w:lineRule="auto"/>
        <w:rPr>
          <w:rFonts w:ascii="Calibri Light" w:eastAsia="MS PGothic" w:hAnsi="Calibri Light" w:cs="Times New Roman"/>
          <w:lang w:eastAsia="nl-NL"/>
        </w:rPr>
      </w:pPr>
      <w:bookmarkStart w:id="0" w:name="_GoBack"/>
      <w:bookmarkEnd w:id="0"/>
      <w:r w:rsidRPr="00020633">
        <w:rPr>
          <w:rFonts w:ascii="Calibri Light" w:eastAsia="MS PGothic" w:hAnsi="Calibri Light" w:cs="Times New Roman"/>
          <w:vertAlign w:val="superscript"/>
          <w:lang w:eastAsia="nl-NL"/>
        </w:rPr>
        <w:t xml:space="preserve">7 </w:t>
      </w:r>
      <w:r w:rsidRPr="00020633">
        <w:rPr>
          <w:rFonts w:ascii="Calibri Light" w:eastAsia="MS PGothic" w:hAnsi="Calibri Light" w:cs="Times New Roman"/>
          <w:lang w:eastAsia="nl-NL"/>
        </w:rPr>
        <w:t xml:space="preserve">E3Modelling S.A., </w:t>
      </w:r>
      <w:proofErr w:type="spellStart"/>
      <w:r w:rsidRPr="00020633">
        <w:rPr>
          <w:rFonts w:ascii="Calibri Light" w:eastAsia="MS PGothic" w:hAnsi="Calibri Light" w:cs="Times New Roman"/>
          <w:lang w:eastAsia="nl-NL"/>
        </w:rPr>
        <w:t>Panormou</w:t>
      </w:r>
      <w:proofErr w:type="spellEnd"/>
      <w:r w:rsidRPr="00020633">
        <w:rPr>
          <w:rFonts w:ascii="Calibri Light" w:eastAsia="MS PGothic" w:hAnsi="Calibri Light" w:cs="Times New Roman"/>
          <w:lang w:eastAsia="nl-NL"/>
        </w:rPr>
        <w:t xml:space="preserve"> 70-72, Athens, Greece</w:t>
      </w:r>
    </w:p>
    <w:p w14:paraId="6BF1CA3D" w14:textId="77777777" w:rsidR="00020633" w:rsidRPr="00020633" w:rsidRDefault="00020633" w:rsidP="00020633">
      <w:pPr>
        <w:spacing w:line="256" w:lineRule="auto"/>
        <w:rPr>
          <w:rFonts w:ascii="Calibri Light" w:eastAsia="MS PGothic" w:hAnsi="Calibri Light" w:cs="Times New Roman"/>
          <w:lang w:eastAsia="nl-NL"/>
        </w:rPr>
      </w:pPr>
      <w:r w:rsidRPr="00020633">
        <w:rPr>
          <w:rFonts w:ascii="Calibri Light" w:eastAsia="MS PGothic" w:hAnsi="Calibri Light" w:cs="Times New Roman"/>
          <w:vertAlign w:val="superscript"/>
          <w:lang w:eastAsia="nl-NL"/>
        </w:rPr>
        <w:t>8</w:t>
      </w:r>
      <w:r w:rsidRPr="00020633">
        <w:rPr>
          <w:rFonts w:ascii="Calibri Light" w:eastAsia="MS PGothic" w:hAnsi="Calibri Light" w:cs="Times New Roman"/>
          <w:lang w:eastAsia="nl-NL"/>
        </w:rPr>
        <w:t xml:space="preserve"> International Institute for Applied Systems Analysis, </w:t>
      </w:r>
      <w:proofErr w:type="spellStart"/>
      <w:r w:rsidRPr="00020633">
        <w:rPr>
          <w:rFonts w:ascii="Calibri Light" w:eastAsia="MS PGothic" w:hAnsi="Calibri Light" w:cs="Times New Roman"/>
          <w:lang w:eastAsia="nl-NL"/>
        </w:rPr>
        <w:t>Schlossplatz</w:t>
      </w:r>
      <w:proofErr w:type="spellEnd"/>
      <w:r w:rsidRPr="00020633">
        <w:rPr>
          <w:rFonts w:ascii="Calibri Light" w:eastAsia="MS PGothic" w:hAnsi="Calibri Light" w:cs="Times New Roman"/>
          <w:lang w:eastAsia="nl-NL"/>
        </w:rPr>
        <w:t xml:space="preserve"> 1, A-2361 </w:t>
      </w:r>
      <w:proofErr w:type="spellStart"/>
      <w:r w:rsidRPr="00020633">
        <w:rPr>
          <w:rFonts w:ascii="Calibri Light" w:eastAsia="MS PGothic" w:hAnsi="Calibri Light" w:cs="Times New Roman"/>
          <w:lang w:eastAsia="nl-NL"/>
        </w:rPr>
        <w:t>Laxenburg</w:t>
      </w:r>
      <w:proofErr w:type="spellEnd"/>
      <w:r w:rsidRPr="00020633">
        <w:rPr>
          <w:rFonts w:ascii="Calibri Light" w:eastAsia="MS PGothic" w:hAnsi="Calibri Light" w:cs="Times New Roman"/>
          <w:lang w:eastAsia="nl-NL"/>
        </w:rPr>
        <w:t>, Austria</w:t>
      </w:r>
    </w:p>
    <w:p w14:paraId="35E8653F" w14:textId="77777777" w:rsidR="00020633" w:rsidRPr="00020633" w:rsidRDefault="00020633" w:rsidP="00020633">
      <w:pPr>
        <w:spacing w:line="256" w:lineRule="auto"/>
        <w:rPr>
          <w:rFonts w:ascii="Calibri Light" w:eastAsia="MS PGothic" w:hAnsi="Calibri Light" w:cs="Times New Roman"/>
          <w:lang w:eastAsia="nl-NL"/>
        </w:rPr>
      </w:pPr>
      <w:r w:rsidRPr="00020633">
        <w:rPr>
          <w:rFonts w:ascii="Calibri Light" w:eastAsia="MS PGothic" w:hAnsi="Calibri Light" w:cs="Times New Roman"/>
          <w:vertAlign w:val="superscript"/>
          <w:lang w:eastAsia="ja-JP"/>
        </w:rPr>
        <w:t>9</w:t>
      </w:r>
      <w:r w:rsidRPr="00020633">
        <w:rPr>
          <w:rFonts w:ascii="Calibri Light" w:eastAsia="MS PGothic" w:hAnsi="Calibri Light" w:cs="Times New Roman"/>
          <w:vertAlign w:val="superscript"/>
          <w:lang w:eastAsia="nl-NL"/>
        </w:rPr>
        <w:t xml:space="preserve"> </w:t>
      </w:r>
      <w:r w:rsidRPr="00020633">
        <w:rPr>
          <w:rFonts w:ascii="Calibri Light" w:eastAsia="MS PGothic" w:hAnsi="Calibri Light" w:cs="Times New Roman"/>
          <w:lang w:eastAsia="nl-NL"/>
        </w:rPr>
        <w:t xml:space="preserve">Department of Environmental Engineering, Kyoto University, C1-3 361, </w:t>
      </w:r>
      <w:proofErr w:type="spellStart"/>
      <w:r w:rsidRPr="00020633">
        <w:rPr>
          <w:rFonts w:ascii="Calibri Light" w:eastAsia="MS PGothic" w:hAnsi="Calibri Light" w:cs="Times New Roman"/>
          <w:lang w:eastAsia="nl-NL"/>
        </w:rPr>
        <w:t>Kyotodaigaku</w:t>
      </w:r>
      <w:proofErr w:type="spellEnd"/>
      <w:r w:rsidRPr="00020633">
        <w:rPr>
          <w:rFonts w:ascii="Calibri Light" w:eastAsia="MS PGothic" w:hAnsi="Calibri Light" w:cs="Times New Roman"/>
          <w:lang w:eastAsia="nl-NL"/>
        </w:rPr>
        <w:t xml:space="preserve"> </w:t>
      </w:r>
      <w:proofErr w:type="spellStart"/>
      <w:r w:rsidRPr="00020633">
        <w:rPr>
          <w:rFonts w:ascii="Calibri Light" w:eastAsia="MS PGothic" w:hAnsi="Calibri Light" w:cs="Times New Roman"/>
          <w:lang w:eastAsia="nl-NL"/>
        </w:rPr>
        <w:t>Katsura</w:t>
      </w:r>
      <w:proofErr w:type="spellEnd"/>
      <w:r w:rsidRPr="00020633">
        <w:rPr>
          <w:rFonts w:ascii="Calibri Light" w:eastAsia="MS PGothic" w:hAnsi="Calibri Light" w:cs="Times New Roman"/>
          <w:lang w:eastAsia="nl-NL"/>
        </w:rPr>
        <w:t xml:space="preserve">, </w:t>
      </w:r>
      <w:proofErr w:type="spellStart"/>
      <w:r w:rsidRPr="00020633">
        <w:rPr>
          <w:rFonts w:ascii="Calibri Light" w:eastAsia="MS PGothic" w:hAnsi="Calibri Light" w:cs="Times New Roman"/>
          <w:lang w:eastAsia="nl-NL"/>
        </w:rPr>
        <w:t>Nishikyoku</w:t>
      </w:r>
      <w:proofErr w:type="spellEnd"/>
      <w:r w:rsidRPr="00020633">
        <w:rPr>
          <w:rFonts w:ascii="Calibri Light" w:eastAsia="MS PGothic" w:hAnsi="Calibri Light" w:cs="Times New Roman"/>
          <w:lang w:eastAsia="nl-NL"/>
        </w:rPr>
        <w:t>, Kyoto city, Japan</w:t>
      </w:r>
    </w:p>
    <w:p w14:paraId="2F80F43C" w14:textId="77777777" w:rsidR="00020633" w:rsidRPr="00020633" w:rsidRDefault="00020633" w:rsidP="00020633">
      <w:pPr>
        <w:spacing w:line="256" w:lineRule="auto"/>
        <w:rPr>
          <w:rFonts w:ascii="Calibri Light" w:eastAsia="MS PGothic" w:hAnsi="Calibri Light" w:cs="Times New Roman"/>
          <w:lang w:eastAsia="nl-NL"/>
        </w:rPr>
      </w:pPr>
      <w:r w:rsidRPr="00020633">
        <w:rPr>
          <w:rFonts w:ascii="Calibri Light" w:eastAsia="MS PGothic" w:hAnsi="Calibri Light" w:cs="Times New Roman"/>
          <w:vertAlign w:val="superscript"/>
          <w:lang w:eastAsia="nl-NL"/>
        </w:rPr>
        <w:t xml:space="preserve">10 </w:t>
      </w:r>
      <w:r w:rsidRPr="00020633">
        <w:rPr>
          <w:rFonts w:ascii="Calibri Light" w:eastAsia="MS PGothic" w:hAnsi="Calibri Light" w:cs="Times New Roman"/>
          <w:lang w:eastAsia="nl-NL"/>
        </w:rPr>
        <w:t xml:space="preserve">National Institute for Environmental Studies, 16-2 </w:t>
      </w:r>
      <w:proofErr w:type="spellStart"/>
      <w:r w:rsidRPr="00020633">
        <w:rPr>
          <w:rFonts w:ascii="Calibri Light" w:eastAsia="MS PGothic" w:hAnsi="Calibri Light" w:cs="Times New Roman"/>
          <w:lang w:eastAsia="nl-NL"/>
        </w:rPr>
        <w:t>Onogawa</w:t>
      </w:r>
      <w:proofErr w:type="spellEnd"/>
      <w:r w:rsidRPr="00020633">
        <w:rPr>
          <w:rFonts w:ascii="Calibri Light" w:eastAsia="MS PGothic" w:hAnsi="Calibri Light" w:cs="Times New Roman"/>
          <w:lang w:eastAsia="nl-NL"/>
        </w:rPr>
        <w:t>, Tsukuba, Ibaraki, 305-8506 Japan</w:t>
      </w:r>
    </w:p>
    <w:p w14:paraId="01266D2E" w14:textId="77777777" w:rsidR="00020633" w:rsidRPr="00020633" w:rsidRDefault="00020633" w:rsidP="00020633">
      <w:pPr>
        <w:spacing w:line="256" w:lineRule="auto"/>
        <w:rPr>
          <w:rFonts w:ascii="Calibri Light" w:eastAsia="MS PGothic" w:hAnsi="Calibri Light" w:cs="Times New Roman"/>
          <w:lang w:eastAsia="nl-NL"/>
        </w:rPr>
      </w:pPr>
      <w:r w:rsidRPr="00020633">
        <w:rPr>
          <w:rFonts w:ascii="Calibri Light" w:eastAsia="MS PGothic" w:hAnsi="Calibri Light" w:cs="Times New Roman"/>
          <w:vertAlign w:val="superscript"/>
          <w:lang w:eastAsia="nl-NL"/>
        </w:rPr>
        <w:t xml:space="preserve">11 </w:t>
      </w:r>
      <w:r w:rsidRPr="00020633">
        <w:rPr>
          <w:rFonts w:ascii="Calibri Light" w:eastAsia="MS PGothic" w:hAnsi="Calibri Light" w:cs="Times New Roman"/>
          <w:lang w:eastAsia="nl-NL"/>
        </w:rPr>
        <w:t>Grantham Institute, Imperial College London, Exhibition Road, London, SW7 2AZ, United Kingdom</w:t>
      </w:r>
    </w:p>
    <w:p w14:paraId="730CF423" w14:textId="77777777" w:rsidR="0060736C" w:rsidRDefault="00020633" w:rsidP="0060736C">
      <w:pPr>
        <w:rPr>
          <w:lang w:val="en-US"/>
        </w:rPr>
      </w:pPr>
      <w:r w:rsidRPr="00020633">
        <w:rPr>
          <w:rFonts w:ascii="Calibri Light" w:eastAsia="MS PGothic" w:hAnsi="Calibri Light" w:cs="Times New Roman"/>
          <w:vertAlign w:val="superscript"/>
          <w:lang w:eastAsia="nl-NL"/>
        </w:rPr>
        <w:t>12</w:t>
      </w:r>
      <w:r w:rsidRPr="00020633">
        <w:rPr>
          <w:rFonts w:ascii="Calibri Light" w:eastAsia="MS PGothic" w:hAnsi="Calibri Light" w:cs="Times New Roman"/>
          <w:lang w:eastAsia="nl-NL"/>
        </w:rPr>
        <w:t xml:space="preserve"> </w:t>
      </w:r>
      <w:r w:rsidR="0060736C">
        <w:rPr>
          <w:lang w:val="en-US"/>
        </w:rPr>
        <w:t>Joint Global Change Research Institute, Pacific Northwest National Laboratory and University of Maryland, College Park, MD, USA, 20740</w:t>
      </w:r>
    </w:p>
    <w:p w14:paraId="70DA21F4" w14:textId="5577E159" w:rsidR="00020633" w:rsidRPr="00020633" w:rsidRDefault="00020633" w:rsidP="00020633">
      <w:pPr>
        <w:spacing w:line="256" w:lineRule="auto"/>
        <w:rPr>
          <w:rFonts w:ascii="Calibri Light" w:eastAsia="MS PGothic" w:hAnsi="Calibri Light" w:cs="Times New Roman"/>
          <w:lang w:eastAsia="nl-NL"/>
        </w:rPr>
      </w:pPr>
      <w:r w:rsidRPr="00020633">
        <w:rPr>
          <w:rFonts w:ascii="Calibri Light" w:eastAsia="MS PGothic" w:hAnsi="Calibri Light" w:cs="Times New Roman"/>
          <w:vertAlign w:val="superscript"/>
          <w:lang w:eastAsia="nl-NL"/>
        </w:rPr>
        <w:lastRenderedPageBreak/>
        <w:t xml:space="preserve">13 </w:t>
      </w:r>
      <w:r w:rsidRPr="00020633">
        <w:rPr>
          <w:rFonts w:ascii="Calibri Light" w:eastAsia="MS PGothic" w:hAnsi="Calibri Light" w:cs="Times New Roman"/>
          <w:lang w:eastAsia="nl-NL"/>
        </w:rPr>
        <w:t xml:space="preserve">Institute for Global Environmental Strategies, 2108-11 </w:t>
      </w:r>
      <w:proofErr w:type="spellStart"/>
      <w:r w:rsidRPr="00020633">
        <w:rPr>
          <w:rFonts w:ascii="Calibri Light" w:eastAsia="MS PGothic" w:hAnsi="Calibri Light" w:cs="Times New Roman"/>
          <w:lang w:eastAsia="nl-NL"/>
        </w:rPr>
        <w:t>Kamiyamaguchi</w:t>
      </w:r>
      <w:proofErr w:type="spellEnd"/>
      <w:r w:rsidRPr="00020633">
        <w:rPr>
          <w:rFonts w:ascii="Calibri Light" w:eastAsia="MS PGothic" w:hAnsi="Calibri Light" w:cs="Times New Roman"/>
          <w:lang w:eastAsia="nl-NL"/>
        </w:rPr>
        <w:t xml:space="preserve">, </w:t>
      </w:r>
      <w:proofErr w:type="spellStart"/>
      <w:r w:rsidRPr="00020633">
        <w:rPr>
          <w:rFonts w:ascii="Calibri Light" w:eastAsia="MS PGothic" w:hAnsi="Calibri Light" w:cs="Times New Roman"/>
          <w:lang w:eastAsia="nl-NL"/>
        </w:rPr>
        <w:t>Hayama</w:t>
      </w:r>
      <w:proofErr w:type="spellEnd"/>
      <w:r w:rsidRPr="00020633">
        <w:rPr>
          <w:rFonts w:ascii="Calibri Light" w:eastAsia="MS PGothic" w:hAnsi="Calibri Light" w:cs="Times New Roman"/>
          <w:lang w:eastAsia="nl-NL"/>
        </w:rPr>
        <w:t>, Kanagawa, 240-0115 Japan</w:t>
      </w:r>
    </w:p>
    <w:p w14:paraId="73834AD3" w14:textId="77777777" w:rsidR="0060736C" w:rsidRDefault="0060736C">
      <w:pPr>
        <w:rPr>
          <w:rFonts w:asciiTheme="majorHAnsi" w:eastAsiaTheme="majorEastAsia" w:hAnsiTheme="majorHAnsi" w:cstheme="majorBidi"/>
          <w:spacing w:val="-10"/>
          <w:kern w:val="28"/>
          <w:sz w:val="56"/>
          <w:szCs w:val="56"/>
        </w:rPr>
      </w:pPr>
      <w:r>
        <w:br w:type="page"/>
      </w:r>
    </w:p>
    <w:p w14:paraId="11E50AB5" w14:textId="6CB8402F" w:rsidR="001205A4" w:rsidRPr="005A03BE" w:rsidRDefault="00732299" w:rsidP="00A619D5">
      <w:pPr>
        <w:pStyle w:val="Title"/>
      </w:pPr>
      <w:r w:rsidRPr="005A03BE">
        <w:lastRenderedPageBreak/>
        <w:t>COMMIT WP</w:t>
      </w:r>
      <w:r w:rsidR="00706909" w:rsidRPr="005A03BE">
        <w:t>2&amp;</w:t>
      </w:r>
      <w:r w:rsidRPr="005A03BE">
        <w:t>3 Scenario</w:t>
      </w:r>
      <w:r w:rsidR="00513FFF" w:rsidRPr="005A03BE">
        <w:t>s</w:t>
      </w:r>
      <w:r w:rsidRPr="005A03BE">
        <w:t xml:space="preserve"> </w:t>
      </w:r>
      <w:r w:rsidR="00D7077A" w:rsidRPr="005A03BE">
        <w:t>for rat</w:t>
      </w:r>
      <w:r w:rsidR="00513FFF" w:rsidRPr="005A03BE">
        <w:t xml:space="preserve">cheting up mitigation </w:t>
      </w:r>
      <w:r w:rsidR="00D7077A" w:rsidRPr="005A03BE">
        <w:t>ambition</w:t>
      </w:r>
    </w:p>
    <w:p w14:paraId="1AD87DD9" w14:textId="77777777" w:rsidR="00513FFF" w:rsidRPr="005A03BE" w:rsidRDefault="00513FFF" w:rsidP="00513FFF">
      <w:pPr>
        <w:pStyle w:val="Subtitle"/>
      </w:pPr>
    </w:p>
    <w:p w14:paraId="7E60BB3B" w14:textId="44B168A1" w:rsidR="00513FFF" w:rsidRPr="005A03BE" w:rsidRDefault="00513FFF" w:rsidP="00513FFF">
      <w:pPr>
        <w:pStyle w:val="Subtitle"/>
      </w:pPr>
      <w:r w:rsidRPr="005A03BE">
        <w:t xml:space="preserve">Protocol </w:t>
      </w:r>
      <w:r w:rsidR="0093676C" w:rsidRPr="005A03BE">
        <w:t xml:space="preserve">fourth </w:t>
      </w:r>
      <w:r w:rsidRPr="005A03BE">
        <w:t xml:space="preserve">round – </w:t>
      </w:r>
      <w:r w:rsidR="00C56147" w:rsidRPr="005A03BE">
        <w:t>20</w:t>
      </w:r>
      <w:r w:rsidR="0093676C" w:rsidRPr="005A03BE">
        <w:t xml:space="preserve"> April 2020</w:t>
      </w:r>
    </w:p>
    <w:p w14:paraId="5FFBB89F" w14:textId="77777777" w:rsidR="009C0E6C" w:rsidRPr="005A03BE" w:rsidRDefault="009C0E6C" w:rsidP="003571C9">
      <w:pPr>
        <w:pStyle w:val="NoSpacing"/>
        <w:rPr>
          <w:rStyle w:val="Strong"/>
          <w:lang w:val="en-US"/>
        </w:rPr>
      </w:pPr>
    </w:p>
    <w:p w14:paraId="56E6A512" w14:textId="77777777" w:rsidR="00732299" w:rsidRPr="005A03BE" w:rsidRDefault="00275D9E" w:rsidP="003571C9">
      <w:pPr>
        <w:pStyle w:val="NoSpacing"/>
        <w:rPr>
          <w:rFonts w:asciiTheme="majorHAnsi" w:eastAsiaTheme="majorEastAsia" w:hAnsiTheme="majorHAnsi" w:cstheme="majorBidi"/>
          <w:b/>
          <w:color w:val="328D9F" w:themeColor="accent1" w:themeShade="BF"/>
          <w:sz w:val="32"/>
          <w:szCs w:val="32"/>
          <w:lang w:val="en-GB"/>
        </w:rPr>
      </w:pPr>
      <w:r w:rsidRPr="005A03BE">
        <w:rPr>
          <w:rFonts w:asciiTheme="majorHAnsi" w:eastAsiaTheme="majorEastAsia" w:hAnsiTheme="majorHAnsi" w:cstheme="majorBidi"/>
          <w:b/>
          <w:color w:val="328D9F" w:themeColor="accent1" w:themeShade="BF"/>
          <w:sz w:val="32"/>
          <w:szCs w:val="32"/>
          <w:lang w:val="en-GB"/>
        </w:rPr>
        <w:t>Contents</w:t>
      </w:r>
    </w:p>
    <w:p w14:paraId="02D0A78D" w14:textId="33C5BBCD" w:rsidR="007F7FC7" w:rsidRPr="005A03BE" w:rsidRDefault="00275D9E">
      <w:pPr>
        <w:pStyle w:val="TOC1"/>
        <w:tabs>
          <w:tab w:val="left" w:pos="440"/>
          <w:tab w:val="right" w:leader="dot" w:pos="9396"/>
        </w:tabs>
        <w:rPr>
          <w:rFonts w:eastAsiaTheme="minorEastAsia"/>
          <w:noProof/>
          <w:lang w:val="nl-NL" w:eastAsia="nl-NL"/>
        </w:rPr>
      </w:pPr>
      <w:r w:rsidRPr="005A03BE">
        <w:rPr>
          <w:rStyle w:val="Strong"/>
          <w:lang w:val="en-US"/>
        </w:rPr>
        <w:fldChar w:fldCharType="begin"/>
      </w:r>
      <w:r w:rsidRPr="005A03BE">
        <w:rPr>
          <w:rStyle w:val="Strong"/>
          <w:lang w:val="en-US"/>
        </w:rPr>
        <w:instrText xml:space="preserve"> TOC \o "1-3" \h \z \u </w:instrText>
      </w:r>
      <w:r w:rsidRPr="005A03BE">
        <w:rPr>
          <w:rStyle w:val="Strong"/>
          <w:lang w:val="en-US"/>
        </w:rPr>
        <w:fldChar w:fldCharType="separate"/>
      </w:r>
      <w:hyperlink w:anchor="_Toc38530684" w:history="1">
        <w:r w:rsidR="007F7FC7" w:rsidRPr="005A03BE">
          <w:rPr>
            <w:rStyle w:val="Hyperlink"/>
            <w:bCs/>
            <w:noProof/>
          </w:rPr>
          <w:t>1.</w:t>
        </w:r>
        <w:r w:rsidR="007F7FC7" w:rsidRPr="005A03BE">
          <w:rPr>
            <w:rFonts w:eastAsiaTheme="minorEastAsia"/>
            <w:noProof/>
            <w:lang w:val="nl-NL" w:eastAsia="nl-NL"/>
          </w:rPr>
          <w:tab/>
        </w:r>
        <w:r w:rsidR="007F7FC7" w:rsidRPr="005A03BE">
          <w:rPr>
            <w:rStyle w:val="Hyperlink"/>
            <w:noProof/>
          </w:rPr>
          <w:t>Introduction</w:t>
        </w:r>
        <w:r w:rsidR="007F7FC7" w:rsidRPr="005A03BE">
          <w:rPr>
            <w:noProof/>
            <w:webHidden/>
          </w:rPr>
          <w:tab/>
        </w:r>
        <w:r w:rsidR="007F7FC7" w:rsidRPr="005A03BE">
          <w:rPr>
            <w:noProof/>
            <w:webHidden/>
          </w:rPr>
          <w:fldChar w:fldCharType="begin"/>
        </w:r>
        <w:r w:rsidR="007F7FC7" w:rsidRPr="005A03BE">
          <w:rPr>
            <w:noProof/>
            <w:webHidden/>
          </w:rPr>
          <w:instrText xml:space="preserve"> PAGEREF _Toc38530684 \h </w:instrText>
        </w:r>
        <w:r w:rsidR="007F7FC7" w:rsidRPr="005A03BE">
          <w:rPr>
            <w:noProof/>
            <w:webHidden/>
          </w:rPr>
        </w:r>
        <w:r w:rsidR="007F7FC7" w:rsidRPr="005A03BE">
          <w:rPr>
            <w:noProof/>
            <w:webHidden/>
          </w:rPr>
          <w:fldChar w:fldCharType="separate"/>
        </w:r>
        <w:r w:rsidR="007F7FC7" w:rsidRPr="005A03BE">
          <w:rPr>
            <w:noProof/>
            <w:webHidden/>
          </w:rPr>
          <w:t>2</w:t>
        </w:r>
        <w:r w:rsidR="007F7FC7" w:rsidRPr="005A03BE">
          <w:rPr>
            <w:noProof/>
            <w:webHidden/>
          </w:rPr>
          <w:fldChar w:fldCharType="end"/>
        </w:r>
      </w:hyperlink>
    </w:p>
    <w:p w14:paraId="19B88505" w14:textId="3D19DAEF" w:rsidR="007F7FC7" w:rsidRPr="005A03BE" w:rsidRDefault="009B0D50">
      <w:pPr>
        <w:pStyle w:val="TOC1"/>
        <w:tabs>
          <w:tab w:val="left" w:pos="440"/>
          <w:tab w:val="right" w:leader="dot" w:pos="9396"/>
        </w:tabs>
        <w:rPr>
          <w:rFonts w:eastAsiaTheme="minorEastAsia"/>
          <w:noProof/>
          <w:lang w:val="nl-NL" w:eastAsia="nl-NL"/>
        </w:rPr>
      </w:pPr>
      <w:hyperlink w:anchor="_Toc38530685" w:history="1">
        <w:r w:rsidR="007F7FC7" w:rsidRPr="005A03BE">
          <w:rPr>
            <w:rStyle w:val="Hyperlink"/>
            <w:noProof/>
          </w:rPr>
          <w:t>2.</w:t>
        </w:r>
        <w:r w:rsidR="007F7FC7" w:rsidRPr="005A03BE">
          <w:rPr>
            <w:rFonts w:eastAsiaTheme="minorEastAsia"/>
            <w:noProof/>
            <w:lang w:val="nl-NL" w:eastAsia="nl-NL"/>
          </w:rPr>
          <w:tab/>
        </w:r>
        <w:r w:rsidR="007F7FC7" w:rsidRPr="005A03BE">
          <w:rPr>
            <w:rStyle w:val="Hyperlink"/>
            <w:noProof/>
          </w:rPr>
          <w:t>Workflow and submission deadlines</w:t>
        </w:r>
        <w:r w:rsidR="007F7FC7" w:rsidRPr="005A03BE">
          <w:rPr>
            <w:noProof/>
            <w:webHidden/>
          </w:rPr>
          <w:tab/>
        </w:r>
        <w:r w:rsidR="007F7FC7" w:rsidRPr="005A03BE">
          <w:rPr>
            <w:noProof/>
            <w:webHidden/>
          </w:rPr>
          <w:fldChar w:fldCharType="begin"/>
        </w:r>
        <w:r w:rsidR="007F7FC7" w:rsidRPr="005A03BE">
          <w:rPr>
            <w:noProof/>
            <w:webHidden/>
          </w:rPr>
          <w:instrText xml:space="preserve"> PAGEREF _Toc38530685 \h </w:instrText>
        </w:r>
        <w:r w:rsidR="007F7FC7" w:rsidRPr="005A03BE">
          <w:rPr>
            <w:noProof/>
            <w:webHidden/>
          </w:rPr>
        </w:r>
        <w:r w:rsidR="007F7FC7" w:rsidRPr="005A03BE">
          <w:rPr>
            <w:noProof/>
            <w:webHidden/>
          </w:rPr>
          <w:fldChar w:fldCharType="separate"/>
        </w:r>
        <w:r w:rsidR="007F7FC7" w:rsidRPr="005A03BE">
          <w:rPr>
            <w:noProof/>
            <w:webHidden/>
          </w:rPr>
          <w:t>2</w:t>
        </w:r>
        <w:r w:rsidR="007F7FC7" w:rsidRPr="005A03BE">
          <w:rPr>
            <w:noProof/>
            <w:webHidden/>
          </w:rPr>
          <w:fldChar w:fldCharType="end"/>
        </w:r>
      </w:hyperlink>
    </w:p>
    <w:p w14:paraId="56D3DE85" w14:textId="488F609B" w:rsidR="007F7FC7" w:rsidRPr="005A03BE" w:rsidRDefault="009B0D50">
      <w:pPr>
        <w:pStyle w:val="TOC1"/>
        <w:tabs>
          <w:tab w:val="left" w:pos="440"/>
          <w:tab w:val="right" w:leader="dot" w:pos="9396"/>
        </w:tabs>
        <w:rPr>
          <w:rFonts w:eastAsiaTheme="minorEastAsia"/>
          <w:noProof/>
          <w:lang w:val="nl-NL" w:eastAsia="nl-NL"/>
        </w:rPr>
      </w:pPr>
      <w:hyperlink w:anchor="_Toc38530686" w:history="1">
        <w:r w:rsidR="007F7FC7" w:rsidRPr="005A03BE">
          <w:rPr>
            <w:rStyle w:val="Hyperlink"/>
            <w:noProof/>
          </w:rPr>
          <w:t>3.</w:t>
        </w:r>
        <w:r w:rsidR="007F7FC7" w:rsidRPr="005A03BE">
          <w:rPr>
            <w:rFonts w:eastAsiaTheme="minorEastAsia"/>
            <w:noProof/>
            <w:lang w:val="nl-NL" w:eastAsia="nl-NL"/>
          </w:rPr>
          <w:tab/>
        </w:r>
        <w:r w:rsidR="007F7FC7" w:rsidRPr="005A03BE">
          <w:rPr>
            <w:rStyle w:val="Hyperlink"/>
            <w:noProof/>
          </w:rPr>
          <w:t>Brief description of the scenarios</w:t>
        </w:r>
        <w:r w:rsidR="007F7FC7" w:rsidRPr="005A03BE">
          <w:rPr>
            <w:noProof/>
            <w:webHidden/>
          </w:rPr>
          <w:tab/>
        </w:r>
        <w:r w:rsidR="007F7FC7" w:rsidRPr="005A03BE">
          <w:rPr>
            <w:noProof/>
            <w:webHidden/>
          </w:rPr>
          <w:fldChar w:fldCharType="begin"/>
        </w:r>
        <w:r w:rsidR="007F7FC7" w:rsidRPr="005A03BE">
          <w:rPr>
            <w:noProof/>
            <w:webHidden/>
          </w:rPr>
          <w:instrText xml:space="preserve"> PAGEREF _Toc38530686 \h </w:instrText>
        </w:r>
        <w:r w:rsidR="007F7FC7" w:rsidRPr="005A03BE">
          <w:rPr>
            <w:noProof/>
            <w:webHidden/>
          </w:rPr>
        </w:r>
        <w:r w:rsidR="007F7FC7" w:rsidRPr="005A03BE">
          <w:rPr>
            <w:noProof/>
            <w:webHidden/>
          </w:rPr>
          <w:fldChar w:fldCharType="separate"/>
        </w:r>
        <w:r w:rsidR="007F7FC7" w:rsidRPr="005A03BE">
          <w:rPr>
            <w:noProof/>
            <w:webHidden/>
          </w:rPr>
          <w:t>3</w:t>
        </w:r>
        <w:r w:rsidR="007F7FC7" w:rsidRPr="005A03BE">
          <w:rPr>
            <w:noProof/>
            <w:webHidden/>
          </w:rPr>
          <w:fldChar w:fldCharType="end"/>
        </w:r>
      </w:hyperlink>
    </w:p>
    <w:p w14:paraId="190C6CA9" w14:textId="31C3214F" w:rsidR="007F7FC7" w:rsidRPr="005A03BE" w:rsidRDefault="009B0D50">
      <w:pPr>
        <w:pStyle w:val="TOC1"/>
        <w:tabs>
          <w:tab w:val="left" w:pos="440"/>
          <w:tab w:val="right" w:leader="dot" w:pos="9396"/>
        </w:tabs>
        <w:rPr>
          <w:rFonts w:eastAsiaTheme="minorEastAsia"/>
          <w:noProof/>
          <w:lang w:val="nl-NL" w:eastAsia="nl-NL"/>
        </w:rPr>
      </w:pPr>
      <w:hyperlink w:anchor="_Toc38530687" w:history="1">
        <w:r w:rsidR="007F7FC7" w:rsidRPr="005A03BE">
          <w:rPr>
            <w:rStyle w:val="Hyperlink"/>
            <w:noProof/>
          </w:rPr>
          <w:t>4.</w:t>
        </w:r>
        <w:r w:rsidR="007F7FC7" w:rsidRPr="005A03BE">
          <w:rPr>
            <w:rFonts w:eastAsiaTheme="minorEastAsia"/>
            <w:noProof/>
            <w:lang w:val="nl-NL" w:eastAsia="nl-NL"/>
          </w:rPr>
          <w:tab/>
        </w:r>
        <w:r w:rsidR="007F7FC7" w:rsidRPr="005A03BE">
          <w:rPr>
            <w:rStyle w:val="Hyperlink"/>
            <w:noProof/>
          </w:rPr>
          <w:t>General specifications for all scenarios</w:t>
        </w:r>
        <w:r w:rsidR="007F7FC7" w:rsidRPr="005A03BE">
          <w:rPr>
            <w:noProof/>
            <w:webHidden/>
          </w:rPr>
          <w:tab/>
        </w:r>
        <w:r w:rsidR="007F7FC7" w:rsidRPr="005A03BE">
          <w:rPr>
            <w:noProof/>
            <w:webHidden/>
          </w:rPr>
          <w:fldChar w:fldCharType="begin"/>
        </w:r>
        <w:r w:rsidR="007F7FC7" w:rsidRPr="005A03BE">
          <w:rPr>
            <w:noProof/>
            <w:webHidden/>
          </w:rPr>
          <w:instrText xml:space="preserve"> PAGEREF _Toc38530687 \h </w:instrText>
        </w:r>
        <w:r w:rsidR="007F7FC7" w:rsidRPr="005A03BE">
          <w:rPr>
            <w:noProof/>
            <w:webHidden/>
          </w:rPr>
        </w:r>
        <w:r w:rsidR="007F7FC7" w:rsidRPr="005A03BE">
          <w:rPr>
            <w:noProof/>
            <w:webHidden/>
          </w:rPr>
          <w:fldChar w:fldCharType="separate"/>
        </w:r>
        <w:r w:rsidR="007F7FC7" w:rsidRPr="005A03BE">
          <w:rPr>
            <w:noProof/>
            <w:webHidden/>
          </w:rPr>
          <w:t>6</w:t>
        </w:r>
        <w:r w:rsidR="007F7FC7" w:rsidRPr="005A03BE">
          <w:rPr>
            <w:noProof/>
            <w:webHidden/>
          </w:rPr>
          <w:fldChar w:fldCharType="end"/>
        </w:r>
      </w:hyperlink>
    </w:p>
    <w:p w14:paraId="0CB148CB" w14:textId="52540F76" w:rsidR="007F7FC7" w:rsidRPr="005A03BE" w:rsidRDefault="009B0D50">
      <w:pPr>
        <w:pStyle w:val="TOC2"/>
        <w:tabs>
          <w:tab w:val="right" w:leader="dot" w:pos="9396"/>
        </w:tabs>
        <w:rPr>
          <w:rFonts w:eastAsiaTheme="minorEastAsia"/>
          <w:noProof/>
          <w:lang w:val="nl-NL" w:eastAsia="nl-NL"/>
        </w:rPr>
      </w:pPr>
      <w:hyperlink w:anchor="_Toc38530688" w:history="1">
        <w:r w:rsidR="007F7FC7" w:rsidRPr="005A03BE">
          <w:rPr>
            <w:rStyle w:val="Hyperlink"/>
            <w:noProof/>
          </w:rPr>
          <w:t>Naming</w:t>
        </w:r>
        <w:r w:rsidR="007F7FC7" w:rsidRPr="005A03BE">
          <w:rPr>
            <w:noProof/>
            <w:webHidden/>
          </w:rPr>
          <w:tab/>
        </w:r>
        <w:r w:rsidR="007F7FC7" w:rsidRPr="005A03BE">
          <w:rPr>
            <w:noProof/>
            <w:webHidden/>
          </w:rPr>
          <w:fldChar w:fldCharType="begin"/>
        </w:r>
        <w:r w:rsidR="007F7FC7" w:rsidRPr="005A03BE">
          <w:rPr>
            <w:noProof/>
            <w:webHidden/>
          </w:rPr>
          <w:instrText xml:space="preserve"> PAGEREF _Toc38530688 \h </w:instrText>
        </w:r>
        <w:r w:rsidR="007F7FC7" w:rsidRPr="005A03BE">
          <w:rPr>
            <w:noProof/>
            <w:webHidden/>
          </w:rPr>
        </w:r>
        <w:r w:rsidR="007F7FC7" w:rsidRPr="005A03BE">
          <w:rPr>
            <w:noProof/>
            <w:webHidden/>
          </w:rPr>
          <w:fldChar w:fldCharType="separate"/>
        </w:r>
        <w:r w:rsidR="007F7FC7" w:rsidRPr="005A03BE">
          <w:rPr>
            <w:noProof/>
            <w:webHidden/>
          </w:rPr>
          <w:t>7</w:t>
        </w:r>
        <w:r w:rsidR="007F7FC7" w:rsidRPr="005A03BE">
          <w:rPr>
            <w:noProof/>
            <w:webHidden/>
          </w:rPr>
          <w:fldChar w:fldCharType="end"/>
        </w:r>
      </w:hyperlink>
    </w:p>
    <w:p w14:paraId="08424C78" w14:textId="2BEA9866" w:rsidR="007F7FC7" w:rsidRPr="005A03BE" w:rsidRDefault="009B0D50">
      <w:pPr>
        <w:pStyle w:val="TOC2"/>
        <w:tabs>
          <w:tab w:val="right" w:leader="dot" w:pos="9396"/>
        </w:tabs>
        <w:rPr>
          <w:rFonts w:eastAsiaTheme="minorEastAsia"/>
          <w:noProof/>
          <w:lang w:val="nl-NL" w:eastAsia="nl-NL"/>
        </w:rPr>
      </w:pPr>
      <w:hyperlink w:anchor="_Toc38530689" w:history="1">
        <w:r w:rsidR="007F7FC7" w:rsidRPr="005A03BE">
          <w:rPr>
            <w:rStyle w:val="Hyperlink"/>
            <w:noProof/>
          </w:rPr>
          <w:t>Time horizon</w:t>
        </w:r>
        <w:r w:rsidR="007F7FC7" w:rsidRPr="005A03BE">
          <w:rPr>
            <w:noProof/>
            <w:webHidden/>
          </w:rPr>
          <w:tab/>
        </w:r>
        <w:r w:rsidR="007F7FC7" w:rsidRPr="005A03BE">
          <w:rPr>
            <w:noProof/>
            <w:webHidden/>
          </w:rPr>
          <w:fldChar w:fldCharType="begin"/>
        </w:r>
        <w:r w:rsidR="007F7FC7" w:rsidRPr="005A03BE">
          <w:rPr>
            <w:noProof/>
            <w:webHidden/>
          </w:rPr>
          <w:instrText xml:space="preserve"> PAGEREF _Toc38530689 \h </w:instrText>
        </w:r>
        <w:r w:rsidR="007F7FC7" w:rsidRPr="005A03BE">
          <w:rPr>
            <w:noProof/>
            <w:webHidden/>
          </w:rPr>
        </w:r>
        <w:r w:rsidR="007F7FC7" w:rsidRPr="005A03BE">
          <w:rPr>
            <w:noProof/>
            <w:webHidden/>
          </w:rPr>
          <w:fldChar w:fldCharType="separate"/>
        </w:r>
        <w:r w:rsidR="007F7FC7" w:rsidRPr="005A03BE">
          <w:rPr>
            <w:noProof/>
            <w:webHidden/>
          </w:rPr>
          <w:t>7</w:t>
        </w:r>
        <w:r w:rsidR="007F7FC7" w:rsidRPr="005A03BE">
          <w:rPr>
            <w:noProof/>
            <w:webHidden/>
          </w:rPr>
          <w:fldChar w:fldCharType="end"/>
        </w:r>
      </w:hyperlink>
    </w:p>
    <w:p w14:paraId="727C5E53" w14:textId="2DD5CA8F" w:rsidR="007F7FC7" w:rsidRPr="005A03BE" w:rsidRDefault="009B0D50">
      <w:pPr>
        <w:pStyle w:val="TOC2"/>
        <w:tabs>
          <w:tab w:val="right" w:leader="dot" w:pos="9396"/>
        </w:tabs>
        <w:rPr>
          <w:rFonts w:eastAsiaTheme="minorEastAsia"/>
          <w:noProof/>
          <w:lang w:val="nl-NL" w:eastAsia="nl-NL"/>
        </w:rPr>
      </w:pPr>
      <w:hyperlink w:anchor="_Toc38530690" w:history="1">
        <w:r w:rsidR="007F7FC7" w:rsidRPr="005A03BE">
          <w:rPr>
            <w:rStyle w:val="Hyperlink"/>
            <w:noProof/>
          </w:rPr>
          <w:t>Post policy period</w:t>
        </w:r>
        <w:r w:rsidR="007F7FC7" w:rsidRPr="005A03BE">
          <w:rPr>
            <w:noProof/>
            <w:webHidden/>
          </w:rPr>
          <w:tab/>
        </w:r>
        <w:r w:rsidR="007F7FC7" w:rsidRPr="005A03BE">
          <w:rPr>
            <w:noProof/>
            <w:webHidden/>
          </w:rPr>
          <w:fldChar w:fldCharType="begin"/>
        </w:r>
        <w:r w:rsidR="007F7FC7" w:rsidRPr="005A03BE">
          <w:rPr>
            <w:noProof/>
            <w:webHidden/>
          </w:rPr>
          <w:instrText xml:space="preserve"> PAGEREF _Toc38530690 \h </w:instrText>
        </w:r>
        <w:r w:rsidR="007F7FC7" w:rsidRPr="005A03BE">
          <w:rPr>
            <w:noProof/>
            <w:webHidden/>
          </w:rPr>
        </w:r>
        <w:r w:rsidR="007F7FC7" w:rsidRPr="005A03BE">
          <w:rPr>
            <w:noProof/>
            <w:webHidden/>
          </w:rPr>
          <w:fldChar w:fldCharType="separate"/>
        </w:r>
        <w:r w:rsidR="007F7FC7" w:rsidRPr="005A03BE">
          <w:rPr>
            <w:noProof/>
            <w:webHidden/>
          </w:rPr>
          <w:t>7</w:t>
        </w:r>
        <w:r w:rsidR="007F7FC7" w:rsidRPr="005A03BE">
          <w:rPr>
            <w:noProof/>
            <w:webHidden/>
          </w:rPr>
          <w:fldChar w:fldCharType="end"/>
        </w:r>
      </w:hyperlink>
    </w:p>
    <w:p w14:paraId="283B81FA" w14:textId="2265ECFB" w:rsidR="007F7FC7" w:rsidRPr="005A03BE" w:rsidRDefault="009B0D50">
      <w:pPr>
        <w:pStyle w:val="TOC2"/>
        <w:tabs>
          <w:tab w:val="right" w:leader="dot" w:pos="9396"/>
        </w:tabs>
        <w:rPr>
          <w:rFonts w:eastAsiaTheme="minorEastAsia"/>
          <w:noProof/>
          <w:lang w:val="nl-NL" w:eastAsia="nl-NL"/>
        </w:rPr>
      </w:pPr>
      <w:hyperlink w:anchor="_Toc38530691" w:history="1">
        <w:r w:rsidR="007F7FC7" w:rsidRPr="005A03BE">
          <w:rPr>
            <w:rStyle w:val="Hyperlink"/>
            <w:noProof/>
          </w:rPr>
          <w:t>Regions</w:t>
        </w:r>
        <w:r w:rsidR="007F7FC7" w:rsidRPr="005A03BE">
          <w:rPr>
            <w:noProof/>
            <w:webHidden/>
          </w:rPr>
          <w:tab/>
        </w:r>
        <w:r w:rsidR="007F7FC7" w:rsidRPr="005A03BE">
          <w:rPr>
            <w:noProof/>
            <w:webHidden/>
          </w:rPr>
          <w:fldChar w:fldCharType="begin"/>
        </w:r>
        <w:r w:rsidR="007F7FC7" w:rsidRPr="005A03BE">
          <w:rPr>
            <w:noProof/>
            <w:webHidden/>
          </w:rPr>
          <w:instrText xml:space="preserve"> PAGEREF _Toc38530691 \h </w:instrText>
        </w:r>
        <w:r w:rsidR="007F7FC7" w:rsidRPr="005A03BE">
          <w:rPr>
            <w:noProof/>
            <w:webHidden/>
          </w:rPr>
        </w:r>
        <w:r w:rsidR="007F7FC7" w:rsidRPr="005A03BE">
          <w:rPr>
            <w:noProof/>
            <w:webHidden/>
          </w:rPr>
          <w:fldChar w:fldCharType="separate"/>
        </w:r>
        <w:r w:rsidR="007F7FC7" w:rsidRPr="005A03BE">
          <w:rPr>
            <w:noProof/>
            <w:webHidden/>
          </w:rPr>
          <w:t>7</w:t>
        </w:r>
        <w:r w:rsidR="007F7FC7" w:rsidRPr="005A03BE">
          <w:rPr>
            <w:noProof/>
            <w:webHidden/>
          </w:rPr>
          <w:fldChar w:fldCharType="end"/>
        </w:r>
      </w:hyperlink>
    </w:p>
    <w:p w14:paraId="0DF615FC" w14:textId="768BA8B8" w:rsidR="007F7FC7" w:rsidRPr="005A03BE" w:rsidRDefault="009B0D50">
      <w:pPr>
        <w:pStyle w:val="TOC2"/>
        <w:tabs>
          <w:tab w:val="right" w:leader="dot" w:pos="9396"/>
        </w:tabs>
        <w:rPr>
          <w:rFonts w:eastAsiaTheme="minorEastAsia"/>
          <w:noProof/>
          <w:lang w:val="nl-NL" w:eastAsia="nl-NL"/>
        </w:rPr>
      </w:pPr>
      <w:hyperlink w:anchor="_Toc38530692" w:history="1">
        <w:r w:rsidR="007F7FC7" w:rsidRPr="005A03BE">
          <w:rPr>
            <w:rStyle w:val="Hyperlink"/>
            <w:noProof/>
          </w:rPr>
          <w:t>Policy coverage in the model</w:t>
        </w:r>
        <w:r w:rsidR="007F7FC7" w:rsidRPr="005A03BE">
          <w:rPr>
            <w:noProof/>
            <w:webHidden/>
          </w:rPr>
          <w:tab/>
        </w:r>
        <w:r w:rsidR="007F7FC7" w:rsidRPr="005A03BE">
          <w:rPr>
            <w:noProof/>
            <w:webHidden/>
          </w:rPr>
          <w:fldChar w:fldCharType="begin"/>
        </w:r>
        <w:r w:rsidR="007F7FC7" w:rsidRPr="005A03BE">
          <w:rPr>
            <w:noProof/>
            <w:webHidden/>
          </w:rPr>
          <w:instrText xml:space="preserve"> PAGEREF _Toc38530692 \h </w:instrText>
        </w:r>
        <w:r w:rsidR="007F7FC7" w:rsidRPr="005A03BE">
          <w:rPr>
            <w:noProof/>
            <w:webHidden/>
          </w:rPr>
        </w:r>
        <w:r w:rsidR="007F7FC7" w:rsidRPr="005A03BE">
          <w:rPr>
            <w:noProof/>
            <w:webHidden/>
          </w:rPr>
          <w:fldChar w:fldCharType="separate"/>
        </w:r>
        <w:r w:rsidR="007F7FC7" w:rsidRPr="005A03BE">
          <w:rPr>
            <w:noProof/>
            <w:webHidden/>
          </w:rPr>
          <w:t>8</w:t>
        </w:r>
        <w:r w:rsidR="007F7FC7" w:rsidRPr="005A03BE">
          <w:rPr>
            <w:noProof/>
            <w:webHidden/>
          </w:rPr>
          <w:fldChar w:fldCharType="end"/>
        </w:r>
      </w:hyperlink>
    </w:p>
    <w:p w14:paraId="34B626EF" w14:textId="52DC38E0" w:rsidR="007F7FC7" w:rsidRPr="005A03BE" w:rsidRDefault="009B0D50">
      <w:pPr>
        <w:pStyle w:val="TOC1"/>
        <w:tabs>
          <w:tab w:val="left" w:pos="440"/>
          <w:tab w:val="right" w:leader="dot" w:pos="9396"/>
        </w:tabs>
        <w:rPr>
          <w:rFonts w:eastAsiaTheme="minorEastAsia"/>
          <w:noProof/>
          <w:lang w:val="nl-NL" w:eastAsia="nl-NL"/>
        </w:rPr>
      </w:pPr>
      <w:hyperlink w:anchor="_Toc38530693" w:history="1">
        <w:r w:rsidR="007F7FC7" w:rsidRPr="005A03BE">
          <w:rPr>
            <w:rStyle w:val="Hyperlink"/>
            <w:noProof/>
          </w:rPr>
          <w:t>5.</w:t>
        </w:r>
        <w:r w:rsidR="007F7FC7" w:rsidRPr="005A03BE">
          <w:rPr>
            <w:rFonts w:eastAsiaTheme="minorEastAsia"/>
            <w:noProof/>
            <w:lang w:val="nl-NL" w:eastAsia="nl-NL"/>
          </w:rPr>
          <w:tab/>
        </w:r>
        <w:r w:rsidR="007F7FC7" w:rsidRPr="005A03BE">
          <w:rPr>
            <w:rStyle w:val="Hyperlink"/>
            <w:noProof/>
          </w:rPr>
          <w:t>Detailed specifications of scenarios</w:t>
        </w:r>
        <w:r w:rsidR="007F7FC7" w:rsidRPr="005A03BE">
          <w:rPr>
            <w:noProof/>
            <w:webHidden/>
          </w:rPr>
          <w:tab/>
        </w:r>
        <w:r w:rsidR="007F7FC7" w:rsidRPr="005A03BE">
          <w:rPr>
            <w:noProof/>
            <w:webHidden/>
          </w:rPr>
          <w:fldChar w:fldCharType="begin"/>
        </w:r>
        <w:r w:rsidR="007F7FC7" w:rsidRPr="005A03BE">
          <w:rPr>
            <w:noProof/>
            <w:webHidden/>
          </w:rPr>
          <w:instrText xml:space="preserve"> PAGEREF _Toc38530693 \h </w:instrText>
        </w:r>
        <w:r w:rsidR="007F7FC7" w:rsidRPr="005A03BE">
          <w:rPr>
            <w:noProof/>
            <w:webHidden/>
          </w:rPr>
        </w:r>
        <w:r w:rsidR="007F7FC7" w:rsidRPr="005A03BE">
          <w:rPr>
            <w:noProof/>
            <w:webHidden/>
          </w:rPr>
          <w:fldChar w:fldCharType="separate"/>
        </w:r>
        <w:r w:rsidR="007F7FC7" w:rsidRPr="005A03BE">
          <w:rPr>
            <w:noProof/>
            <w:webHidden/>
          </w:rPr>
          <w:t>8</w:t>
        </w:r>
        <w:r w:rsidR="007F7FC7" w:rsidRPr="005A03BE">
          <w:rPr>
            <w:noProof/>
            <w:webHidden/>
          </w:rPr>
          <w:fldChar w:fldCharType="end"/>
        </w:r>
      </w:hyperlink>
    </w:p>
    <w:p w14:paraId="4B00761E" w14:textId="4D010C6C" w:rsidR="007F7FC7" w:rsidRPr="005A03BE" w:rsidRDefault="009B0D50">
      <w:pPr>
        <w:pStyle w:val="TOC2"/>
        <w:tabs>
          <w:tab w:val="right" w:leader="dot" w:pos="9396"/>
        </w:tabs>
        <w:rPr>
          <w:rFonts w:eastAsiaTheme="minorEastAsia"/>
          <w:noProof/>
          <w:lang w:val="nl-NL" w:eastAsia="nl-NL"/>
        </w:rPr>
      </w:pPr>
      <w:hyperlink w:anchor="_Toc38530694" w:history="1">
        <w:r w:rsidR="007F7FC7" w:rsidRPr="005A03BE">
          <w:rPr>
            <w:rStyle w:val="Hyperlink"/>
            <w:noProof/>
          </w:rPr>
          <w:t>Updated CD-LINKS scenarios</w:t>
        </w:r>
        <w:r w:rsidR="007F7FC7" w:rsidRPr="005A03BE">
          <w:rPr>
            <w:noProof/>
            <w:webHidden/>
          </w:rPr>
          <w:tab/>
        </w:r>
        <w:r w:rsidR="007F7FC7" w:rsidRPr="005A03BE">
          <w:rPr>
            <w:noProof/>
            <w:webHidden/>
          </w:rPr>
          <w:fldChar w:fldCharType="begin"/>
        </w:r>
        <w:r w:rsidR="007F7FC7" w:rsidRPr="005A03BE">
          <w:rPr>
            <w:noProof/>
            <w:webHidden/>
          </w:rPr>
          <w:instrText xml:space="preserve"> PAGEREF _Toc38530694 \h </w:instrText>
        </w:r>
        <w:r w:rsidR="007F7FC7" w:rsidRPr="005A03BE">
          <w:rPr>
            <w:noProof/>
            <w:webHidden/>
          </w:rPr>
        </w:r>
        <w:r w:rsidR="007F7FC7" w:rsidRPr="005A03BE">
          <w:rPr>
            <w:noProof/>
            <w:webHidden/>
          </w:rPr>
          <w:fldChar w:fldCharType="separate"/>
        </w:r>
        <w:r w:rsidR="007F7FC7" w:rsidRPr="005A03BE">
          <w:rPr>
            <w:noProof/>
            <w:webHidden/>
          </w:rPr>
          <w:t>8</w:t>
        </w:r>
        <w:r w:rsidR="007F7FC7" w:rsidRPr="005A03BE">
          <w:rPr>
            <w:noProof/>
            <w:webHidden/>
          </w:rPr>
          <w:fldChar w:fldCharType="end"/>
        </w:r>
      </w:hyperlink>
    </w:p>
    <w:p w14:paraId="6BC027D3" w14:textId="6D36D2B6" w:rsidR="007F7FC7" w:rsidRPr="005A03BE" w:rsidRDefault="009B0D50">
      <w:pPr>
        <w:pStyle w:val="TOC2"/>
        <w:tabs>
          <w:tab w:val="right" w:leader="dot" w:pos="9396"/>
        </w:tabs>
        <w:rPr>
          <w:rFonts w:eastAsiaTheme="minorEastAsia"/>
          <w:noProof/>
          <w:lang w:val="nl-NL" w:eastAsia="nl-NL"/>
        </w:rPr>
      </w:pPr>
      <w:hyperlink w:anchor="_Toc38530695" w:history="1">
        <w:r w:rsidR="007F7FC7" w:rsidRPr="005A03BE">
          <w:rPr>
            <w:rStyle w:val="Hyperlink"/>
            <w:noProof/>
          </w:rPr>
          <w:t>Good practice policies and Bridging scenarios</w:t>
        </w:r>
        <w:r w:rsidR="007F7FC7" w:rsidRPr="005A03BE">
          <w:rPr>
            <w:noProof/>
            <w:webHidden/>
          </w:rPr>
          <w:tab/>
        </w:r>
        <w:r w:rsidR="007F7FC7" w:rsidRPr="005A03BE">
          <w:rPr>
            <w:noProof/>
            <w:webHidden/>
          </w:rPr>
          <w:fldChar w:fldCharType="begin"/>
        </w:r>
        <w:r w:rsidR="007F7FC7" w:rsidRPr="005A03BE">
          <w:rPr>
            <w:noProof/>
            <w:webHidden/>
          </w:rPr>
          <w:instrText xml:space="preserve"> PAGEREF _Toc38530695 \h </w:instrText>
        </w:r>
        <w:r w:rsidR="007F7FC7" w:rsidRPr="005A03BE">
          <w:rPr>
            <w:noProof/>
            <w:webHidden/>
          </w:rPr>
        </w:r>
        <w:r w:rsidR="007F7FC7" w:rsidRPr="005A03BE">
          <w:rPr>
            <w:noProof/>
            <w:webHidden/>
          </w:rPr>
          <w:fldChar w:fldCharType="separate"/>
        </w:r>
        <w:r w:rsidR="007F7FC7" w:rsidRPr="005A03BE">
          <w:rPr>
            <w:noProof/>
            <w:webHidden/>
          </w:rPr>
          <w:t>9</w:t>
        </w:r>
        <w:r w:rsidR="007F7FC7" w:rsidRPr="005A03BE">
          <w:rPr>
            <w:noProof/>
            <w:webHidden/>
          </w:rPr>
          <w:fldChar w:fldCharType="end"/>
        </w:r>
      </w:hyperlink>
    </w:p>
    <w:p w14:paraId="73715174" w14:textId="0B8B8742" w:rsidR="00275D9E" w:rsidRPr="005A03BE" w:rsidRDefault="00275D9E" w:rsidP="003571C9">
      <w:pPr>
        <w:pStyle w:val="NoSpacing"/>
        <w:rPr>
          <w:rStyle w:val="Strong"/>
          <w:lang w:val="en-US"/>
        </w:rPr>
      </w:pPr>
      <w:r w:rsidRPr="005A03BE">
        <w:rPr>
          <w:rStyle w:val="Strong"/>
          <w:lang w:val="en-US"/>
        </w:rPr>
        <w:fldChar w:fldCharType="end"/>
      </w:r>
    </w:p>
    <w:p w14:paraId="5D4EC514" w14:textId="77777777" w:rsidR="006B071A" w:rsidRPr="005A03BE" w:rsidRDefault="006B071A" w:rsidP="006B071A">
      <w:pPr>
        <w:rPr>
          <w:rStyle w:val="Strong"/>
        </w:rPr>
      </w:pPr>
    </w:p>
    <w:p w14:paraId="31EB6682" w14:textId="77777777" w:rsidR="00732299" w:rsidRPr="005A03BE" w:rsidRDefault="00732299">
      <w:pPr>
        <w:rPr>
          <w:rStyle w:val="Strong"/>
          <w:rFonts w:asciiTheme="majorHAnsi" w:eastAsiaTheme="majorEastAsia" w:hAnsiTheme="majorHAnsi" w:cstheme="majorBidi"/>
          <w:bCs w:val="0"/>
          <w:color w:val="328D9F" w:themeColor="accent1" w:themeShade="BF"/>
          <w:sz w:val="32"/>
          <w:szCs w:val="32"/>
        </w:rPr>
      </w:pPr>
      <w:r w:rsidRPr="005A03BE">
        <w:rPr>
          <w:rStyle w:val="Strong"/>
          <w:b w:val="0"/>
          <w:bCs w:val="0"/>
        </w:rPr>
        <w:br w:type="page"/>
      </w:r>
    </w:p>
    <w:p w14:paraId="2EC865B0" w14:textId="77777777" w:rsidR="006B071A" w:rsidRPr="005A03BE" w:rsidRDefault="00732299" w:rsidP="00732299">
      <w:pPr>
        <w:pStyle w:val="Heading1"/>
        <w:rPr>
          <w:rStyle w:val="Strong"/>
        </w:rPr>
      </w:pPr>
      <w:bookmarkStart w:id="1" w:name="_Toc38530684"/>
      <w:r w:rsidRPr="005A03BE">
        <w:rPr>
          <w:rStyle w:val="Strong"/>
          <w:b/>
          <w:bCs w:val="0"/>
        </w:rPr>
        <w:lastRenderedPageBreak/>
        <w:t>Introduction</w:t>
      </w:r>
      <w:bookmarkEnd w:id="1"/>
    </w:p>
    <w:p w14:paraId="69974B44" w14:textId="198FD4B6" w:rsidR="00AC0853" w:rsidRPr="005A03BE" w:rsidRDefault="00F80A00" w:rsidP="00F80A00">
      <w:pPr>
        <w:rPr>
          <w:rStyle w:val="Strong"/>
          <w:b w:val="0"/>
        </w:rPr>
      </w:pPr>
      <w:r w:rsidRPr="005A03BE">
        <w:rPr>
          <w:rStyle w:val="Strong"/>
          <w:b w:val="0"/>
        </w:rPr>
        <w:t xml:space="preserve">In response to the global stocktake </w:t>
      </w:r>
      <w:r w:rsidR="00706909" w:rsidRPr="005A03BE">
        <w:rPr>
          <w:rStyle w:val="Strong"/>
          <w:b w:val="0"/>
        </w:rPr>
        <w:t>under the UNFCCC</w:t>
      </w:r>
      <w:r w:rsidR="0050573B" w:rsidRPr="005A03BE">
        <w:rPr>
          <w:rStyle w:val="Strong"/>
          <w:b w:val="0"/>
        </w:rPr>
        <w:t xml:space="preserve">, scenarios </w:t>
      </w:r>
      <w:r w:rsidR="00706909" w:rsidRPr="005A03BE">
        <w:rPr>
          <w:rStyle w:val="Strong"/>
          <w:b w:val="0"/>
        </w:rPr>
        <w:t xml:space="preserve">will be </w:t>
      </w:r>
      <w:r w:rsidR="0050573B" w:rsidRPr="005A03BE">
        <w:rPr>
          <w:rStyle w:val="Strong"/>
          <w:b w:val="0"/>
        </w:rPr>
        <w:t xml:space="preserve">developed </w:t>
      </w:r>
      <w:r w:rsidR="00706909" w:rsidRPr="005A03BE">
        <w:rPr>
          <w:rStyle w:val="Strong"/>
          <w:b w:val="0"/>
        </w:rPr>
        <w:t xml:space="preserve">that </w:t>
      </w:r>
      <w:r w:rsidR="0050573B" w:rsidRPr="005A03BE">
        <w:rPr>
          <w:rStyle w:val="Strong"/>
          <w:b w:val="0"/>
        </w:rPr>
        <w:t xml:space="preserve">represent a ratcheted up </w:t>
      </w:r>
      <w:r w:rsidR="00B15DBD" w:rsidRPr="005A03BE">
        <w:rPr>
          <w:rStyle w:val="Strong"/>
          <w:b w:val="0"/>
        </w:rPr>
        <w:t xml:space="preserve">mitigation </w:t>
      </w:r>
      <w:r w:rsidR="0050573B" w:rsidRPr="005A03BE">
        <w:rPr>
          <w:rStyle w:val="Strong"/>
          <w:b w:val="0"/>
        </w:rPr>
        <w:t>ambition level b</w:t>
      </w:r>
      <w:r w:rsidR="00B15DBD" w:rsidRPr="005A03BE">
        <w:rPr>
          <w:rStyle w:val="Strong"/>
          <w:b w:val="0"/>
        </w:rPr>
        <w:t xml:space="preserve">y </w:t>
      </w:r>
      <w:r w:rsidR="00706909" w:rsidRPr="005A03BE">
        <w:rPr>
          <w:rStyle w:val="Strong"/>
          <w:b w:val="0"/>
        </w:rPr>
        <w:t>Parties to the Paris agreement</w:t>
      </w:r>
      <w:r w:rsidR="00107792" w:rsidRPr="005A03BE">
        <w:rPr>
          <w:rStyle w:val="Strong"/>
          <w:b w:val="0"/>
        </w:rPr>
        <w:t xml:space="preserve"> (hereafter: countries)</w:t>
      </w:r>
      <w:r w:rsidR="00B15DBD" w:rsidRPr="005A03BE">
        <w:rPr>
          <w:rStyle w:val="Strong"/>
          <w:b w:val="0"/>
        </w:rPr>
        <w:t xml:space="preserve">. The </w:t>
      </w:r>
      <w:r w:rsidR="00420798" w:rsidRPr="005A03BE">
        <w:rPr>
          <w:rStyle w:val="Strong"/>
          <w:b w:val="0"/>
        </w:rPr>
        <w:t xml:space="preserve">scenario </w:t>
      </w:r>
      <w:r w:rsidR="005D0E38" w:rsidRPr="005A03BE">
        <w:rPr>
          <w:rStyle w:val="Strong"/>
          <w:b w:val="0"/>
        </w:rPr>
        <w:t>suit</w:t>
      </w:r>
      <w:r w:rsidR="00706909" w:rsidRPr="005A03BE">
        <w:rPr>
          <w:rStyle w:val="Strong"/>
          <w:b w:val="0"/>
        </w:rPr>
        <w:t>e</w:t>
      </w:r>
      <w:r w:rsidR="005D0E38" w:rsidRPr="005A03BE">
        <w:rPr>
          <w:rStyle w:val="Strong"/>
          <w:b w:val="0"/>
        </w:rPr>
        <w:t xml:space="preserve"> described here</w:t>
      </w:r>
      <w:r w:rsidR="00420798" w:rsidRPr="005A03BE">
        <w:rPr>
          <w:rStyle w:val="Strong"/>
          <w:b w:val="0"/>
        </w:rPr>
        <w:t xml:space="preserve"> consist</w:t>
      </w:r>
      <w:r w:rsidR="005D0E38" w:rsidRPr="005A03BE">
        <w:rPr>
          <w:rStyle w:val="Strong"/>
          <w:b w:val="0"/>
        </w:rPr>
        <w:t>s</w:t>
      </w:r>
      <w:r w:rsidR="00CD0E94" w:rsidRPr="005A03BE">
        <w:rPr>
          <w:rStyle w:val="Strong"/>
          <w:b w:val="0"/>
        </w:rPr>
        <w:t xml:space="preserve"> of</w:t>
      </w:r>
      <w:r w:rsidR="00420798" w:rsidRPr="005A03BE">
        <w:rPr>
          <w:rStyle w:val="Strong"/>
          <w:b w:val="0"/>
        </w:rPr>
        <w:t xml:space="preserve"> </w:t>
      </w:r>
      <w:r w:rsidR="00AC0853" w:rsidRPr="005A03BE">
        <w:rPr>
          <w:rStyle w:val="Strong"/>
          <w:b w:val="0"/>
        </w:rPr>
        <w:t>the following scenarios:</w:t>
      </w:r>
    </w:p>
    <w:p w14:paraId="6FBD8ADB" w14:textId="220B478B" w:rsidR="00AC0853" w:rsidRPr="005A03BE" w:rsidRDefault="00420798" w:rsidP="00AC0853">
      <w:pPr>
        <w:pStyle w:val="ListParagraph"/>
        <w:numPr>
          <w:ilvl w:val="0"/>
          <w:numId w:val="13"/>
        </w:numPr>
        <w:rPr>
          <w:rStyle w:val="Strong"/>
          <w:b w:val="0"/>
        </w:rPr>
      </w:pPr>
      <w:r w:rsidRPr="005A03BE">
        <w:rPr>
          <w:rStyle w:val="Strong"/>
          <w:b w:val="0"/>
        </w:rPr>
        <w:t>baseline</w:t>
      </w:r>
      <w:r w:rsidR="00D86754" w:rsidRPr="005A03BE">
        <w:rPr>
          <w:rStyle w:val="Strong"/>
          <w:b w:val="0"/>
        </w:rPr>
        <w:t xml:space="preserve">, </w:t>
      </w:r>
    </w:p>
    <w:p w14:paraId="652158B2" w14:textId="25C46E06" w:rsidR="00AC0853" w:rsidRPr="005A03BE" w:rsidRDefault="00D86754" w:rsidP="00AC0853">
      <w:pPr>
        <w:pStyle w:val="ListParagraph"/>
        <w:numPr>
          <w:ilvl w:val="0"/>
          <w:numId w:val="13"/>
        </w:numPr>
        <w:rPr>
          <w:rStyle w:val="Strong"/>
          <w:b w:val="0"/>
        </w:rPr>
      </w:pPr>
      <w:r w:rsidRPr="005A03BE">
        <w:rPr>
          <w:rStyle w:val="Strong"/>
          <w:b w:val="0"/>
        </w:rPr>
        <w:t xml:space="preserve">current policy, </w:t>
      </w:r>
    </w:p>
    <w:p w14:paraId="069C68F9" w14:textId="5AFA9EF4" w:rsidR="00AC0853" w:rsidRPr="005A03BE" w:rsidRDefault="00CD0E94" w:rsidP="00AC0853">
      <w:pPr>
        <w:pStyle w:val="ListParagraph"/>
        <w:numPr>
          <w:ilvl w:val="0"/>
          <w:numId w:val="13"/>
        </w:numPr>
        <w:rPr>
          <w:rStyle w:val="Strong"/>
          <w:b w:val="0"/>
        </w:rPr>
      </w:pPr>
      <w:r w:rsidRPr="005A03BE">
        <w:rPr>
          <w:rStyle w:val="Strong"/>
          <w:b w:val="0"/>
        </w:rPr>
        <w:t>n</w:t>
      </w:r>
      <w:r w:rsidR="00D86754" w:rsidRPr="005A03BE">
        <w:rPr>
          <w:rStyle w:val="Strong"/>
          <w:b w:val="0"/>
        </w:rPr>
        <w:t>ational</w:t>
      </w:r>
      <w:r w:rsidR="00706909" w:rsidRPr="005A03BE">
        <w:rPr>
          <w:rStyle w:val="Strong"/>
          <w:b w:val="0"/>
        </w:rPr>
        <w:t>ly</w:t>
      </w:r>
      <w:r w:rsidR="00D86754" w:rsidRPr="005A03BE">
        <w:rPr>
          <w:rStyle w:val="Strong"/>
          <w:b w:val="0"/>
        </w:rPr>
        <w:t xml:space="preserve"> determined contribution (</w:t>
      </w:r>
      <w:r w:rsidR="00D0415F" w:rsidRPr="005A03BE">
        <w:rPr>
          <w:rStyle w:val="Strong"/>
          <w:b w:val="0"/>
        </w:rPr>
        <w:t>NDC</w:t>
      </w:r>
      <w:r w:rsidR="00D86754" w:rsidRPr="005A03BE">
        <w:rPr>
          <w:rStyle w:val="Strong"/>
          <w:b w:val="0"/>
        </w:rPr>
        <w:t xml:space="preserve">), </w:t>
      </w:r>
    </w:p>
    <w:p w14:paraId="4F6BEC9B" w14:textId="57355AA8" w:rsidR="009A1E8C" w:rsidRPr="005A03BE" w:rsidRDefault="009A1E8C" w:rsidP="00AC0853">
      <w:pPr>
        <w:pStyle w:val="ListParagraph"/>
        <w:numPr>
          <w:ilvl w:val="0"/>
          <w:numId w:val="13"/>
        </w:numPr>
        <w:rPr>
          <w:rStyle w:val="Strong"/>
          <w:b w:val="0"/>
        </w:rPr>
      </w:pPr>
      <w:r w:rsidRPr="005A03BE">
        <w:rPr>
          <w:rStyle w:val="Strong"/>
          <w:b w:val="0"/>
        </w:rPr>
        <w:t>good practice policies,</w:t>
      </w:r>
    </w:p>
    <w:p w14:paraId="2CF5A3E2" w14:textId="54FBA852" w:rsidR="00AC0853" w:rsidRPr="005A03BE" w:rsidRDefault="00D86754" w:rsidP="00AC0853">
      <w:pPr>
        <w:pStyle w:val="ListParagraph"/>
        <w:numPr>
          <w:ilvl w:val="0"/>
          <w:numId w:val="13"/>
        </w:numPr>
        <w:rPr>
          <w:rStyle w:val="Strong"/>
          <w:b w:val="0"/>
        </w:rPr>
      </w:pPr>
      <w:r w:rsidRPr="005A03BE">
        <w:rPr>
          <w:rStyle w:val="Strong"/>
          <w:b w:val="0"/>
        </w:rPr>
        <w:t>bridging</w:t>
      </w:r>
      <w:r w:rsidR="00CD0E94" w:rsidRPr="005A03BE">
        <w:rPr>
          <w:rStyle w:val="Strong"/>
          <w:b w:val="0"/>
        </w:rPr>
        <w:t>,</w:t>
      </w:r>
      <w:r w:rsidR="00420798" w:rsidRPr="005A03BE">
        <w:rPr>
          <w:rStyle w:val="Strong"/>
          <w:b w:val="0"/>
        </w:rPr>
        <w:t xml:space="preserve"> </w:t>
      </w:r>
      <w:r w:rsidRPr="005A03BE">
        <w:rPr>
          <w:rStyle w:val="Strong"/>
          <w:b w:val="0"/>
        </w:rPr>
        <w:t xml:space="preserve">and </w:t>
      </w:r>
    </w:p>
    <w:p w14:paraId="2A03ADB4" w14:textId="34E3B8B9" w:rsidR="00AC0853" w:rsidRPr="005A03BE" w:rsidRDefault="00D86754" w:rsidP="00AC0853">
      <w:pPr>
        <w:pStyle w:val="ListParagraph"/>
        <w:numPr>
          <w:ilvl w:val="0"/>
          <w:numId w:val="13"/>
        </w:numPr>
        <w:rPr>
          <w:rStyle w:val="Strong"/>
          <w:b w:val="0"/>
        </w:rPr>
      </w:pPr>
      <w:r w:rsidRPr="005A03BE">
        <w:rPr>
          <w:rStyle w:val="Strong"/>
          <w:b w:val="0"/>
        </w:rPr>
        <w:t xml:space="preserve">2 </w:t>
      </w:r>
      <w:r w:rsidRPr="005A03BE">
        <w:rPr>
          <w:rStyle w:val="Strong"/>
          <w:rFonts w:cstheme="minorHAnsi"/>
          <w:b w:val="0"/>
        </w:rPr>
        <w:t>˚</w:t>
      </w:r>
      <w:r w:rsidRPr="005A03BE">
        <w:rPr>
          <w:rStyle w:val="Strong"/>
          <w:b w:val="0"/>
        </w:rPr>
        <w:t>C mitigation scenario</w:t>
      </w:r>
      <w:r w:rsidR="009A1E8C" w:rsidRPr="005A03BE">
        <w:rPr>
          <w:rStyle w:val="Strong"/>
          <w:b w:val="0"/>
        </w:rPr>
        <w:t>s</w:t>
      </w:r>
      <w:r w:rsidRPr="005A03BE">
        <w:rPr>
          <w:rStyle w:val="Strong"/>
          <w:b w:val="0"/>
        </w:rPr>
        <w:t>.</w:t>
      </w:r>
      <w:r w:rsidR="00420798" w:rsidRPr="005A03BE">
        <w:rPr>
          <w:rStyle w:val="Strong"/>
          <w:b w:val="0"/>
        </w:rPr>
        <w:t xml:space="preserve"> </w:t>
      </w:r>
    </w:p>
    <w:p w14:paraId="1C2A2C84" w14:textId="77777777" w:rsidR="00AC0853" w:rsidRPr="005A03BE" w:rsidRDefault="00AC0853" w:rsidP="00AC0853">
      <w:pPr>
        <w:rPr>
          <w:rStyle w:val="Strong"/>
          <w:b w:val="0"/>
        </w:rPr>
      </w:pPr>
    </w:p>
    <w:p w14:paraId="58F1F052" w14:textId="409AF1EC" w:rsidR="006B071A" w:rsidRPr="005A03BE" w:rsidRDefault="00EF07A3" w:rsidP="00AA2A1F">
      <w:pPr>
        <w:rPr>
          <w:rStyle w:val="Strong"/>
          <w:b w:val="0"/>
        </w:rPr>
      </w:pPr>
      <w:r w:rsidRPr="005A03BE">
        <w:rPr>
          <w:rStyle w:val="Strong"/>
          <w:b w:val="0"/>
        </w:rPr>
        <w:t xml:space="preserve">The </w:t>
      </w:r>
      <w:r w:rsidR="009A1E8C" w:rsidRPr="005A03BE">
        <w:rPr>
          <w:rStyle w:val="Strong"/>
          <w:b w:val="0"/>
        </w:rPr>
        <w:t xml:space="preserve">good practice policies and </w:t>
      </w:r>
      <w:r w:rsidRPr="005A03BE">
        <w:rPr>
          <w:rStyle w:val="Strong"/>
          <w:b w:val="0"/>
        </w:rPr>
        <w:t>bridging scenario</w:t>
      </w:r>
      <w:r w:rsidR="009A1E8C" w:rsidRPr="005A03BE">
        <w:rPr>
          <w:rStyle w:val="Strong"/>
          <w:b w:val="0"/>
        </w:rPr>
        <w:t>s</w:t>
      </w:r>
      <w:r w:rsidRPr="005A03BE">
        <w:rPr>
          <w:rStyle w:val="Strong"/>
          <w:b w:val="0"/>
        </w:rPr>
        <w:t xml:space="preserve">, which aim to bridge the gap between the </w:t>
      </w:r>
      <w:r w:rsidR="000F56CD" w:rsidRPr="005A03BE">
        <w:rPr>
          <w:rStyle w:val="Strong"/>
          <w:b w:val="0"/>
        </w:rPr>
        <w:t xml:space="preserve">ambition levels set out by </w:t>
      </w:r>
      <w:r w:rsidR="00107792" w:rsidRPr="005A03BE">
        <w:rPr>
          <w:rStyle w:val="Strong"/>
          <w:b w:val="0"/>
        </w:rPr>
        <w:t xml:space="preserve">countries </w:t>
      </w:r>
      <w:r w:rsidRPr="005A03BE">
        <w:rPr>
          <w:rStyle w:val="Strong"/>
          <w:b w:val="0"/>
        </w:rPr>
        <w:t>and the</w:t>
      </w:r>
      <w:r w:rsidR="000F56CD" w:rsidRPr="005A03BE">
        <w:rPr>
          <w:rStyle w:val="Strong"/>
          <w:b w:val="0"/>
        </w:rPr>
        <w:t xml:space="preserve"> required ambition levels </w:t>
      </w:r>
      <w:r w:rsidR="00107792" w:rsidRPr="005A03BE">
        <w:rPr>
          <w:rStyle w:val="Strong"/>
          <w:b w:val="0"/>
        </w:rPr>
        <w:t xml:space="preserve">to meet the mitigation goals </w:t>
      </w:r>
      <w:r w:rsidR="000F56CD" w:rsidRPr="005A03BE">
        <w:rPr>
          <w:rStyle w:val="Strong"/>
          <w:b w:val="0"/>
        </w:rPr>
        <w:t>agreed to in the Paris Agreement</w:t>
      </w:r>
      <w:r w:rsidR="00CD0E94" w:rsidRPr="005A03BE">
        <w:rPr>
          <w:rStyle w:val="Strong"/>
          <w:b w:val="0"/>
        </w:rPr>
        <w:t>,</w:t>
      </w:r>
      <w:r w:rsidR="00AC0853" w:rsidRPr="005A03BE">
        <w:rPr>
          <w:rStyle w:val="Strong"/>
          <w:b w:val="0"/>
        </w:rPr>
        <w:t xml:space="preserve"> </w:t>
      </w:r>
      <w:r w:rsidR="009A1E8C" w:rsidRPr="005A03BE">
        <w:rPr>
          <w:rStyle w:val="Strong"/>
          <w:b w:val="0"/>
        </w:rPr>
        <w:t xml:space="preserve">are </w:t>
      </w:r>
      <w:r w:rsidR="00AC0853" w:rsidRPr="005A03BE">
        <w:rPr>
          <w:rStyle w:val="Strong"/>
          <w:b w:val="0"/>
        </w:rPr>
        <w:t>new</w:t>
      </w:r>
      <w:r w:rsidR="0055196E" w:rsidRPr="005A03BE">
        <w:rPr>
          <w:rStyle w:val="Strong"/>
          <w:b w:val="0"/>
        </w:rPr>
        <w:t>, and most important</w:t>
      </w:r>
      <w:r w:rsidR="007D6B3A" w:rsidRPr="005A03BE">
        <w:rPr>
          <w:rStyle w:val="Strong"/>
          <w:b w:val="0"/>
        </w:rPr>
        <w:t>.</w:t>
      </w:r>
      <w:r w:rsidR="00AC0853" w:rsidRPr="005A03BE">
        <w:rPr>
          <w:rStyle w:val="Strong"/>
          <w:b w:val="0"/>
        </w:rPr>
        <w:t xml:space="preserve"> All other scenarios are added for comparison – and could be taken from earlier modelling exercises (although we require consistent model version</w:t>
      </w:r>
      <w:r w:rsidR="00CD0E94" w:rsidRPr="005A03BE">
        <w:rPr>
          <w:rStyle w:val="Strong"/>
          <w:b w:val="0"/>
        </w:rPr>
        <w:t>s</w:t>
      </w:r>
      <w:r w:rsidR="00AC0853" w:rsidRPr="005A03BE">
        <w:rPr>
          <w:rStyle w:val="Strong"/>
          <w:b w:val="0"/>
        </w:rPr>
        <w:t>).</w:t>
      </w:r>
    </w:p>
    <w:p w14:paraId="549D5C65" w14:textId="77777777" w:rsidR="00732299" w:rsidRPr="005A03BE" w:rsidRDefault="00CB2950" w:rsidP="00732299">
      <w:pPr>
        <w:pStyle w:val="Heading1"/>
        <w:rPr>
          <w:rStyle w:val="Strong"/>
          <w:b/>
          <w:bCs w:val="0"/>
        </w:rPr>
      </w:pPr>
      <w:bookmarkStart w:id="2" w:name="_Toc38530685"/>
      <w:r w:rsidRPr="005A03BE">
        <w:rPr>
          <w:rStyle w:val="Strong"/>
          <w:b/>
          <w:bCs w:val="0"/>
        </w:rPr>
        <w:t>Workflow and s</w:t>
      </w:r>
      <w:r w:rsidR="00732299" w:rsidRPr="005A03BE">
        <w:rPr>
          <w:rStyle w:val="Strong"/>
          <w:b/>
          <w:bCs w:val="0"/>
        </w:rPr>
        <w:t xml:space="preserve">ubmission </w:t>
      </w:r>
      <w:r w:rsidR="00675B4E" w:rsidRPr="005A03BE">
        <w:rPr>
          <w:rStyle w:val="Strong"/>
          <w:b/>
          <w:bCs w:val="0"/>
        </w:rPr>
        <w:t>deadlines</w:t>
      </w:r>
      <w:bookmarkEnd w:id="2"/>
    </w:p>
    <w:p w14:paraId="5D00BA68" w14:textId="1BDE26F2" w:rsidR="00AC0853" w:rsidRPr="005A03BE" w:rsidRDefault="00107792" w:rsidP="00732299">
      <w:r w:rsidRPr="005A03BE">
        <w:t>Protocol development and scenario s</w:t>
      </w:r>
      <w:r w:rsidR="00E160A6" w:rsidRPr="005A03BE">
        <w:t xml:space="preserve">ubmission will take place in two rounds. </w:t>
      </w:r>
    </w:p>
    <w:p w14:paraId="02D3F70F" w14:textId="526734CA" w:rsidR="00AC0853" w:rsidRPr="005A03BE" w:rsidRDefault="00E160A6" w:rsidP="00732299">
      <w:r w:rsidRPr="005A03BE">
        <w:t xml:space="preserve">In </w:t>
      </w:r>
      <w:r w:rsidR="001E700B" w:rsidRPr="005A03BE">
        <w:rPr>
          <w:b/>
        </w:rPr>
        <w:t>R</w:t>
      </w:r>
      <w:r w:rsidRPr="005A03BE">
        <w:rPr>
          <w:b/>
        </w:rPr>
        <w:t xml:space="preserve">ound </w:t>
      </w:r>
      <w:r w:rsidR="00193A2A" w:rsidRPr="005A03BE">
        <w:rPr>
          <w:b/>
        </w:rPr>
        <w:t>1</w:t>
      </w:r>
      <w:r w:rsidR="00193A2A" w:rsidRPr="005A03BE">
        <w:t xml:space="preserve">, the national modelling teams </w:t>
      </w:r>
      <w:r w:rsidR="009D6DB7" w:rsidRPr="005A03BE">
        <w:t xml:space="preserve">got </w:t>
      </w:r>
      <w:r w:rsidR="00193A2A" w:rsidRPr="005A03BE">
        <w:t>an opportunity to respond to the proposed policies as mentioned in the draft bridging scenario protocol (</w:t>
      </w:r>
      <w:r w:rsidR="000B0208" w:rsidRPr="005A03BE">
        <w:t>attached spreadsheet</w:t>
      </w:r>
      <w:r w:rsidR="00193A2A" w:rsidRPr="005A03BE">
        <w:t>). PBL/PIK</w:t>
      </w:r>
      <w:r w:rsidR="00375A79" w:rsidRPr="005A03BE">
        <w:t>/COPPE</w:t>
      </w:r>
      <w:r w:rsidR="00193A2A" w:rsidRPr="005A03BE">
        <w:t xml:space="preserve"> </w:t>
      </w:r>
      <w:r w:rsidR="009F13A5" w:rsidRPr="005A03BE">
        <w:t xml:space="preserve">gathered </w:t>
      </w:r>
      <w:r w:rsidR="00193A2A" w:rsidRPr="005A03BE">
        <w:t>all comments and use</w:t>
      </w:r>
      <w:r w:rsidR="009F13A5" w:rsidRPr="005A03BE">
        <w:t>d</w:t>
      </w:r>
      <w:r w:rsidR="00193A2A" w:rsidRPr="005A03BE">
        <w:t xml:space="preserve"> them to construct the final bridging scenario protocol. </w:t>
      </w:r>
    </w:p>
    <w:p w14:paraId="511E51AC" w14:textId="133FCA59" w:rsidR="00AC0853" w:rsidRPr="005A03BE" w:rsidRDefault="00193A2A" w:rsidP="00732299">
      <w:r w:rsidRPr="005A03BE">
        <w:t xml:space="preserve">In </w:t>
      </w:r>
      <w:r w:rsidR="001E700B" w:rsidRPr="005A03BE">
        <w:rPr>
          <w:b/>
        </w:rPr>
        <w:t>R</w:t>
      </w:r>
      <w:r w:rsidRPr="005A03BE">
        <w:rPr>
          <w:b/>
        </w:rPr>
        <w:t>ound 2</w:t>
      </w:r>
      <w:r w:rsidRPr="005A03BE">
        <w:t xml:space="preserve">, the final bridging scenario protocol will be distributed to both the national </w:t>
      </w:r>
      <w:r w:rsidR="001C61F6" w:rsidRPr="005A03BE">
        <w:t xml:space="preserve">and global modelling teams. This will ensure that a common protocol is followed. </w:t>
      </w:r>
    </w:p>
    <w:p w14:paraId="375085BF" w14:textId="1142631F" w:rsidR="00AC0853" w:rsidRPr="005A03BE" w:rsidRDefault="008A0EAB" w:rsidP="008A0EAB">
      <w:r w:rsidRPr="005A03BE">
        <w:t xml:space="preserve">Please use </w:t>
      </w:r>
      <w:hyperlink r:id="rId11" w:history="1">
        <w:r w:rsidRPr="005A03BE">
          <w:rPr>
            <w:rStyle w:val="Hyperlink"/>
          </w:rPr>
          <w:t>this</w:t>
        </w:r>
      </w:hyperlink>
      <w:r w:rsidRPr="005A03BE">
        <w:t xml:space="preserve"> </w:t>
      </w:r>
      <w:r w:rsidR="0078160D" w:rsidRPr="005A03BE">
        <w:t xml:space="preserve">reporting </w:t>
      </w:r>
      <w:r w:rsidRPr="005A03BE">
        <w:t>template.</w:t>
      </w:r>
    </w:p>
    <w:p w14:paraId="333D4C8E" w14:textId="77777777" w:rsidR="00732299" w:rsidRPr="005A03BE" w:rsidRDefault="00732299" w:rsidP="00675B4E">
      <w:pPr>
        <w:pStyle w:val="Heading1"/>
      </w:pPr>
      <w:bookmarkStart w:id="3" w:name="_Toc38530686"/>
      <w:r w:rsidRPr="005A03BE">
        <w:t xml:space="preserve">Brief description of </w:t>
      </w:r>
      <w:r w:rsidR="00675B4E" w:rsidRPr="005A03BE">
        <w:t xml:space="preserve">the </w:t>
      </w:r>
      <w:r w:rsidRPr="005A03BE">
        <w:t>scenarios</w:t>
      </w:r>
      <w:bookmarkEnd w:id="3"/>
    </w:p>
    <w:p w14:paraId="51AEA872" w14:textId="6AE23872" w:rsidR="00732299" w:rsidRPr="005A03BE" w:rsidRDefault="00381468" w:rsidP="00732299">
      <w:r w:rsidRPr="005A03BE">
        <w:t xml:space="preserve">In line with the global stocktake, the ratcheting up mechanism has been applied in constructing the scenario protocol. This means that </w:t>
      </w:r>
      <w:r w:rsidR="008260A8" w:rsidRPr="005A03BE">
        <w:t xml:space="preserve">the scenarios build upon one another </w:t>
      </w:r>
      <w:r w:rsidRPr="005A03BE">
        <w:t>in terms of ambition and modelling assumptions. Th</w:t>
      </w:r>
      <w:r w:rsidR="008260A8" w:rsidRPr="005A03BE">
        <w:t xml:space="preserve">e Baseline scenario </w:t>
      </w:r>
      <w:r w:rsidRPr="005A03BE">
        <w:t xml:space="preserve">is the </w:t>
      </w:r>
      <w:r w:rsidR="008260A8" w:rsidRPr="005A03BE">
        <w:t xml:space="preserve">least ambitious and the </w:t>
      </w:r>
      <w:r w:rsidRPr="005A03BE">
        <w:t xml:space="preserve">2 </w:t>
      </w:r>
      <w:r w:rsidRPr="005A03BE">
        <w:rPr>
          <w:rFonts w:cstheme="minorHAnsi"/>
        </w:rPr>
        <w:t>˚</w:t>
      </w:r>
      <w:r w:rsidRPr="005A03BE">
        <w:t>C</w:t>
      </w:r>
      <w:r w:rsidR="005866DD" w:rsidRPr="005A03BE">
        <w:t xml:space="preserve"> scenario</w:t>
      </w:r>
      <w:r w:rsidRPr="005A03BE">
        <w:t xml:space="preserve"> is the most ambitious.</w:t>
      </w:r>
    </w:p>
    <w:p w14:paraId="1E82EDA2" w14:textId="77777777" w:rsidR="005866DD" w:rsidRPr="005A03BE" w:rsidRDefault="005866DD">
      <w:pPr>
        <w:rPr>
          <w:i/>
          <w:iCs/>
          <w:color w:val="162F33" w:themeColor="text2"/>
          <w:sz w:val="18"/>
          <w:szCs w:val="18"/>
        </w:rPr>
      </w:pPr>
      <w:bookmarkStart w:id="4" w:name="_Ref11332945"/>
      <w:r w:rsidRPr="005A03BE">
        <w:br w:type="page"/>
      </w:r>
    </w:p>
    <w:p w14:paraId="3480F47B" w14:textId="5B2F9C8A" w:rsidR="00466B44" w:rsidRPr="005A03BE" w:rsidRDefault="00466B44" w:rsidP="00466B44">
      <w:pPr>
        <w:pStyle w:val="Caption"/>
        <w:keepNext/>
      </w:pPr>
      <w:r w:rsidRPr="005A03BE">
        <w:lastRenderedPageBreak/>
        <w:t xml:space="preserve">Table </w:t>
      </w:r>
      <w:r w:rsidRPr="005A03BE">
        <w:fldChar w:fldCharType="begin"/>
      </w:r>
      <w:r w:rsidRPr="005A03BE">
        <w:instrText xml:space="preserve"> SEQ Table \* ARABIC </w:instrText>
      </w:r>
      <w:r w:rsidRPr="005A03BE">
        <w:fldChar w:fldCharType="separate"/>
      </w:r>
      <w:r w:rsidR="00D1693B" w:rsidRPr="005A03BE">
        <w:rPr>
          <w:noProof/>
        </w:rPr>
        <w:t>1</w:t>
      </w:r>
      <w:r w:rsidRPr="005A03BE">
        <w:fldChar w:fldCharType="end"/>
      </w:r>
      <w:bookmarkEnd w:id="4"/>
      <w:r w:rsidRPr="005A03BE">
        <w:t>. Scenario descriptions</w:t>
      </w:r>
    </w:p>
    <w:tbl>
      <w:tblPr>
        <w:tblStyle w:val="GridTable4-Accent1"/>
        <w:tblW w:w="0" w:type="auto"/>
        <w:tblLayout w:type="fixed"/>
        <w:tblLook w:val="04A0" w:firstRow="1" w:lastRow="0" w:firstColumn="1" w:lastColumn="0" w:noHBand="0" w:noVBand="1"/>
      </w:tblPr>
      <w:tblGrid>
        <w:gridCol w:w="917"/>
        <w:gridCol w:w="1772"/>
        <w:gridCol w:w="992"/>
        <w:gridCol w:w="1417"/>
        <w:gridCol w:w="2209"/>
        <w:gridCol w:w="2089"/>
      </w:tblGrid>
      <w:tr w:rsidR="006B1DD2" w:rsidRPr="005A03BE" w14:paraId="013F419B" w14:textId="77777777" w:rsidTr="007273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 w:type="dxa"/>
          </w:tcPr>
          <w:p w14:paraId="665FE401" w14:textId="709154F9" w:rsidR="00433074" w:rsidRPr="005A03BE" w:rsidRDefault="00433074" w:rsidP="00433074">
            <w:bookmarkStart w:id="5" w:name="_Hlk13469189"/>
            <w:r w:rsidRPr="005A03BE">
              <w:t>Scenario name</w:t>
            </w:r>
          </w:p>
        </w:tc>
        <w:tc>
          <w:tcPr>
            <w:tcW w:w="1772" w:type="dxa"/>
          </w:tcPr>
          <w:p w14:paraId="07BADBD9" w14:textId="1275C454" w:rsidR="00433074" w:rsidRPr="005A03BE" w:rsidRDefault="00433074" w:rsidP="00433074">
            <w:pPr>
              <w:cnfStyle w:val="100000000000" w:firstRow="1" w:lastRow="0" w:firstColumn="0" w:lastColumn="0" w:oddVBand="0" w:evenVBand="0" w:oddHBand="0" w:evenHBand="0" w:firstRowFirstColumn="0" w:firstRowLastColumn="0" w:lastRowFirstColumn="0" w:lastRowLastColumn="0"/>
            </w:pPr>
            <w:r w:rsidRPr="005A03BE">
              <w:t>Scenario id</w:t>
            </w:r>
          </w:p>
        </w:tc>
        <w:tc>
          <w:tcPr>
            <w:tcW w:w="992" w:type="dxa"/>
          </w:tcPr>
          <w:p w14:paraId="2690D360" w14:textId="4AF98556" w:rsidR="00433074" w:rsidRPr="005A03BE" w:rsidRDefault="00433074" w:rsidP="00433074">
            <w:pPr>
              <w:cnfStyle w:val="100000000000" w:firstRow="1" w:lastRow="0" w:firstColumn="0" w:lastColumn="0" w:oddVBand="0" w:evenVBand="0" w:oddHBand="0" w:evenHBand="0" w:firstRowFirstColumn="0" w:firstRowLastColumn="0" w:lastRowFirstColumn="0" w:lastRowLastColumn="0"/>
            </w:pPr>
            <w:r w:rsidRPr="005A03BE">
              <w:t>Builds upon</w:t>
            </w:r>
          </w:p>
        </w:tc>
        <w:tc>
          <w:tcPr>
            <w:tcW w:w="1417" w:type="dxa"/>
          </w:tcPr>
          <w:p w14:paraId="1D09BE8D" w14:textId="617CFE45" w:rsidR="00433074" w:rsidRPr="005A03BE" w:rsidRDefault="00433074" w:rsidP="00433074">
            <w:pPr>
              <w:cnfStyle w:val="100000000000" w:firstRow="1" w:lastRow="0" w:firstColumn="0" w:lastColumn="0" w:oddVBand="0" w:evenVBand="0" w:oddHBand="0" w:evenHBand="0" w:firstRowFirstColumn="0" w:firstRowLastColumn="0" w:lastRowFirstColumn="0" w:lastRowLastColumn="0"/>
            </w:pPr>
            <w:r w:rsidRPr="005A03BE">
              <w:t>Novelty</w:t>
            </w:r>
          </w:p>
        </w:tc>
        <w:tc>
          <w:tcPr>
            <w:tcW w:w="2209" w:type="dxa"/>
          </w:tcPr>
          <w:p w14:paraId="19DFF54D" w14:textId="13338897" w:rsidR="00433074" w:rsidRPr="005A03BE" w:rsidRDefault="00433074" w:rsidP="00433074">
            <w:pPr>
              <w:cnfStyle w:val="100000000000" w:firstRow="1" w:lastRow="0" w:firstColumn="0" w:lastColumn="0" w:oddVBand="0" w:evenVBand="0" w:oddHBand="0" w:evenHBand="0" w:firstRowFirstColumn="0" w:firstRowLastColumn="0" w:lastRowFirstColumn="0" w:lastRowLastColumn="0"/>
            </w:pPr>
            <w:r w:rsidRPr="005A03BE">
              <w:t>National model implementation</w:t>
            </w:r>
          </w:p>
        </w:tc>
        <w:tc>
          <w:tcPr>
            <w:tcW w:w="2089" w:type="dxa"/>
          </w:tcPr>
          <w:p w14:paraId="3FD248CA" w14:textId="3B0BD56F" w:rsidR="00433074" w:rsidRPr="005A03BE" w:rsidRDefault="00433074" w:rsidP="00433074">
            <w:pPr>
              <w:cnfStyle w:val="100000000000" w:firstRow="1" w:lastRow="0" w:firstColumn="0" w:lastColumn="0" w:oddVBand="0" w:evenVBand="0" w:oddHBand="0" w:evenHBand="0" w:firstRowFirstColumn="0" w:firstRowLastColumn="0" w:lastRowFirstColumn="0" w:lastRowLastColumn="0"/>
            </w:pPr>
            <w:r w:rsidRPr="005A03BE">
              <w:t>Global model implementation</w:t>
            </w:r>
          </w:p>
        </w:tc>
      </w:tr>
      <w:tr w:rsidR="006B1DD2" w:rsidRPr="005A03BE" w14:paraId="3B11D1F4" w14:textId="77777777" w:rsidTr="007273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 w:type="dxa"/>
          </w:tcPr>
          <w:p w14:paraId="72C49113" w14:textId="5007CF3A" w:rsidR="00433074" w:rsidRPr="005A03BE" w:rsidRDefault="00433074" w:rsidP="00433074">
            <w:r w:rsidRPr="005A03BE">
              <w:t>Baseline</w:t>
            </w:r>
          </w:p>
        </w:tc>
        <w:tc>
          <w:tcPr>
            <w:tcW w:w="1772" w:type="dxa"/>
          </w:tcPr>
          <w:p w14:paraId="79FE87D3" w14:textId="56A5BDFC" w:rsidR="00433074" w:rsidRPr="005A03BE" w:rsidRDefault="00433074" w:rsidP="00433074">
            <w:pPr>
              <w:cnfStyle w:val="000000100000" w:firstRow="0" w:lastRow="0" w:firstColumn="0" w:lastColumn="0" w:oddVBand="0" w:evenVBand="0" w:oddHBand="1" w:evenHBand="0" w:firstRowFirstColumn="0" w:firstRowLastColumn="0" w:lastRowFirstColumn="0" w:lastRowLastColumn="0"/>
            </w:pPr>
            <w:r w:rsidRPr="005A03BE">
              <w:t>BAU</w:t>
            </w:r>
          </w:p>
        </w:tc>
        <w:tc>
          <w:tcPr>
            <w:tcW w:w="992" w:type="dxa"/>
          </w:tcPr>
          <w:p w14:paraId="34ADB40C" w14:textId="2F764530" w:rsidR="00433074" w:rsidRPr="005A03BE" w:rsidRDefault="00433074" w:rsidP="00433074">
            <w:pPr>
              <w:cnfStyle w:val="000000100000" w:firstRow="0" w:lastRow="0" w:firstColumn="0" w:lastColumn="0" w:oddVBand="0" w:evenVBand="0" w:oddHBand="1" w:evenHBand="0" w:firstRowFirstColumn="0" w:firstRowLastColumn="0" w:lastRowFirstColumn="0" w:lastRowLastColumn="0"/>
            </w:pPr>
            <w:r w:rsidRPr="005A03BE">
              <w:t>None</w:t>
            </w:r>
          </w:p>
        </w:tc>
        <w:tc>
          <w:tcPr>
            <w:tcW w:w="1417" w:type="dxa"/>
          </w:tcPr>
          <w:p w14:paraId="06E0F6B9" w14:textId="674917B4" w:rsidR="00433074" w:rsidRPr="005A03BE" w:rsidRDefault="00433074" w:rsidP="00433074">
            <w:pPr>
              <w:cnfStyle w:val="000000100000" w:firstRow="0" w:lastRow="0" w:firstColumn="0" w:lastColumn="0" w:oddVBand="0" w:evenVBand="0" w:oddHBand="1" w:evenHBand="0" w:firstRowFirstColumn="0" w:firstRowLastColumn="0" w:lastRowFirstColumn="0" w:lastRowLastColumn="0"/>
            </w:pPr>
            <w:r w:rsidRPr="005A03BE">
              <w:t>None</w:t>
            </w:r>
          </w:p>
        </w:tc>
        <w:tc>
          <w:tcPr>
            <w:tcW w:w="2209" w:type="dxa"/>
          </w:tcPr>
          <w:p w14:paraId="7F65B9D2" w14:textId="13811958" w:rsidR="00433074" w:rsidRPr="005A03BE" w:rsidRDefault="00433074" w:rsidP="00433074">
            <w:pPr>
              <w:cnfStyle w:val="000000100000" w:firstRow="0" w:lastRow="0" w:firstColumn="0" w:lastColumn="0" w:oddVBand="0" w:evenVBand="0" w:oddHBand="1" w:evenHBand="0" w:firstRowFirstColumn="0" w:firstRowLastColumn="0" w:lastRowFirstColumn="0" w:lastRowLastColumn="0"/>
            </w:pPr>
            <w:r w:rsidRPr="005A03BE">
              <w:t xml:space="preserve">Most likely socio-economic assumptions with no </w:t>
            </w:r>
            <w:r w:rsidR="005866DD" w:rsidRPr="005A03BE">
              <w:t xml:space="preserve">new </w:t>
            </w:r>
            <w:r w:rsidRPr="005A03BE">
              <w:t>climate policies</w:t>
            </w:r>
            <w:r w:rsidR="00FE2747" w:rsidRPr="005A03BE">
              <w:t xml:space="preserve"> after 2010</w:t>
            </w:r>
          </w:p>
        </w:tc>
        <w:tc>
          <w:tcPr>
            <w:tcW w:w="2089" w:type="dxa"/>
          </w:tcPr>
          <w:p w14:paraId="7C96AA57" w14:textId="746CC3BC" w:rsidR="00433074" w:rsidRPr="005A03BE" w:rsidRDefault="00433074" w:rsidP="00433074">
            <w:pPr>
              <w:cnfStyle w:val="000000100000" w:firstRow="0" w:lastRow="0" w:firstColumn="0" w:lastColumn="0" w:oddVBand="0" w:evenVBand="0" w:oddHBand="1" w:evenHBand="0" w:firstRowFirstColumn="0" w:firstRowLastColumn="0" w:lastRowFirstColumn="0" w:lastRowLastColumn="0"/>
            </w:pPr>
            <w:r w:rsidRPr="005A03BE">
              <w:t xml:space="preserve">SSP2 scenario with no </w:t>
            </w:r>
            <w:r w:rsidR="00FE2747" w:rsidRPr="005A03BE">
              <w:t xml:space="preserve">new </w:t>
            </w:r>
            <w:r w:rsidRPr="005A03BE">
              <w:t>climate policies</w:t>
            </w:r>
            <w:r w:rsidR="00FE2747" w:rsidRPr="005A03BE">
              <w:t xml:space="preserve"> after 2010</w:t>
            </w:r>
          </w:p>
        </w:tc>
      </w:tr>
      <w:tr w:rsidR="00E2126D" w:rsidRPr="005A03BE" w14:paraId="44E7CA2E" w14:textId="77777777" w:rsidTr="0072735A">
        <w:tc>
          <w:tcPr>
            <w:cnfStyle w:val="001000000000" w:firstRow="0" w:lastRow="0" w:firstColumn="1" w:lastColumn="0" w:oddVBand="0" w:evenVBand="0" w:oddHBand="0" w:evenHBand="0" w:firstRowFirstColumn="0" w:firstRowLastColumn="0" w:lastRowFirstColumn="0" w:lastRowLastColumn="0"/>
            <w:tcW w:w="917" w:type="dxa"/>
          </w:tcPr>
          <w:p w14:paraId="35B04B58" w14:textId="5208249E" w:rsidR="00433074" w:rsidRPr="005A03BE" w:rsidRDefault="00433074" w:rsidP="00433074">
            <w:r w:rsidRPr="005A03BE">
              <w:t>Current policy</w:t>
            </w:r>
          </w:p>
        </w:tc>
        <w:tc>
          <w:tcPr>
            <w:tcW w:w="1772" w:type="dxa"/>
          </w:tcPr>
          <w:p w14:paraId="4747304E" w14:textId="1D71A428" w:rsidR="00433074" w:rsidRPr="005A03BE" w:rsidRDefault="00433074" w:rsidP="00433074">
            <w:pPr>
              <w:cnfStyle w:val="000000000000" w:firstRow="0" w:lastRow="0" w:firstColumn="0" w:lastColumn="0" w:oddVBand="0" w:evenVBand="0" w:oddHBand="0" w:evenHBand="0" w:firstRowFirstColumn="0" w:firstRowLastColumn="0" w:lastRowFirstColumn="0" w:lastRowLastColumn="0"/>
            </w:pPr>
            <w:proofErr w:type="spellStart"/>
            <w:r w:rsidRPr="005A03BE">
              <w:t>CurPol</w:t>
            </w:r>
            <w:proofErr w:type="spellEnd"/>
          </w:p>
        </w:tc>
        <w:tc>
          <w:tcPr>
            <w:tcW w:w="992" w:type="dxa"/>
          </w:tcPr>
          <w:p w14:paraId="1115092A" w14:textId="2BB35572" w:rsidR="00433074" w:rsidRPr="005A03BE" w:rsidRDefault="00433074" w:rsidP="00433074">
            <w:pPr>
              <w:cnfStyle w:val="000000000000" w:firstRow="0" w:lastRow="0" w:firstColumn="0" w:lastColumn="0" w:oddVBand="0" w:evenVBand="0" w:oddHBand="0" w:evenHBand="0" w:firstRowFirstColumn="0" w:firstRowLastColumn="0" w:lastRowFirstColumn="0" w:lastRowLastColumn="0"/>
            </w:pPr>
            <w:r w:rsidRPr="005A03BE">
              <w:t>BAU</w:t>
            </w:r>
          </w:p>
        </w:tc>
        <w:tc>
          <w:tcPr>
            <w:tcW w:w="1417" w:type="dxa"/>
          </w:tcPr>
          <w:p w14:paraId="6F0D4827" w14:textId="04D96B53" w:rsidR="00433074" w:rsidRPr="005A03BE" w:rsidRDefault="00AC0853" w:rsidP="00433074">
            <w:pPr>
              <w:cnfStyle w:val="000000000000" w:firstRow="0" w:lastRow="0" w:firstColumn="0" w:lastColumn="0" w:oddVBand="0" w:evenVBand="0" w:oddHBand="0" w:evenHBand="0" w:firstRowFirstColumn="0" w:firstRowLastColumn="0" w:lastRowFirstColumn="0" w:lastRowLastColumn="0"/>
            </w:pPr>
            <w:r w:rsidRPr="005A03BE">
              <w:t>Possible update (new information available; old runs can be used)</w:t>
            </w:r>
          </w:p>
        </w:tc>
        <w:tc>
          <w:tcPr>
            <w:tcW w:w="2209" w:type="dxa"/>
          </w:tcPr>
          <w:p w14:paraId="6B95ED56" w14:textId="72DDC54C" w:rsidR="00433074" w:rsidRPr="005A03BE" w:rsidRDefault="00433074" w:rsidP="00433074">
            <w:pPr>
              <w:cnfStyle w:val="000000000000" w:firstRow="0" w:lastRow="0" w:firstColumn="0" w:lastColumn="0" w:oddVBand="0" w:evenVBand="0" w:oddHBand="0" w:evenHBand="0" w:firstRowFirstColumn="0" w:firstRowLastColumn="0" w:lastRowFirstColumn="0" w:lastRowLastColumn="0"/>
            </w:pPr>
            <w:r w:rsidRPr="005A03BE">
              <w:t>As BAU scenario</w:t>
            </w:r>
            <w:r w:rsidR="00FE2747" w:rsidRPr="005A03BE">
              <w:t>, but</w:t>
            </w:r>
            <w:r w:rsidRPr="005A03BE">
              <w:t xml:space="preserve"> including implementation of current policies</w:t>
            </w:r>
            <w:r w:rsidR="00FE2747" w:rsidRPr="005A03BE">
              <w:t xml:space="preserve"> </w:t>
            </w:r>
            <w:r w:rsidR="00726CD9" w:rsidRPr="005A03BE">
              <w:t>(cut-off date 1 July 2019)</w:t>
            </w:r>
          </w:p>
        </w:tc>
        <w:tc>
          <w:tcPr>
            <w:tcW w:w="2089" w:type="dxa"/>
          </w:tcPr>
          <w:p w14:paraId="71BEEF1B" w14:textId="412E9A41" w:rsidR="00433074" w:rsidRPr="005A03BE" w:rsidRDefault="00433074" w:rsidP="00433074">
            <w:pPr>
              <w:cnfStyle w:val="000000000000" w:firstRow="0" w:lastRow="0" w:firstColumn="0" w:lastColumn="0" w:oddVBand="0" w:evenVBand="0" w:oddHBand="0" w:evenHBand="0" w:firstRowFirstColumn="0" w:firstRowLastColumn="0" w:lastRowFirstColumn="0" w:lastRowLastColumn="0"/>
            </w:pPr>
            <w:r w:rsidRPr="005A03BE">
              <w:t>As BAU scenario</w:t>
            </w:r>
            <w:r w:rsidR="00726CD9" w:rsidRPr="005A03BE">
              <w:t>, but</w:t>
            </w:r>
            <w:r w:rsidRPr="005A03BE">
              <w:t xml:space="preserve"> including climate policies based on CD-LINKS/NewClimate/PBL policy database</w:t>
            </w:r>
            <w:r w:rsidR="00726CD9" w:rsidRPr="005A03BE">
              <w:t xml:space="preserve"> (cut-off date 1 July 2019)</w:t>
            </w:r>
          </w:p>
        </w:tc>
      </w:tr>
      <w:tr w:rsidR="006B1DD2" w:rsidRPr="005A03BE" w14:paraId="03565D30" w14:textId="77777777" w:rsidTr="007273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 w:type="dxa"/>
          </w:tcPr>
          <w:p w14:paraId="0B442BCB" w14:textId="10789D05" w:rsidR="00433074" w:rsidRPr="005A03BE" w:rsidRDefault="00433074" w:rsidP="00433074">
            <w:r w:rsidRPr="005A03BE">
              <w:t>NDC</w:t>
            </w:r>
            <w:r w:rsidR="006B1DD2" w:rsidRPr="005A03BE">
              <w:t>-plus</w:t>
            </w:r>
          </w:p>
        </w:tc>
        <w:tc>
          <w:tcPr>
            <w:tcW w:w="1772" w:type="dxa"/>
          </w:tcPr>
          <w:p w14:paraId="258460EB" w14:textId="054E6CD8" w:rsidR="006B1DD2" w:rsidRPr="005A03BE" w:rsidRDefault="006B1DD2" w:rsidP="00433074">
            <w:pPr>
              <w:cnfStyle w:val="000000100000" w:firstRow="0" w:lastRow="0" w:firstColumn="0" w:lastColumn="0" w:oddVBand="0" w:evenVBand="0" w:oddHBand="1" w:evenHBand="0" w:firstRowFirstColumn="0" w:firstRowLastColumn="0" w:lastRowFirstColumn="0" w:lastRowLastColumn="0"/>
            </w:pPr>
            <w:proofErr w:type="spellStart"/>
            <w:r w:rsidRPr="005A03BE">
              <w:t>NDCplus</w:t>
            </w:r>
            <w:proofErr w:type="spellEnd"/>
          </w:p>
          <w:p w14:paraId="2CB25A02" w14:textId="5133D9C4" w:rsidR="006B1DD2" w:rsidRPr="005A03BE" w:rsidRDefault="006B1DD2" w:rsidP="00433074">
            <w:pPr>
              <w:cnfStyle w:val="000000100000" w:firstRow="0" w:lastRow="0" w:firstColumn="0" w:lastColumn="0" w:oddVBand="0" w:evenVBand="0" w:oddHBand="1" w:evenHBand="0" w:firstRowFirstColumn="0" w:firstRowLastColumn="0" w:lastRowFirstColumn="0" w:lastRowLastColumn="0"/>
            </w:pPr>
          </w:p>
          <w:p w14:paraId="222963DC" w14:textId="2CA5EF81" w:rsidR="0072735A" w:rsidRPr="005A03BE" w:rsidRDefault="006B1DD2" w:rsidP="00433074">
            <w:pPr>
              <w:cnfStyle w:val="000000100000" w:firstRow="0" w:lastRow="0" w:firstColumn="0" w:lastColumn="0" w:oddVBand="0" w:evenVBand="0" w:oddHBand="1" w:evenHBand="0" w:firstRowFirstColumn="0" w:firstRowLastColumn="0" w:lastRowFirstColumn="0" w:lastRowLastColumn="0"/>
              <w:rPr>
                <w:i/>
              </w:rPr>
            </w:pPr>
            <w:r w:rsidRPr="005A03BE">
              <w:rPr>
                <w:i/>
              </w:rPr>
              <w:t>Optional variants:</w:t>
            </w:r>
          </w:p>
          <w:p w14:paraId="4239AB38" w14:textId="7CB4F2E9" w:rsidR="006B1DD2" w:rsidRPr="005A03BE" w:rsidRDefault="006B1DD2" w:rsidP="00433074">
            <w:pPr>
              <w:cnfStyle w:val="000000100000" w:firstRow="0" w:lastRow="0" w:firstColumn="0" w:lastColumn="0" w:oddVBand="0" w:evenVBand="0" w:oddHBand="1" w:evenHBand="0" w:firstRowFirstColumn="0" w:firstRowLastColumn="0" w:lastRowFirstColumn="0" w:lastRowLastColumn="0"/>
              <w:rPr>
                <w:i/>
              </w:rPr>
            </w:pPr>
            <w:r w:rsidRPr="005A03BE">
              <w:rPr>
                <w:i/>
              </w:rPr>
              <w:t>NDC_2050convergence (global models)</w:t>
            </w:r>
          </w:p>
          <w:p w14:paraId="1B9973E4" w14:textId="77777777" w:rsidR="0072735A" w:rsidRPr="005A03BE" w:rsidRDefault="0072735A" w:rsidP="00433074">
            <w:pPr>
              <w:cnfStyle w:val="000000100000" w:firstRow="0" w:lastRow="0" w:firstColumn="0" w:lastColumn="0" w:oddVBand="0" w:evenVBand="0" w:oddHBand="1" w:evenHBand="0" w:firstRowFirstColumn="0" w:firstRowLastColumn="0" w:lastRowFirstColumn="0" w:lastRowLastColumn="0"/>
              <w:rPr>
                <w:i/>
              </w:rPr>
            </w:pPr>
          </w:p>
          <w:p w14:paraId="5150BF7F" w14:textId="74E1F5A3" w:rsidR="00433074" w:rsidRPr="005A03BE" w:rsidRDefault="00433074" w:rsidP="00433074">
            <w:pPr>
              <w:cnfStyle w:val="000000100000" w:firstRow="0" w:lastRow="0" w:firstColumn="0" w:lastColumn="0" w:oddVBand="0" w:evenVBand="0" w:oddHBand="1" w:evenHBand="0" w:firstRowFirstColumn="0" w:firstRowLastColumn="0" w:lastRowFirstColumn="0" w:lastRowLastColumn="0"/>
            </w:pPr>
            <w:r w:rsidRPr="005A03BE">
              <w:rPr>
                <w:i/>
              </w:rPr>
              <w:t>NDCMCS</w:t>
            </w:r>
            <w:r w:rsidR="006B1DD2" w:rsidRPr="005A03BE">
              <w:rPr>
                <w:i/>
              </w:rPr>
              <w:t xml:space="preserve"> (national models)</w:t>
            </w:r>
          </w:p>
        </w:tc>
        <w:tc>
          <w:tcPr>
            <w:tcW w:w="992" w:type="dxa"/>
          </w:tcPr>
          <w:p w14:paraId="21CF402F" w14:textId="1E65968F" w:rsidR="00433074" w:rsidRPr="005A03BE" w:rsidRDefault="00433074" w:rsidP="00433074">
            <w:pPr>
              <w:cnfStyle w:val="000000100000" w:firstRow="0" w:lastRow="0" w:firstColumn="0" w:lastColumn="0" w:oddVBand="0" w:evenVBand="0" w:oddHBand="1" w:evenHBand="0" w:firstRowFirstColumn="0" w:firstRowLastColumn="0" w:lastRowFirstColumn="0" w:lastRowLastColumn="0"/>
            </w:pPr>
            <w:proofErr w:type="spellStart"/>
            <w:r w:rsidRPr="005A03BE">
              <w:t>CurPol</w:t>
            </w:r>
            <w:proofErr w:type="spellEnd"/>
          </w:p>
        </w:tc>
        <w:tc>
          <w:tcPr>
            <w:tcW w:w="1417" w:type="dxa"/>
          </w:tcPr>
          <w:p w14:paraId="26DE04C5" w14:textId="3A4DAC2A" w:rsidR="00433074" w:rsidRPr="005A03BE" w:rsidRDefault="00433074" w:rsidP="00433074">
            <w:pPr>
              <w:cnfStyle w:val="000000100000" w:firstRow="0" w:lastRow="0" w:firstColumn="0" w:lastColumn="0" w:oddVBand="0" w:evenVBand="0" w:oddHBand="1" w:evenHBand="0" w:firstRowFirstColumn="0" w:firstRowLastColumn="0" w:lastRowFirstColumn="0" w:lastRowLastColumn="0"/>
            </w:pPr>
            <w:r w:rsidRPr="005A03BE">
              <w:t>Update</w:t>
            </w:r>
          </w:p>
        </w:tc>
        <w:tc>
          <w:tcPr>
            <w:tcW w:w="2209" w:type="dxa"/>
          </w:tcPr>
          <w:p w14:paraId="2E69CE29" w14:textId="184C80F8" w:rsidR="00433074" w:rsidRPr="005A03BE" w:rsidRDefault="00433074" w:rsidP="00433074">
            <w:pPr>
              <w:cnfStyle w:val="000000100000" w:firstRow="0" w:lastRow="0" w:firstColumn="0" w:lastColumn="0" w:oddVBand="0" w:evenVBand="0" w:oddHBand="1" w:evenHBand="0" w:firstRowFirstColumn="0" w:firstRowLastColumn="0" w:lastRowFirstColumn="0" w:lastRowLastColumn="0"/>
            </w:pPr>
            <w:r w:rsidRPr="005A03BE">
              <w:t xml:space="preserve">As </w:t>
            </w:r>
            <w:proofErr w:type="spellStart"/>
            <w:r w:rsidRPr="005A03BE">
              <w:t>CurPol</w:t>
            </w:r>
            <w:proofErr w:type="spellEnd"/>
            <w:r w:rsidRPr="005A03BE">
              <w:t xml:space="preserve"> scenario including implementation of NDC until 2030</w:t>
            </w:r>
            <w:r w:rsidR="00D0415F" w:rsidRPr="005A03BE">
              <w:t>, following the post-2030 extension guidelines thereafter</w:t>
            </w:r>
            <w:r w:rsidRPr="005A03BE">
              <w:t xml:space="preserve"> </w:t>
            </w:r>
          </w:p>
        </w:tc>
        <w:tc>
          <w:tcPr>
            <w:tcW w:w="2089" w:type="dxa"/>
          </w:tcPr>
          <w:p w14:paraId="2C16D782" w14:textId="73958513" w:rsidR="00433074" w:rsidRPr="005A03BE" w:rsidRDefault="00433074" w:rsidP="00433074">
            <w:pPr>
              <w:cnfStyle w:val="000000100000" w:firstRow="0" w:lastRow="0" w:firstColumn="0" w:lastColumn="0" w:oddVBand="0" w:evenVBand="0" w:oddHBand="1" w:evenHBand="0" w:firstRowFirstColumn="0" w:firstRowLastColumn="0" w:lastRowFirstColumn="0" w:lastRowLastColumn="0"/>
            </w:pPr>
            <w:r w:rsidRPr="005A03BE">
              <w:t xml:space="preserve">As </w:t>
            </w:r>
            <w:proofErr w:type="spellStart"/>
            <w:r w:rsidRPr="005A03BE">
              <w:t>CurPol</w:t>
            </w:r>
            <w:proofErr w:type="spellEnd"/>
            <w:r w:rsidRPr="005A03BE">
              <w:t xml:space="preserve"> scenario including implementation of  NDCs</w:t>
            </w:r>
            <w:r w:rsidR="0000347B" w:rsidRPr="005A03BE">
              <w:t>, following the post-2030 extension guidelines thereafter</w:t>
            </w:r>
          </w:p>
        </w:tc>
      </w:tr>
      <w:tr w:rsidR="00E2126D" w:rsidRPr="005A03BE" w14:paraId="24DD94BC" w14:textId="77777777" w:rsidTr="0072735A">
        <w:tc>
          <w:tcPr>
            <w:cnfStyle w:val="001000000000" w:firstRow="0" w:lastRow="0" w:firstColumn="1" w:lastColumn="0" w:oddVBand="0" w:evenVBand="0" w:oddHBand="0" w:evenHBand="0" w:firstRowFirstColumn="0" w:firstRowLastColumn="0" w:lastRowFirstColumn="0" w:lastRowLastColumn="0"/>
            <w:tcW w:w="917" w:type="dxa"/>
          </w:tcPr>
          <w:p w14:paraId="5B0A7824" w14:textId="3640B834" w:rsidR="00CE416A" w:rsidRPr="005A03BE" w:rsidRDefault="00CE416A" w:rsidP="00433074">
            <w:r w:rsidRPr="005A03BE">
              <w:t>Good practice policies</w:t>
            </w:r>
          </w:p>
        </w:tc>
        <w:tc>
          <w:tcPr>
            <w:tcW w:w="1772" w:type="dxa"/>
          </w:tcPr>
          <w:p w14:paraId="3BAFDC63" w14:textId="4E36BA96" w:rsidR="00CE416A" w:rsidRPr="005A03BE" w:rsidRDefault="00CE416A" w:rsidP="00433074">
            <w:pPr>
              <w:cnfStyle w:val="000000000000" w:firstRow="0" w:lastRow="0" w:firstColumn="0" w:lastColumn="0" w:oddVBand="0" w:evenVBand="0" w:oddHBand="0" w:evenHBand="0" w:firstRowFirstColumn="0" w:firstRowLastColumn="0" w:lastRowFirstColumn="0" w:lastRowLastColumn="0"/>
            </w:pPr>
            <w:r w:rsidRPr="005A03BE">
              <w:t>GPP</w:t>
            </w:r>
          </w:p>
        </w:tc>
        <w:tc>
          <w:tcPr>
            <w:tcW w:w="992" w:type="dxa"/>
          </w:tcPr>
          <w:p w14:paraId="64A69D9A" w14:textId="5BB824B6" w:rsidR="00CE416A" w:rsidRPr="005A03BE" w:rsidRDefault="00DF1847" w:rsidP="00433074">
            <w:pPr>
              <w:cnfStyle w:val="000000000000" w:firstRow="0" w:lastRow="0" w:firstColumn="0" w:lastColumn="0" w:oddVBand="0" w:evenVBand="0" w:oddHBand="0" w:evenHBand="0" w:firstRowFirstColumn="0" w:firstRowLastColumn="0" w:lastRowFirstColumn="0" w:lastRowLastColumn="0"/>
            </w:pPr>
            <w:proofErr w:type="spellStart"/>
            <w:r w:rsidRPr="005A03BE">
              <w:t>CurPol</w:t>
            </w:r>
            <w:proofErr w:type="spellEnd"/>
          </w:p>
        </w:tc>
        <w:tc>
          <w:tcPr>
            <w:tcW w:w="1417" w:type="dxa"/>
          </w:tcPr>
          <w:p w14:paraId="66F8FC67" w14:textId="3CE2AC5F" w:rsidR="00CE416A" w:rsidRPr="005A03BE" w:rsidRDefault="00CE416A" w:rsidP="00433074">
            <w:pPr>
              <w:cnfStyle w:val="000000000000" w:firstRow="0" w:lastRow="0" w:firstColumn="0" w:lastColumn="0" w:oddVBand="0" w:evenVBand="0" w:oddHBand="0" w:evenHBand="0" w:firstRowFirstColumn="0" w:firstRowLastColumn="0" w:lastRowFirstColumn="0" w:lastRowLastColumn="0"/>
            </w:pPr>
            <w:r w:rsidRPr="005A03BE">
              <w:t>New</w:t>
            </w:r>
          </w:p>
        </w:tc>
        <w:tc>
          <w:tcPr>
            <w:tcW w:w="2209" w:type="dxa"/>
          </w:tcPr>
          <w:p w14:paraId="78F7E4FD" w14:textId="66F4B46F" w:rsidR="00CE416A" w:rsidRPr="005A03BE" w:rsidRDefault="00CE416A" w:rsidP="00433074">
            <w:pPr>
              <w:cnfStyle w:val="000000000000" w:firstRow="0" w:lastRow="0" w:firstColumn="0" w:lastColumn="0" w:oddVBand="0" w:evenVBand="0" w:oddHBand="0" w:evenHBand="0" w:firstRowFirstColumn="0" w:firstRowLastColumn="0" w:lastRowFirstColumn="0" w:lastRowLastColumn="0"/>
            </w:pPr>
            <w:r w:rsidRPr="005A03BE">
              <w:t xml:space="preserve">As </w:t>
            </w:r>
            <w:proofErr w:type="spellStart"/>
            <w:r w:rsidR="00DF1847" w:rsidRPr="005A03BE">
              <w:t>CurPol</w:t>
            </w:r>
            <w:proofErr w:type="spellEnd"/>
            <w:r w:rsidR="00DF1847" w:rsidRPr="005A03BE">
              <w:t xml:space="preserve"> </w:t>
            </w:r>
            <w:r w:rsidRPr="005A03BE">
              <w:t>scenario, including implementation of commonly defined good practice policies until 2050 – taking the value either for developed or for developing countries</w:t>
            </w:r>
            <w:r w:rsidR="00DF1847" w:rsidRPr="005A03BE">
              <w:t xml:space="preserve">, and taking the more stringent of the </w:t>
            </w:r>
            <w:proofErr w:type="spellStart"/>
            <w:r w:rsidR="00DF1847" w:rsidRPr="005A03BE">
              <w:t>CurPol</w:t>
            </w:r>
            <w:proofErr w:type="spellEnd"/>
            <w:r w:rsidR="00DF1847" w:rsidRPr="005A03BE">
              <w:t xml:space="preserve"> and GPP values</w:t>
            </w:r>
          </w:p>
        </w:tc>
        <w:tc>
          <w:tcPr>
            <w:tcW w:w="2089" w:type="dxa"/>
          </w:tcPr>
          <w:p w14:paraId="5918BB7D" w14:textId="24864B45" w:rsidR="00CE416A" w:rsidRPr="005A03BE" w:rsidRDefault="00CE416A" w:rsidP="00433074">
            <w:pPr>
              <w:cnfStyle w:val="000000000000" w:firstRow="0" w:lastRow="0" w:firstColumn="0" w:lastColumn="0" w:oddVBand="0" w:evenVBand="0" w:oddHBand="0" w:evenHBand="0" w:firstRowFirstColumn="0" w:firstRowLastColumn="0" w:lastRowFirstColumn="0" w:lastRowLastColumn="0"/>
            </w:pPr>
            <w:r w:rsidRPr="005A03BE">
              <w:t xml:space="preserve">As </w:t>
            </w:r>
            <w:proofErr w:type="spellStart"/>
            <w:r w:rsidR="00DF1847" w:rsidRPr="005A03BE">
              <w:t>CurPol</w:t>
            </w:r>
            <w:proofErr w:type="spellEnd"/>
            <w:r w:rsidR="00DF1847" w:rsidRPr="005A03BE">
              <w:t xml:space="preserve"> </w:t>
            </w:r>
            <w:r w:rsidRPr="005A03BE">
              <w:t>scenario, including implementation of commonly defined good practice policies until 2050 - distinguishing between developed and developing countries</w:t>
            </w:r>
            <w:r w:rsidR="00DF1847" w:rsidRPr="005A03BE">
              <w:t xml:space="preserve">, and taking the more stringent of the </w:t>
            </w:r>
            <w:proofErr w:type="spellStart"/>
            <w:r w:rsidR="00DF1847" w:rsidRPr="005A03BE">
              <w:t>CurPol</w:t>
            </w:r>
            <w:proofErr w:type="spellEnd"/>
            <w:r w:rsidR="00DF1847" w:rsidRPr="005A03BE">
              <w:t xml:space="preserve"> and GPP values</w:t>
            </w:r>
          </w:p>
        </w:tc>
      </w:tr>
      <w:tr w:rsidR="006B1DD2" w:rsidRPr="005A03BE" w14:paraId="2AAE652E" w14:textId="77777777" w:rsidTr="007273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 w:type="dxa"/>
          </w:tcPr>
          <w:p w14:paraId="2341AE71" w14:textId="0C400F26" w:rsidR="00433074" w:rsidRPr="005A03BE" w:rsidRDefault="000B0208" w:rsidP="00433074">
            <w:r w:rsidRPr="005A03BE">
              <w:t>Bridging</w:t>
            </w:r>
          </w:p>
        </w:tc>
        <w:tc>
          <w:tcPr>
            <w:tcW w:w="1772" w:type="dxa"/>
          </w:tcPr>
          <w:p w14:paraId="29CDDAC7" w14:textId="37BF0DA3" w:rsidR="00433074" w:rsidRPr="005A03BE" w:rsidRDefault="000B0208" w:rsidP="00433074">
            <w:pPr>
              <w:cnfStyle w:val="000000100000" w:firstRow="0" w:lastRow="0" w:firstColumn="0" w:lastColumn="0" w:oddVBand="0" w:evenVBand="0" w:oddHBand="1" w:evenHBand="0" w:firstRowFirstColumn="0" w:firstRowLastColumn="0" w:lastRowFirstColumn="0" w:lastRowLastColumn="0"/>
            </w:pPr>
            <w:r w:rsidRPr="005A03BE">
              <w:t>Bridge</w:t>
            </w:r>
          </w:p>
        </w:tc>
        <w:tc>
          <w:tcPr>
            <w:tcW w:w="992" w:type="dxa"/>
          </w:tcPr>
          <w:p w14:paraId="594EC0D5" w14:textId="01B35BF8" w:rsidR="00433074" w:rsidRPr="005A03BE" w:rsidRDefault="0055196E" w:rsidP="00433074">
            <w:pPr>
              <w:cnfStyle w:val="000000100000" w:firstRow="0" w:lastRow="0" w:firstColumn="0" w:lastColumn="0" w:oddVBand="0" w:evenVBand="0" w:oddHBand="1" w:evenHBand="0" w:firstRowFirstColumn="0" w:firstRowLastColumn="0" w:lastRowFirstColumn="0" w:lastRowLastColumn="0"/>
              <w:rPr>
                <w:lang w:val="en-US"/>
              </w:rPr>
            </w:pPr>
            <w:r w:rsidRPr="005A03BE">
              <w:t>GPP</w:t>
            </w:r>
          </w:p>
        </w:tc>
        <w:tc>
          <w:tcPr>
            <w:tcW w:w="1417" w:type="dxa"/>
          </w:tcPr>
          <w:p w14:paraId="3D48A297" w14:textId="5A58C426" w:rsidR="00433074" w:rsidRPr="005A03BE" w:rsidRDefault="00433074" w:rsidP="00433074">
            <w:pPr>
              <w:cnfStyle w:val="000000100000" w:firstRow="0" w:lastRow="0" w:firstColumn="0" w:lastColumn="0" w:oddVBand="0" w:evenVBand="0" w:oddHBand="1" w:evenHBand="0" w:firstRowFirstColumn="0" w:firstRowLastColumn="0" w:lastRowFirstColumn="0" w:lastRowLastColumn="0"/>
            </w:pPr>
            <w:r w:rsidRPr="005A03BE">
              <w:t>New</w:t>
            </w:r>
          </w:p>
        </w:tc>
        <w:tc>
          <w:tcPr>
            <w:tcW w:w="2209" w:type="dxa"/>
          </w:tcPr>
          <w:p w14:paraId="26925452" w14:textId="160A6A0C" w:rsidR="00433074" w:rsidRPr="005A03BE" w:rsidRDefault="00433074" w:rsidP="00433074">
            <w:pPr>
              <w:cnfStyle w:val="000000100000" w:firstRow="0" w:lastRow="0" w:firstColumn="0" w:lastColumn="0" w:oddVBand="0" w:evenVBand="0" w:oddHBand="1" w:evenHBand="0" w:firstRowFirstColumn="0" w:firstRowLastColumn="0" w:lastRowFirstColumn="0" w:lastRowLastColumn="0"/>
            </w:pPr>
            <w:r w:rsidRPr="005A03BE">
              <w:t xml:space="preserve">As </w:t>
            </w:r>
            <w:r w:rsidR="0055196E" w:rsidRPr="005A03BE">
              <w:t xml:space="preserve">GPP </w:t>
            </w:r>
            <w:r w:rsidRPr="005A03BE">
              <w:t>scenario including implementation of good practice policies</w:t>
            </w:r>
            <w:r w:rsidR="00A12574" w:rsidRPr="005A03BE">
              <w:t xml:space="preserve"> </w:t>
            </w:r>
            <w:r w:rsidR="00887E04" w:rsidRPr="005A03BE">
              <w:t xml:space="preserve">until 2030 </w:t>
            </w:r>
            <w:r w:rsidR="00A12574" w:rsidRPr="005A03BE">
              <w:t xml:space="preserve">to transition to the </w:t>
            </w:r>
            <w:r w:rsidR="00CE416A" w:rsidRPr="005A03BE">
              <w:t>low carbon budget</w:t>
            </w:r>
            <w:r w:rsidR="00A12574" w:rsidRPr="005A03BE">
              <w:t xml:space="preserve"> scenario</w:t>
            </w:r>
            <w:r w:rsidR="00FA1DFD" w:rsidRPr="005A03BE">
              <w:t xml:space="preserve"> (2Deg2030)</w:t>
            </w:r>
          </w:p>
        </w:tc>
        <w:tc>
          <w:tcPr>
            <w:tcW w:w="2089" w:type="dxa"/>
          </w:tcPr>
          <w:p w14:paraId="56B9A2FB" w14:textId="2BDC935B" w:rsidR="00433074" w:rsidRPr="005A03BE" w:rsidRDefault="00433074" w:rsidP="00433074">
            <w:pPr>
              <w:cnfStyle w:val="000000100000" w:firstRow="0" w:lastRow="0" w:firstColumn="0" w:lastColumn="0" w:oddVBand="0" w:evenVBand="0" w:oddHBand="1" w:evenHBand="0" w:firstRowFirstColumn="0" w:firstRowLastColumn="0" w:lastRowFirstColumn="0" w:lastRowLastColumn="0"/>
            </w:pPr>
            <w:r w:rsidRPr="005A03BE">
              <w:t xml:space="preserve">As </w:t>
            </w:r>
            <w:r w:rsidR="0055196E" w:rsidRPr="005A03BE">
              <w:t>GPP</w:t>
            </w:r>
            <w:r w:rsidRPr="005A03BE">
              <w:t xml:space="preserve"> scenario including good practice policies</w:t>
            </w:r>
            <w:r w:rsidR="00887E04" w:rsidRPr="005A03BE">
              <w:t xml:space="preserve"> until 2030</w:t>
            </w:r>
            <w:r w:rsidRPr="005A03BE">
              <w:t xml:space="preserve">, as identified by national teams, </w:t>
            </w:r>
            <w:r w:rsidR="00A12574" w:rsidRPr="005A03BE">
              <w:t xml:space="preserve"> transitioning to the 2 </w:t>
            </w:r>
            <w:r w:rsidR="00A12574" w:rsidRPr="005A03BE">
              <w:rPr>
                <w:rFonts w:cstheme="minorHAnsi"/>
              </w:rPr>
              <w:t>°</w:t>
            </w:r>
            <w:r w:rsidR="00A12574" w:rsidRPr="005A03BE">
              <w:t>C scenario</w:t>
            </w:r>
            <w:r w:rsidR="00FA1DFD" w:rsidRPr="005A03BE">
              <w:t xml:space="preserve"> (2Deg2030)</w:t>
            </w:r>
          </w:p>
        </w:tc>
      </w:tr>
      <w:tr w:rsidR="00E2126D" w:rsidRPr="005A03BE" w14:paraId="0E44603B" w14:textId="77777777" w:rsidTr="0072735A">
        <w:tc>
          <w:tcPr>
            <w:cnfStyle w:val="001000000000" w:firstRow="0" w:lastRow="0" w:firstColumn="1" w:lastColumn="0" w:oddVBand="0" w:evenVBand="0" w:oddHBand="0" w:evenHBand="0" w:firstRowFirstColumn="0" w:firstRowLastColumn="0" w:lastRowFirstColumn="0" w:lastRowLastColumn="0"/>
            <w:tcW w:w="917" w:type="dxa"/>
          </w:tcPr>
          <w:p w14:paraId="7F6C620F" w14:textId="16EDB6DA" w:rsidR="00433074" w:rsidRPr="005A03BE" w:rsidRDefault="00433074" w:rsidP="00433074">
            <w:r w:rsidRPr="005A03BE">
              <w:lastRenderedPageBreak/>
              <w:t xml:space="preserve">2 </w:t>
            </w:r>
            <w:r w:rsidRPr="005A03BE">
              <w:rPr>
                <w:rFonts w:cstheme="minorHAnsi"/>
              </w:rPr>
              <w:t>˚</w:t>
            </w:r>
            <w:r w:rsidRPr="005A03BE">
              <w:t>C</w:t>
            </w:r>
            <w:r w:rsidR="002706C5" w:rsidRPr="005A03BE">
              <w:t xml:space="preserve"> 2020</w:t>
            </w:r>
          </w:p>
        </w:tc>
        <w:tc>
          <w:tcPr>
            <w:tcW w:w="1772" w:type="dxa"/>
          </w:tcPr>
          <w:p w14:paraId="7BFADD2B" w14:textId="694FD84E" w:rsidR="00433074" w:rsidRPr="005A03BE" w:rsidRDefault="00433074" w:rsidP="00433074">
            <w:pPr>
              <w:cnfStyle w:val="000000000000" w:firstRow="0" w:lastRow="0" w:firstColumn="0" w:lastColumn="0" w:oddVBand="0" w:evenVBand="0" w:oddHBand="0" w:evenHBand="0" w:firstRowFirstColumn="0" w:firstRowLastColumn="0" w:lastRowFirstColumn="0" w:lastRowLastColumn="0"/>
            </w:pPr>
            <w:r w:rsidRPr="005A03BE">
              <w:t>2Deg</w:t>
            </w:r>
            <w:r w:rsidR="002706C5" w:rsidRPr="005A03BE">
              <w:t>2020</w:t>
            </w:r>
          </w:p>
        </w:tc>
        <w:tc>
          <w:tcPr>
            <w:tcW w:w="992" w:type="dxa"/>
          </w:tcPr>
          <w:p w14:paraId="6203C769" w14:textId="480DC2DB" w:rsidR="00433074" w:rsidRPr="005A03BE" w:rsidRDefault="002706C5" w:rsidP="00433074">
            <w:pPr>
              <w:cnfStyle w:val="000000000000" w:firstRow="0" w:lastRow="0" w:firstColumn="0" w:lastColumn="0" w:oddVBand="0" w:evenVBand="0" w:oddHBand="0" w:evenHBand="0" w:firstRowFirstColumn="0" w:firstRowLastColumn="0" w:lastRowFirstColumn="0" w:lastRowLastColumn="0"/>
            </w:pPr>
            <w:proofErr w:type="spellStart"/>
            <w:r w:rsidRPr="005A03BE">
              <w:t>CurPol</w:t>
            </w:r>
            <w:proofErr w:type="spellEnd"/>
          </w:p>
        </w:tc>
        <w:tc>
          <w:tcPr>
            <w:tcW w:w="1417" w:type="dxa"/>
          </w:tcPr>
          <w:p w14:paraId="4605ECAC" w14:textId="5F97989E" w:rsidR="00433074" w:rsidRPr="005A03BE" w:rsidRDefault="00433074" w:rsidP="00433074">
            <w:pPr>
              <w:cnfStyle w:val="000000000000" w:firstRow="0" w:lastRow="0" w:firstColumn="0" w:lastColumn="0" w:oddVBand="0" w:evenVBand="0" w:oddHBand="0" w:evenHBand="0" w:firstRowFirstColumn="0" w:firstRowLastColumn="0" w:lastRowFirstColumn="0" w:lastRowLastColumn="0"/>
            </w:pPr>
            <w:r w:rsidRPr="005A03BE">
              <w:t>None</w:t>
            </w:r>
          </w:p>
        </w:tc>
        <w:tc>
          <w:tcPr>
            <w:tcW w:w="2209" w:type="dxa"/>
          </w:tcPr>
          <w:p w14:paraId="6C55610B" w14:textId="1F09E5BF" w:rsidR="00433074" w:rsidRPr="005A03BE" w:rsidRDefault="00433074" w:rsidP="00433074">
            <w:pPr>
              <w:cnfStyle w:val="000000000000" w:firstRow="0" w:lastRow="0" w:firstColumn="0" w:lastColumn="0" w:oddVBand="0" w:evenVBand="0" w:oddHBand="0" w:evenHBand="0" w:firstRowFirstColumn="0" w:firstRowLastColumn="0" w:lastRowFirstColumn="0" w:lastRowLastColumn="0"/>
            </w:pPr>
            <w:r w:rsidRPr="005A03BE">
              <w:t xml:space="preserve">As </w:t>
            </w:r>
            <w:proofErr w:type="spellStart"/>
            <w:r w:rsidR="002706C5" w:rsidRPr="005A03BE">
              <w:t>CurPol</w:t>
            </w:r>
            <w:proofErr w:type="spellEnd"/>
            <w:r w:rsidR="00A12574" w:rsidRPr="005A03BE">
              <w:t xml:space="preserve"> </w:t>
            </w:r>
            <w:r w:rsidRPr="005A03BE">
              <w:t xml:space="preserve">with the Implementation of a CD-LINKS carbon budget </w:t>
            </w:r>
            <w:r w:rsidR="00726CD9" w:rsidRPr="005A03BE">
              <w:t>from 20</w:t>
            </w:r>
            <w:r w:rsidR="002706C5" w:rsidRPr="005A03BE">
              <w:t>2</w:t>
            </w:r>
            <w:r w:rsidR="00726CD9" w:rsidRPr="005A03BE">
              <w:t xml:space="preserve">0 </w:t>
            </w:r>
            <w:r w:rsidRPr="005A03BE">
              <w:t>(</w:t>
            </w:r>
            <w:r w:rsidR="00726CD9" w:rsidRPr="005A03BE">
              <w:t>20</w:t>
            </w:r>
            <w:r w:rsidR="002706C5" w:rsidRPr="005A03BE">
              <w:t>2</w:t>
            </w:r>
            <w:r w:rsidR="00726CD9" w:rsidRPr="005A03BE">
              <w:t>0_low</w:t>
            </w:r>
            <w:r w:rsidRPr="005A03BE">
              <w:t>)</w:t>
            </w:r>
          </w:p>
        </w:tc>
        <w:tc>
          <w:tcPr>
            <w:tcW w:w="2089" w:type="dxa"/>
          </w:tcPr>
          <w:p w14:paraId="2278C5AE" w14:textId="43F5EE53" w:rsidR="00433074" w:rsidRPr="005A03BE" w:rsidRDefault="00433074" w:rsidP="00433074">
            <w:pPr>
              <w:cnfStyle w:val="000000000000" w:firstRow="0" w:lastRow="0" w:firstColumn="0" w:lastColumn="0" w:oddVBand="0" w:evenVBand="0" w:oddHBand="0" w:evenHBand="0" w:firstRowFirstColumn="0" w:firstRowLastColumn="0" w:lastRowFirstColumn="0" w:lastRowLastColumn="0"/>
            </w:pPr>
            <w:r w:rsidRPr="005A03BE">
              <w:t xml:space="preserve">As </w:t>
            </w:r>
            <w:proofErr w:type="spellStart"/>
            <w:r w:rsidR="002706C5" w:rsidRPr="005A03BE">
              <w:t>CurPol</w:t>
            </w:r>
            <w:proofErr w:type="spellEnd"/>
            <w:r w:rsidR="00A12574" w:rsidRPr="005A03BE">
              <w:t xml:space="preserve"> </w:t>
            </w:r>
            <w:r w:rsidRPr="005A03BE">
              <w:t xml:space="preserve">with the implementation of a 2 </w:t>
            </w:r>
            <w:r w:rsidRPr="005A03BE">
              <w:rPr>
                <w:rFonts w:cstheme="minorHAnsi"/>
              </w:rPr>
              <w:t>˚</w:t>
            </w:r>
            <w:r w:rsidRPr="005A03BE">
              <w:t>C / 2.6 Wm</w:t>
            </w:r>
            <w:r w:rsidRPr="005A03BE">
              <w:softHyphen/>
            </w:r>
            <w:r w:rsidRPr="005A03BE">
              <w:rPr>
                <w:vertAlign w:val="superscript"/>
              </w:rPr>
              <w:t>-2</w:t>
            </w:r>
            <w:r w:rsidRPr="005A03BE">
              <w:t xml:space="preserve"> climate target</w:t>
            </w:r>
            <w:r w:rsidR="00726CD9" w:rsidRPr="005A03BE">
              <w:t xml:space="preserve"> from 20</w:t>
            </w:r>
            <w:r w:rsidR="002706C5" w:rsidRPr="005A03BE">
              <w:t>2</w:t>
            </w:r>
            <w:r w:rsidR="00726CD9" w:rsidRPr="005A03BE">
              <w:t>0, represented by the CD-LINKS carbon budget: 1000 Gt CO</w:t>
            </w:r>
            <w:r w:rsidR="00726CD9" w:rsidRPr="005A03BE">
              <w:rPr>
                <w:vertAlign w:val="subscript"/>
              </w:rPr>
              <w:t>2</w:t>
            </w:r>
            <w:r w:rsidR="00726CD9" w:rsidRPr="005A03BE">
              <w:t xml:space="preserve"> over 2011-2100, i.e. </w:t>
            </w:r>
            <w:r w:rsidR="002706C5" w:rsidRPr="005A03BE">
              <w:t>NPi</w:t>
            </w:r>
            <w:r w:rsidR="00726CD9" w:rsidRPr="005A03BE">
              <w:t>20</w:t>
            </w:r>
            <w:r w:rsidR="002706C5" w:rsidRPr="005A03BE">
              <w:t>2</w:t>
            </w:r>
            <w:r w:rsidR="00726CD9" w:rsidRPr="005A03BE">
              <w:t>0_1000</w:t>
            </w:r>
            <w:r w:rsidR="00BC705D" w:rsidRPr="005A03BE">
              <w:t>.</w:t>
            </w:r>
          </w:p>
        </w:tc>
      </w:tr>
      <w:tr w:rsidR="006B1DD2" w:rsidRPr="005A03BE" w14:paraId="5E0CC69E" w14:textId="77777777" w:rsidTr="007273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 w:type="dxa"/>
          </w:tcPr>
          <w:p w14:paraId="16444287" w14:textId="6C24F2DD" w:rsidR="002706C5" w:rsidRPr="005A03BE" w:rsidRDefault="002706C5" w:rsidP="00433074">
            <w:r w:rsidRPr="005A03BE">
              <w:t xml:space="preserve">2 </w:t>
            </w:r>
            <w:r w:rsidRPr="005A03BE">
              <w:rPr>
                <w:rFonts w:cstheme="minorHAnsi"/>
              </w:rPr>
              <w:t>˚</w:t>
            </w:r>
            <w:r w:rsidRPr="005A03BE">
              <w:t>C 2030</w:t>
            </w:r>
          </w:p>
        </w:tc>
        <w:tc>
          <w:tcPr>
            <w:tcW w:w="1772" w:type="dxa"/>
          </w:tcPr>
          <w:p w14:paraId="53B8F0D6" w14:textId="36F74591" w:rsidR="002706C5" w:rsidRPr="005A03BE" w:rsidRDefault="002706C5" w:rsidP="00433074">
            <w:pPr>
              <w:cnfStyle w:val="000000100000" w:firstRow="0" w:lastRow="0" w:firstColumn="0" w:lastColumn="0" w:oddVBand="0" w:evenVBand="0" w:oddHBand="1" w:evenHBand="0" w:firstRowFirstColumn="0" w:firstRowLastColumn="0" w:lastRowFirstColumn="0" w:lastRowLastColumn="0"/>
            </w:pPr>
            <w:r w:rsidRPr="005A03BE">
              <w:t>2Deg2030</w:t>
            </w:r>
          </w:p>
        </w:tc>
        <w:tc>
          <w:tcPr>
            <w:tcW w:w="992" w:type="dxa"/>
          </w:tcPr>
          <w:p w14:paraId="78FC19A1" w14:textId="4A1F315F" w:rsidR="002706C5" w:rsidRPr="005A03BE" w:rsidRDefault="00E2126D" w:rsidP="00433074">
            <w:pPr>
              <w:cnfStyle w:val="000000100000" w:firstRow="0" w:lastRow="0" w:firstColumn="0" w:lastColumn="0" w:oddVBand="0" w:evenVBand="0" w:oddHBand="1" w:evenHBand="0" w:firstRowFirstColumn="0" w:firstRowLastColumn="0" w:lastRowFirstColumn="0" w:lastRowLastColumn="0"/>
            </w:pPr>
            <w:proofErr w:type="spellStart"/>
            <w:r w:rsidRPr="005A03BE">
              <w:t>NDCplus</w:t>
            </w:r>
            <w:proofErr w:type="spellEnd"/>
          </w:p>
        </w:tc>
        <w:tc>
          <w:tcPr>
            <w:tcW w:w="1417" w:type="dxa"/>
          </w:tcPr>
          <w:p w14:paraId="7A703829" w14:textId="19A4F771" w:rsidR="002706C5" w:rsidRPr="005A03BE" w:rsidRDefault="002706C5" w:rsidP="00433074">
            <w:pPr>
              <w:cnfStyle w:val="000000100000" w:firstRow="0" w:lastRow="0" w:firstColumn="0" w:lastColumn="0" w:oddVBand="0" w:evenVBand="0" w:oddHBand="1" w:evenHBand="0" w:firstRowFirstColumn="0" w:firstRowLastColumn="0" w:lastRowFirstColumn="0" w:lastRowLastColumn="0"/>
            </w:pPr>
            <w:r w:rsidRPr="005A03BE">
              <w:t>None</w:t>
            </w:r>
          </w:p>
        </w:tc>
        <w:tc>
          <w:tcPr>
            <w:tcW w:w="2209" w:type="dxa"/>
          </w:tcPr>
          <w:p w14:paraId="3E2774B5" w14:textId="29B5F2F0" w:rsidR="002706C5" w:rsidRPr="005A03BE" w:rsidRDefault="002706C5" w:rsidP="00433074">
            <w:pPr>
              <w:cnfStyle w:val="000000100000" w:firstRow="0" w:lastRow="0" w:firstColumn="0" w:lastColumn="0" w:oddVBand="0" w:evenVBand="0" w:oddHBand="1" w:evenHBand="0" w:firstRowFirstColumn="0" w:firstRowLastColumn="0" w:lastRowFirstColumn="0" w:lastRowLastColumn="0"/>
            </w:pPr>
            <w:r w:rsidRPr="005A03BE">
              <w:t xml:space="preserve">As </w:t>
            </w:r>
            <w:proofErr w:type="spellStart"/>
            <w:r w:rsidRPr="005A03BE">
              <w:t>NDC</w:t>
            </w:r>
            <w:r w:rsidR="00E2126D" w:rsidRPr="005A03BE">
              <w:t>plus</w:t>
            </w:r>
            <w:proofErr w:type="spellEnd"/>
            <w:r w:rsidRPr="005A03BE">
              <w:t xml:space="preserve"> with the implementation of a CD-LINKS carbon budget from 2030 (2030_low)</w:t>
            </w:r>
          </w:p>
        </w:tc>
        <w:tc>
          <w:tcPr>
            <w:tcW w:w="2089" w:type="dxa"/>
          </w:tcPr>
          <w:p w14:paraId="0AB50851" w14:textId="4435AA78" w:rsidR="002706C5" w:rsidRPr="005A03BE" w:rsidRDefault="002706C5" w:rsidP="00433074">
            <w:pPr>
              <w:cnfStyle w:val="000000100000" w:firstRow="0" w:lastRow="0" w:firstColumn="0" w:lastColumn="0" w:oddVBand="0" w:evenVBand="0" w:oddHBand="1" w:evenHBand="0" w:firstRowFirstColumn="0" w:firstRowLastColumn="0" w:lastRowFirstColumn="0" w:lastRowLastColumn="0"/>
            </w:pPr>
            <w:r w:rsidRPr="005A03BE">
              <w:t xml:space="preserve">As </w:t>
            </w:r>
            <w:proofErr w:type="spellStart"/>
            <w:r w:rsidRPr="005A03BE">
              <w:t>NDC</w:t>
            </w:r>
            <w:r w:rsidR="00E2126D" w:rsidRPr="005A03BE">
              <w:t>plus</w:t>
            </w:r>
            <w:proofErr w:type="spellEnd"/>
            <w:r w:rsidRPr="005A03BE">
              <w:t xml:space="preserve"> with the implementation of a 2 </w:t>
            </w:r>
            <w:r w:rsidRPr="005A03BE">
              <w:rPr>
                <w:rFonts w:cstheme="minorHAnsi"/>
              </w:rPr>
              <w:t>˚</w:t>
            </w:r>
            <w:r w:rsidRPr="005A03BE">
              <w:t>C / 2.6 Wm</w:t>
            </w:r>
            <w:r w:rsidRPr="005A03BE">
              <w:softHyphen/>
            </w:r>
            <w:r w:rsidRPr="005A03BE">
              <w:rPr>
                <w:vertAlign w:val="superscript"/>
              </w:rPr>
              <w:t>-2</w:t>
            </w:r>
            <w:r w:rsidRPr="005A03BE">
              <w:t xml:space="preserve"> climate target from 2030, represented by the CD-LINKS carbon budget: 1000 Gt CO</w:t>
            </w:r>
            <w:r w:rsidRPr="005A03BE">
              <w:rPr>
                <w:vertAlign w:val="subscript"/>
              </w:rPr>
              <w:t>2</w:t>
            </w:r>
            <w:r w:rsidRPr="005A03BE">
              <w:t xml:space="preserve"> over 2011-2100, i.e. INDC2030_1000</w:t>
            </w:r>
          </w:p>
        </w:tc>
      </w:tr>
      <w:bookmarkEnd w:id="5"/>
    </w:tbl>
    <w:p w14:paraId="46CA428F" w14:textId="77777777" w:rsidR="00433074" w:rsidRPr="005A03BE" w:rsidRDefault="00433074" w:rsidP="00732299"/>
    <w:p w14:paraId="503820C9" w14:textId="3EE1519F" w:rsidR="000150E3" w:rsidRPr="005A03BE" w:rsidRDefault="00093E9C" w:rsidP="00732299">
      <w:r w:rsidRPr="005A03BE">
        <w:t xml:space="preserve">The </w:t>
      </w:r>
      <w:r w:rsidRPr="005A03BE">
        <w:rPr>
          <w:b/>
        </w:rPr>
        <w:t>Baseline (BAU)</w:t>
      </w:r>
      <w:r w:rsidRPr="005A03BE">
        <w:t xml:space="preserve"> scenario </w:t>
      </w:r>
      <w:r w:rsidR="00AC0853" w:rsidRPr="005A03BE">
        <w:t xml:space="preserve">should be a </w:t>
      </w:r>
      <w:r w:rsidR="001C796F" w:rsidRPr="005A03BE">
        <w:t xml:space="preserve">middle of the road socio-economic conditions </w:t>
      </w:r>
      <w:r w:rsidR="00AC0853" w:rsidRPr="005A03BE">
        <w:t xml:space="preserve">scenario (preferably SSP2) </w:t>
      </w:r>
      <w:r w:rsidR="001C796F" w:rsidRPr="005A03BE">
        <w:t>throughout the century with</w:t>
      </w:r>
      <w:r w:rsidR="002E44DC" w:rsidRPr="005A03BE">
        <w:t xml:space="preserve"> </w:t>
      </w:r>
      <w:r w:rsidR="001C796F" w:rsidRPr="005A03BE">
        <w:t>no additional climate policy</w:t>
      </w:r>
      <w:r w:rsidR="00694F41" w:rsidRPr="005A03BE">
        <w:t>.</w:t>
      </w:r>
    </w:p>
    <w:p w14:paraId="144E9EC8" w14:textId="2AECAFF6" w:rsidR="00093E9C" w:rsidRPr="005A03BE" w:rsidRDefault="00093E9C" w:rsidP="00732299">
      <w:r w:rsidRPr="005A03BE">
        <w:t xml:space="preserve">The </w:t>
      </w:r>
      <w:r w:rsidRPr="005A03BE">
        <w:rPr>
          <w:b/>
        </w:rPr>
        <w:t>Current policy (</w:t>
      </w:r>
      <w:proofErr w:type="spellStart"/>
      <w:r w:rsidRPr="005A03BE">
        <w:rPr>
          <w:b/>
        </w:rPr>
        <w:t>CurPol</w:t>
      </w:r>
      <w:proofErr w:type="spellEnd"/>
      <w:r w:rsidRPr="005A03BE">
        <w:rPr>
          <w:b/>
        </w:rPr>
        <w:t>)</w:t>
      </w:r>
      <w:r w:rsidRPr="005A03BE">
        <w:t xml:space="preserve"> scenario </w:t>
      </w:r>
      <w:r w:rsidR="002E44DC" w:rsidRPr="005A03BE">
        <w:t>assumes</w:t>
      </w:r>
      <w:r w:rsidR="001C796F" w:rsidRPr="005A03BE">
        <w:t xml:space="preserve"> the same socio-economic conditions as the BAU scenario. However</w:t>
      </w:r>
      <w:r w:rsidR="00726CD9" w:rsidRPr="005A03BE">
        <w:t>,</w:t>
      </w:r>
      <w:r w:rsidR="001C796F" w:rsidRPr="005A03BE">
        <w:t xml:space="preserve"> it also assumes that</w:t>
      </w:r>
      <w:r w:rsidR="00726CD9" w:rsidRPr="005A03BE">
        <w:t xml:space="preserve"> climate,</w:t>
      </w:r>
      <w:r w:rsidR="001C796F" w:rsidRPr="005A03BE">
        <w:t xml:space="preserve"> energy and land use</w:t>
      </w:r>
      <w:r w:rsidR="002E44DC" w:rsidRPr="005A03BE">
        <w:t xml:space="preserve"> policies</w:t>
      </w:r>
      <w:r w:rsidR="001C796F" w:rsidRPr="005A03BE">
        <w:t xml:space="preserve"> that are currently ratified </w:t>
      </w:r>
      <w:r w:rsidR="002E44DC" w:rsidRPr="005A03BE">
        <w:t>are implemented</w:t>
      </w:r>
      <w:r w:rsidR="00726CD9" w:rsidRPr="005A03BE">
        <w:t xml:space="preserve"> (cut-off date 1 July 2019)</w:t>
      </w:r>
      <w:r w:rsidR="00694F41" w:rsidRPr="005A03BE">
        <w:t>.</w:t>
      </w:r>
      <w:r w:rsidR="00506665" w:rsidRPr="005A03BE">
        <w:t xml:space="preserve"> For global models, this can be based on the updated CD-LINKS protocol</w:t>
      </w:r>
      <w:r w:rsidR="006627FD" w:rsidRPr="005A03BE">
        <w:t xml:space="preserve">. </w:t>
      </w:r>
      <w:r w:rsidR="006627FD" w:rsidRPr="005A03BE">
        <w:rPr>
          <w:rStyle w:val="ActionpointChar"/>
          <w:b w:val="0"/>
          <w:color w:val="auto"/>
        </w:rPr>
        <w:t>A</w:t>
      </w:r>
      <w:r w:rsidR="007D02C3" w:rsidRPr="005A03BE">
        <w:rPr>
          <w:rStyle w:val="ActionpointChar"/>
          <w:b w:val="0"/>
          <w:color w:val="auto"/>
        </w:rPr>
        <w:t xml:space="preserve"> new version </w:t>
      </w:r>
      <w:r w:rsidR="001C793D" w:rsidRPr="005A03BE">
        <w:rPr>
          <w:rStyle w:val="ActionpointChar"/>
          <w:b w:val="0"/>
          <w:color w:val="auto"/>
        </w:rPr>
        <w:t xml:space="preserve">is attached – please refer to the spreadsheet </w:t>
      </w:r>
      <w:r w:rsidR="001C793D" w:rsidRPr="005A03BE">
        <w:rPr>
          <w:rStyle w:val="ActionpointChar"/>
          <w:b w:val="0"/>
          <w:i/>
          <w:color w:val="auto"/>
        </w:rPr>
        <w:t>Input-IAM-protocol_COMMIT</w:t>
      </w:r>
      <w:r w:rsidR="006627FD" w:rsidRPr="005A03BE">
        <w:rPr>
          <w:rStyle w:val="ActionpointChar"/>
          <w:b w:val="0"/>
          <w:i/>
          <w:color w:val="auto"/>
        </w:rPr>
        <w:t>_</w:t>
      </w:r>
      <w:r w:rsidR="001C793D" w:rsidRPr="005A03BE">
        <w:rPr>
          <w:rStyle w:val="ActionpointChar"/>
          <w:b w:val="0"/>
          <w:i/>
          <w:color w:val="auto"/>
        </w:rPr>
        <w:t>December2019.xlsx</w:t>
      </w:r>
      <w:r w:rsidR="006627FD" w:rsidRPr="005A03BE">
        <w:rPr>
          <w:rStyle w:val="ActionpointChar"/>
          <w:b w:val="0"/>
          <w:color w:val="auto"/>
        </w:rPr>
        <w:t xml:space="preserve">, tab “Protocol </w:t>
      </w:r>
      <w:proofErr w:type="spellStart"/>
      <w:r w:rsidR="006627FD" w:rsidRPr="005A03BE">
        <w:rPr>
          <w:rStyle w:val="ActionpointChar"/>
          <w:b w:val="0"/>
          <w:color w:val="auto"/>
        </w:rPr>
        <w:t>CurPol</w:t>
      </w:r>
      <w:proofErr w:type="spellEnd"/>
      <w:r w:rsidR="006627FD" w:rsidRPr="005A03BE">
        <w:rPr>
          <w:rStyle w:val="ActionpointChar"/>
          <w:b w:val="0"/>
          <w:color w:val="auto"/>
        </w:rPr>
        <w:t xml:space="preserve"> numerical”</w:t>
      </w:r>
      <w:r w:rsidR="006627FD" w:rsidRPr="005A03BE">
        <w:rPr>
          <w:rStyle w:val="ActionpointChar"/>
          <w:color w:val="auto"/>
        </w:rPr>
        <w:t xml:space="preserve"> </w:t>
      </w:r>
      <w:r w:rsidR="006627FD" w:rsidRPr="005A03BE">
        <w:rPr>
          <w:rStyle w:val="ActionpointChar"/>
          <w:b w:val="0"/>
          <w:color w:val="auto"/>
        </w:rPr>
        <w:t>(note that</w:t>
      </w:r>
      <w:r w:rsidR="006627FD" w:rsidRPr="005A03BE">
        <w:rPr>
          <w:rStyle w:val="ActionpointChar"/>
          <w:color w:val="auto"/>
        </w:rPr>
        <w:t xml:space="preserve"> </w:t>
      </w:r>
      <w:r w:rsidR="006627FD" w:rsidRPr="005A03BE">
        <w:t>not all tabs were updated</w:t>
      </w:r>
      <w:r w:rsidR="007D02C3" w:rsidRPr="005A03BE">
        <w:t>)</w:t>
      </w:r>
      <w:r w:rsidR="00506665" w:rsidRPr="005A03BE">
        <w:t xml:space="preserve">. </w:t>
      </w:r>
      <w:r w:rsidR="00CB2418" w:rsidRPr="005A03BE">
        <w:t>Note that this update is optional: a</w:t>
      </w:r>
      <w:r w:rsidR="00AC0853" w:rsidRPr="005A03BE">
        <w:t>lso the previous current policy scenario (CD-LINKS) could be submitted if needed, if based on the same model version.</w:t>
      </w:r>
    </w:p>
    <w:p w14:paraId="6C635FD0" w14:textId="09EC5CE9" w:rsidR="00A44C61" w:rsidRPr="005A03BE" w:rsidRDefault="00093E9C" w:rsidP="00732299">
      <w:pPr>
        <w:rPr>
          <w:i/>
        </w:rPr>
      </w:pPr>
      <w:r w:rsidRPr="005A03BE">
        <w:t xml:space="preserve">The </w:t>
      </w:r>
      <w:r w:rsidR="0000347B" w:rsidRPr="005A03BE">
        <w:rPr>
          <w:b/>
        </w:rPr>
        <w:t xml:space="preserve">NDC-plus </w:t>
      </w:r>
      <w:r w:rsidRPr="005A03BE">
        <w:rPr>
          <w:b/>
        </w:rPr>
        <w:t>(</w:t>
      </w:r>
      <w:proofErr w:type="spellStart"/>
      <w:r w:rsidRPr="005A03BE">
        <w:rPr>
          <w:b/>
        </w:rPr>
        <w:t>NDC</w:t>
      </w:r>
      <w:r w:rsidR="00836534" w:rsidRPr="005A03BE">
        <w:rPr>
          <w:b/>
        </w:rPr>
        <w:t>plus</w:t>
      </w:r>
      <w:proofErr w:type="spellEnd"/>
      <w:r w:rsidRPr="005A03BE">
        <w:rPr>
          <w:b/>
        </w:rPr>
        <w:t>)</w:t>
      </w:r>
      <w:r w:rsidRPr="005A03BE">
        <w:t xml:space="preserve"> scenario </w:t>
      </w:r>
      <w:r w:rsidR="001C796F" w:rsidRPr="005A03BE">
        <w:t xml:space="preserve">builds further upon the </w:t>
      </w:r>
      <w:proofErr w:type="spellStart"/>
      <w:r w:rsidR="001C796F" w:rsidRPr="005A03BE">
        <w:t>CurPol</w:t>
      </w:r>
      <w:proofErr w:type="spellEnd"/>
      <w:r w:rsidR="001C796F" w:rsidRPr="005A03BE">
        <w:t xml:space="preserve"> scenario and </w:t>
      </w:r>
      <w:r w:rsidR="002E44DC" w:rsidRPr="005A03BE">
        <w:t xml:space="preserve">assumes that the </w:t>
      </w:r>
      <w:r w:rsidR="001C796F" w:rsidRPr="005A03BE">
        <w:t xml:space="preserve">NDCs are implemented by 2030. </w:t>
      </w:r>
      <w:r w:rsidR="00DC3225" w:rsidRPr="005A03BE">
        <w:t xml:space="preserve">After 2030, the scenario should reflect continuation (but not strengthening) of effort (see </w:t>
      </w:r>
      <w:r w:rsidR="00DC3225" w:rsidRPr="005A03BE">
        <w:fldChar w:fldCharType="begin"/>
      </w:r>
      <w:r w:rsidR="00DC3225" w:rsidRPr="005A03BE">
        <w:instrText xml:space="preserve"> REF _Ref36741862 \h </w:instrText>
      </w:r>
      <w:r w:rsidR="005A03BE">
        <w:instrText xml:space="preserve"> \* MERGEFORMAT </w:instrText>
      </w:r>
      <w:r w:rsidR="00DC3225" w:rsidRPr="005A03BE">
        <w:fldChar w:fldCharType="separate"/>
      </w:r>
      <w:r w:rsidR="00DC3225" w:rsidRPr="005A03BE">
        <w:t>Post policy period</w:t>
      </w:r>
      <w:r w:rsidR="00DC3225" w:rsidRPr="005A03BE">
        <w:fldChar w:fldCharType="end"/>
      </w:r>
      <w:r w:rsidR="00DC3225" w:rsidRPr="005A03BE">
        <w:t xml:space="preserve"> for details).</w:t>
      </w:r>
      <w:r w:rsidR="00836534" w:rsidRPr="005A03BE">
        <w:t xml:space="preserve"> Specifically for China, please incorporate the ‘peak’ component of the NDC by ensur</w:t>
      </w:r>
      <w:r w:rsidR="00A44C61" w:rsidRPr="005A03BE">
        <w:t>ing</w:t>
      </w:r>
      <w:r w:rsidR="00836534" w:rsidRPr="005A03BE">
        <w:t xml:space="preserve"> that emissions </w:t>
      </w:r>
      <w:r w:rsidR="00A44C61" w:rsidRPr="005A03BE">
        <w:t xml:space="preserve">do not increase above 2030 values. </w:t>
      </w:r>
    </w:p>
    <w:p w14:paraId="15DE8ECA" w14:textId="29598D31" w:rsidR="00A44C61" w:rsidRPr="005A03BE" w:rsidRDefault="00A44C61" w:rsidP="003F39EE">
      <w:pPr>
        <w:rPr>
          <w:i/>
        </w:rPr>
      </w:pPr>
      <w:r w:rsidRPr="005A03BE">
        <w:rPr>
          <w:i/>
        </w:rPr>
        <w:t>Optional, additional scenario</w:t>
      </w:r>
      <w:r w:rsidR="00CE7FB9" w:rsidRPr="005A03BE">
        <w:rPr>
          <w:i/>
        </w:rPr>
        <w:t xml:space="preserve"> variants</w:t>
      </w:r>
      <w:r w:rsidRPr="005A03BE">
        <w:rPr>
          <w:i/>
        </w:rPr>
        <w:t xml:space="preserve">: </w:t>
      </w:r>
    </w:p>
    <w:p w14:paraId="49B6E68F" w14:textId="7521290E" w:rsidR="00A44C61" w:rsidRPr="005A03BE" w:rsidRDefault="00A44C61" w:rsidP="00E2126D">
      <w:pPr>
        <w:pStyle w:val="ListParagraph"/>
        <w:numPr>
          <w:ilvl w:val="0"/>
          <w:numId w:val="2"/>
        </w:numPr>
        <w:rPr>
          <w:i/>
          <w:lang w:val="en-US"/>
        </w:rPr>
      </w:pPr>
      <w:r w:rsidRPr="005A03BE">
        <w:rPr>
          <w:b/>
          <w:i/>
        </w:rPr>
        <w:t>NDC_2050convergence</w:t>
      </w:r>
      <w:r w:rsidRPr="005A03BE">
        <w:rPr>
          <w:i/>
        </w:rPr>
        <w:t xml:space="preserve"> - f</w:t>
      </w:r>
      <w:r w:rsidR="00836534" w:rsidRPr="005A03BE">
        <w:rPr>
          <w:i/>
        </w:rPr>
        <w:t>or global models</w:t>
      </w:r>
      <w:r w:rsidRPr="005A03BE">
        <w:rPr>
          <w:i/>
        </w:rPr>
        <w:t xml:space="preserve"> only</w:t>
      </w:r>
      <w:r w:rsidR="00F37F10" w:rsidRPr="005A03BE">
        <w:rPr>
          <w:i/>
        </w:rPr>
        <w:t>. In order to explore the implications of a scenario narrative "</w:t>
      </w:r>
      <w:r w:rsidR="00F37F10" w:rsidRPr="005A03BE">
        <w:rPr>
          <w:i/>
          <w:lang w:val="en-US"/>
        </w:rPr>
        <w:t xml:space="preserve">if the 2050 MCS in all countries become similarly stringent as the NDC targets of OECD countries for 2030”, this scenario foresees a global convergence to a globally harmonized carbon price in 2050. </w:t>
      </w:r>
      <w:r w:rsidR="00F37F10" w:rsidRPr="005A03BE">
        <w:rPr>
          <w:i/>
        </w:rPr>
        <w:t>See details under ‘Post policy period’.</w:t>
      </w:r>
    </w:p>
    <w:p w14:paraId="272E1761" w14:textId="15FBDA2D" w:rsidR="00093E9C" w:rsidRPr="005A03BE" w:rsidRDefault="00A44C61" w:rsidP="0072735A">
      <w:pPr>
        <w:pStyle w:val="ListParagraph"/>
        <w:numPr>
          <w:ilvl w:val="0"/>
          <w:numId w:val="2"/>
        </w:numPr>
      </w:pPr>
      <w:r w:rsidRPr="005A03BE">
        <w:rPr>
          <w:b/>
          <w:i/>
        </w:rPr>
        <w:t>NDCMCS</w:t>
      </w:r>
      <w:r w:rsidRPr="005A03BE">
        <w:rPr>
          <w:i/>
        </w:rPr>
        <w:t xml:space="preserve"> - f</w:t>
      </w:r>
      <w:r w:rsidR="0000347B" w:rsidRPr="005A03BE">
        <w:rPr>
          <w:i/>
        </w:rPr>
        <w:t>or national models</w:t>
      </w:r>
      <w:r w:rsidRPr="005A03BE">
        <w:rPr>
          <w:i/>
        </w:rPr>
        <w:t xml:space="preserve"> only.</w:t>
      </w:r>
      <w:r w:rsidR="0000347B" w:rsidRPr="005A03BE">
        <w:t xml:space="preserve"> </w:t>
      </w:r>
      <w:r w:rsidRPr="005A03BE">
        <w:rPr>
          <w:i/>
        </w:rPr>
        <w:t>F</w:t>
      </w:r>
      <w:r w:rsidR="002E44DC" w:rsidRPr="005A03BE">
        <w:rPr>
          <w:i/>
        </w:rPr>
        <w:t>or those countries that have submitted one</w:t>
      </w:r>
      <w:r w:rsidR="00A275E0" w:rsidRPr="005A03BE">
        <w:rPr>
          <w:i/>
        </w:rPr>
        <w:t xml:space="preserve"> to the UNFCCC</w:t>
      </w:r>
      <w:r w:rsidR="002E44DC" w:rsidRPr="005A03BE">
        <w:rPr>
          <w:i/>
        </w:rPr>
        <w:t>, the MCS</w:t>
      </w:r>
      <w:r w:rsidR="00A275E0" w:rsidRPr="005A03BE">
        <w:rPr>
          <w:i/>
        </w:rPr>
        <w:t xml:space="preserve"> target</w:t>
      </w:r>
      <w:r w:rsidR="002E44DC" w:rsidRPr="005A03BE">
        <w:rPr>
          <w:i/>
        </w:rPr>
        <w:t xml:space="preserve"> </w:t>
      </w:r>
      <w:r w:rsidR="00CE416A" w:rsidRPr="005A03BE">
        <w:rPr>
          <w:i/>
        </w:rPr>
        <w:t xml:space="preserve">for GHG emissions </w:t>
      </w:r>
      <w:r w:rsidR="002E44DC" w:rsidRPr="005A03BE">
        <w:rPr>
          <w:i/>
        </w:rPr>
        <w:t>is implemented by 2050</w:t>
      </w:r>
      <w:r w:rsidR="00694F41" w:rsidRPr="005A03BE">
        <w:rPr>
          <w:i/>
        </w:rPr>
        <w:t>.</w:t>
      </w:r>
      <w:r w:rsidRPr="005A03BE" w:rsidDel="00A44C61">
        <w:rPr>
          <w:strike/>
        </w:rPr>
        <w:t xml:space="preserve"> </w:t>
      </w:r>
    </w:p>
    <w:p w14:paraId="5AFE5490" w14:textId="66A3AD69" w:rsidR="006A3409" w:rsidRPr="005A03BE" w:rsidRDefault="00CE416A" w:rsidP="00732299">
      <w:r w:rsidRPr="005A03BE">
        <w:lastRenderedPageBreak/>
        <w:t xml:space="preserve">The </w:t>
      </w:r>
      <w:r w:rsidRPr="005A03BE">
        <w:rPr>
          <w:b/>
        </w:rPr>
        <w:t xml:space="preserve">Good practice policies (GPP) </w:t>
      </w:r>
      <w:r w:rsidRPr="005A03BE">
        <w:t xml:space="preserve">scenario builds upon the </w:t>
      </w:r>
      <w:proofErr w:type="spellStart"/>
      <w:r w:rsidR="00DF1847" w:rsidRPr="005A03BE">
        <w:t>CurPol</w:t>
      </w:r>
      <w:proofErr w:type="spellEnd"/>
      <w:r w:rsidR="00DF1847" w:rsidRPr="005A03BE">
        <w:t xml:space="preserve"> </w:t>
      </w:r>
      <w:r w:rsidRPr="005A03BE">
        <w:t xml:space="preserve">scenario and assumes that </w:t>
      </w:r>
      <w:r w:rsidR="00E7334F" w:rsidRPr="005A03BE">
        <w:t>certain good practice policies as defined in the spreadsheet</w:t>
      </w:r>
      <w:r w:rsidR="00C7385B" w:rsidRPr="005A03BE">
        <w:t>, which have shown to be effective in some countries,</w:t>
      </w:r>
      <w:r w:rsidR="00E7334F" w:rsidRPr="005A03BE">
        <w:t xml:space="preserve"> will be implemented globally</w:t>
      </w:r>
      <w:r w:rsidR="00C7385B" w:rsidRPr="005A03BE">
        <w:t xml:space="preserve"> until </w:t>
      </w:r>
      <w:r w:rsidR="00C7385B" w:rsidRPr="005A03BE">
        <w:rPr>
          <w:b/>
        </w:rPr>
        <w:t>2050.</w:t>
      </w:r>
      <w:r w:rsidR="00E7334F" w:rsidRPr="005A03BE">
        <w:rPr>
          <w:b/>
        </w:rPr>
        <w:t xml:space="preserve"> </w:t>
      </w:r>
      <w:r w:rsidR="00F80784" w:rsidRPr="005A03BE">
        <w:rPr>
          <w:b/>
        </w:rPr>
        <w:t xml:space="preserve">For the list of policies to be implemented, see the spreadsheet </w:t>
      </w:r>
      <w:r w:rsidR="00F80784" w:rsidRPr="005A03BE">
        <w:rPr>
          <w:b/>
          <w:i/>
        </w:rPr>
        <w:t xml:space="preserve">Bridging Scenario GPP list </w:t>
      </w:r>
      <w:r w:rsidR="00891A2C" w:rsidRPr="005A03BE">
        <w:rPr>
          <w:b/>
          <w:i/>
        </w:rPr>
        <w:t>20</w:t>
      </w:r>
      <w:r w:rsidR="00F80784" w:rsidRPr="005A03BE">
        <w:rPr>
          <w:b/>
          <w:i/>
        </w:rPr>
        <w:t xml:space="preserve"> April 2020.xlsx.</w:t>
      </w:r>
      <w:r w:rsidR="00F80784" w:rsidRPr="005A03BE">
        <w:rPr>
          <w:b/>
        </w:rPr>
        <w:t xml:space="preserve"> </w:t>
      </w:r>
      <w:r w:rsidR="00F80784" w:rsidRPr="005A03BE">
        <w:t xml:space="preserve">That spreadsheet also contains tabs categorising countries in low / high income or other tiers. </w:t>
      </w:r>
      <w:r w:rsidR="00C7385B" w:rsidRPr="005A03BE">
        <w:t>A</w:t>
      </w:r>
      <w:r w:rsidR="00E7334F" w:rsidRPr="005A03BE">
        <w:t xml:space="preserve"> distinction </w:t>
      </w:r>
      <w:r w:rsidR="00C7385B" w:rsidRPr="005A03BE">
        <w:t xml:space="preserve">is made </w:t>
      </w:r>
      <w:r w:rsidR="00E7334F" w:rsidRPr="005A03BE">
        <w:t xml:space="preserve">between </w:t>
      </w:r>
      <w:r w:rsidR="00F80784" w:rsidRPr="005A03BE">
        <w:t xml:space="preserve">low/medium income </w:t>
      </w:r>
      <w:r w:rsidR="008324D2" w:rsidRPr="005A03BE">
        <w:t>(columns K and L</w:t>
      </w:r>
      <w:r w:rsidR="0090418C" w:rsidRPr="005A03BE">
        <w:t xml:space="preserve"> of the first tab</w:t>
      </w:r>
      <w:r w:rsidR="008324D2" w:rsidRPr="005A03BE">
        <w:t xml:space="preserve">) </w:t>
      </w:r>
      <w:r w:rsidR="00E7334F" w:rsidRPr="005A03BE">
        <w:t xml:space="preserve">and </w:t>
      </w:r>
      <w:r w:rsidR="00F80784" w:rsidRPr="005A03BE">
        <w:t xml:space="preserve">high income </w:t>
      </w:r>
      <w:r w:rsidR="00E7334F" w:rsidRPr="005A03BE">
        <w:t xml:space="preserve">countries </w:t>
      </w:r>
      <w:r w:rsidR="008324D2" w:rsidRPr="005A03BE">
        <w:t xml:space="preserve">(columns I and J) </w:t>
      </w:r>
      <w:r w:rsidR="00E7334F" w:rsidRPr="005A03BE">
        <w:t>in terms of timing and stringency</w:t>
      </w:r>
      <w:r w:rsidR="00CD705E" w:rsidRPr="005A03BE">
        <w:t xml:space="preserve"> (applied to all model regions)</w:t>
      </w:r>
      <w:r w:rsidR="003A2CBF" w:rsidRPr="005A03BE">
        <w:t xml:space="preserve">. See also the fifth tab, ‘Country categorisation’, for </w:t>
      </w:r>
      <w:r w:rsidR="00F80784" w:rsidRPr="005A03BE">
        <w:t>a classification of all countries with their ISO codes: if the majority of countries in a region is classified as high income, the region can be considered high income (and vice versa for low/medium income).</w:t>
      </w:r>
      <w:r w:rsidR="00414E4F" w:rsidRPr="005A03BE">
        <w:t xml:space="preserve"> </w:t>
      </w:r>
      <w:r w:rsidR="00F80784" w:rsidRPr="005A03BE">
        <w:t>F</w:t>
      </w:r>
      <w:r w:rsidR="00414E4F" w:rsidRPr="005A03BE">
        <w:t>or some measures</w:t>
      </w:r>
      <w:r w:rsidR="00F80784" w:rsidRPr="005A03BE">
        <w:t>, we distinguish between three country tiers</w:t>
      </w:r>
      <w:r w:rsidR="008324D2" w:rsidRPr="005A03BE">
        <w:t xml:space="preserve"> (columns M and N</w:t>
      </w:r>
      <w:r w:rsidR="0090418C" w:rsidRPr="005A03BE">
        <w:t xml:space="preserve"> in the first tab, and see the third tab ‘7. </w:t>
      </w:r>
      <w:proofErr w:type="spellStart"/>
      <w:r w:rsidR="0090418C" w:rsidRPr="005A03BE">
        <w:t>CarbonPrice</w:t>
      </w:r>
      <w:proofErr w:type="spellEnd"/>
      <w:r w:rsidR="0090418C" w:rsidRPr="005A03BE">
        <w:t>’ and ’16. Afforestation’ for the country tiers applying to these measures</w:t>
      </w:r>
      <w:r w:rsidR="008324D2" w:rsidRPr="005A03BE">
        <w:t>)</w:t>
      </w:r>
      <w:r w:rsidR="00E7334F" w:rsidRPr="005A03BE">
        <w:t>.</w:t>
      </w:r>
      <w:r w:rsidR="00C7385B" w:rsidRPr="005A03BE">
        <w:t xml:space="preserve"> </w:t>
      </w:r>
    </w:p>
    <w:p w14:paraId="588AB92A" w14:textId="6B8A5EF3" w:rsidR="00CE416A" w:rsidRPr="005A03BE" w:rsidRDefault="00414E4F" w:rsidP="004F2A74">
      <w:pPr>
        <w:pStyle w:val="ListParagraph"/>
        <w:numPr>
          <w:ilvl w:val="0"/>
          <w:numId w:val="2"/>
        </w:numPr>
      </w:pPr>
      <w:r w:rsidRPr="005A03BE">
        <w:t xml:space="preserve">If </w:t>
      </w:r>
      <w:proofErr w:type="spellStart"/>
      <w:r w:rsidRPr="005A03BE">
        <w:t>CurPol</w:t>
      </w:r>
      <w:proofErr w:type="spellEnd"/>
      <w:r w:rsidRPr="005A03BE">
        <w:t xml:space="preserve"> is more stringent </w:t>
      </w:r>
      <w:r w:rsidR="006A3409" w:rsidRPr="005A03BE">
        <w:t xml:space="preserve">than GPP </w:t>
      </w:r>
      <w:r w:rsidRPr="005A03BE">
        <w:t>in certain sectors, take that value.</w:t>
      </w:r>
    </w:p>
    <w:p w14:paraId="2E43AAF9" w14:textId="09BDA0EE" w:rsidR="00093E9C" w:rsidRPr="005A03BE" w:rsidRDefault="00093E9C" w:rsidP="00732299">
      <w:r w:rsidRPr="005A03BE">
        <w:t xml:space="preserve">The </w:t>
      </w:r>
      <w:r w:rsidR="000B0208" w:rsidRPr="005A03BE">
        <w:rPr>
          <w:b/>
        </w:rPr>
        <w:t>Bridging</w:t>
      </w:r>
      <w:r w:rsidRPr="005A03BE">
        <w:rPr>
          <w:b/>
        </w:rPr>
        <w:t xml:space="preserve"> (</w:t>
      </w:r>
      <w:r w:rsidR="000B0208" w:rsidRPr="005A03BE">
        <w:rPr>
          <w:b/>
        </w:rPr>
        <w:t>Bridge</w:t>
      </w:r>
      <w:r w:rsidRPr="005A03BE">
        <w:rPr>
          <w:b/>
        </w:rPr>
        <w:t>)</w:t>
      </w:r>
      <w:r w:rsidRPr="005A03BE">
        <w:t xml:space="preserve"> scenario</w:t>
      </w:r>
      <w:r w:rsidR="000F2219" w:rsidRPr="005A03BE">
        <w:t xml:space="preserve"> </w:t>
      </w:r>
      <w:r w:rsidR="00887E04" w:rsidRPr="005A03BE">
        <w:t>builds upon the GPP scenario</w:t>
      </w:r>
      <w:r w:rsidR="00694F41" w:rsidRPr="005A03BE">
        <w:t>.</w:t>
      </w:r>
      <w:r w:rsidR="00751383" w:rsidRPr="005A03BE">
        <w:t xml:space="preserve"> </w:t>
      </w:r>
      <w:r w:rsidR="002973C3" w:rsidRPr="005A03BE">
        <w:t>For the list of policies to be implemented</w:t>
      </w:r>
      <w:r w:rsidR="00887E04" w:rsidRPr="005A03BE">
        <w:t xml:space="preserve"> until 2030</w:t>
      </w:r>
      <w:r w:rsidR="002973C3" w:rsidRPr="005A03BE">
        <w:t xml:space="preserve">, see the spreadsheet </w:t>
      </w:r>
      <w:r w:rsidR="002973C3" w:rsidRPr="005A03BE">
        <w:rPr>
          <w:i/>
        </w:rPr>
        <w:t xml:space="preserve">Bridging Scenario GPP list </w:t>
      </w:r>
      <w:r w:rsidR="00891A2C" w:rsidRPr="005A03BE">
        <w:rPr>
          <w:i/>
        </w:rPr>
        <w:t>20</w:t>
      </w:r>
      <w:r w:rsidR="00F80784" w:rsidRPr="005A03BE">
        <w:rPr>
          <w:i/>
        </w:rPr>
        <w:t xml:space="preserve"> April 2020</w:t>
      </w:r>
      <w:r w:rsidR="002973C3" w:rsidRPr="005A03BE">
        <w:rPr>
          <w:i/>
        </w:rPr>
        <w:t>.xlsx.</w:t>
      </w:r>
      <w:r w:rsidR="00A275E0" w:rsidRPr="005A03BE">
        <w:t xml:space="preserve"> After </w:t>
      </w:r>
      <w:r w:rsidR="00C7385B" w:rsidRPr="005A03BE">
        <w:t>2030</w:t>
      </w:r>
      <w:r w:rsidR="00A275E0" w:rsidRPr="005A03BE">
        <w:t xml:space="preserve">, the bridge scenario transitions to the 2 </w:t>
      </w:r>
      <w:r w:rsidR="00A275E0" w:rsidRPr="005A03BE">
        <w:rPr>
          <w:rFonts w:cstheme="minorHAnsi"/>
        </w:rPr>
        <w:t>°</w:t>
      </w:r>
      <w:r w:rsidR="00A275E0" w:rsidRPr="005A03BE">
        <w:t>C scenario</w:t>
      </w:r>
      <w:r w:rsidR="00462AAE" w:rsidRPr="005A03BE">
        <w:t xml:space="preserve"> (see chapter 5)</w:t>
      </w:r>
      <w:r w:rsidR="00A275E0" w:rsidRPr="005A03BE">
        <w:t>.</w:t>
      </w:r>
    </w:p>
    <w:p w14:paraId="7502D7EA" w14:textId="58F7BF2F" w:rsidR="00093E9C" w:rsidRPr="005A03BE" w:rsidRDefault="00093E9C" w:rsidP="00732299">
      <w:r w:rsidRPr="005A03BE">
        <w:t xml:space="preserve">The </w:t>
      </w:r>
      <w:r w:rsidRPr="005A03BE">
        <w:rPr>
          <w:b/>
        </w:rPr>
        <w:t>2</w:t>
      </w:r>
      <w:r w:rsidRPr="005A03BE">
        <w:rPr>
          <w:rFonts w:cstheme="minorHAnsi"/>
          <w:b/>
        </w:rPr>
        <w:t>˚</w:t>
      </w:r>
      <w:r w:rsidRPr="005A03BE">
        <w:rPr>
          <w:b/>
        </w:rPr>
        <w:t>C (2Deg</w:t>
      </w:r>
      <w:r w:rsidR="002706C5" w:rsidRPr="005A03BE">
        <w:rPr>
          <w:b/>
        </w:rPr>
        <w:t>2020 and 2Deg2030</w:t>
      </w:r>
      <w:r w:rsidRPr="005A03BE">
        <w:rPr>
          <w:b/>
        </w:rPr>
        <w:t>)</w:t>
      </w:r>
      <w:r w:rsidRPr="005A03BE">
        <w:t xml:space="preserve"> scenario</w:t>
      </w:r>
      <w:r w:rsidR="002706C5" w:rsidRPr="005A03BE">
        <w:t>s</w:t>
      </w:r>
      <w:r w:rsidRPr="005A03BE">
        <w:t xml:space="preserve"> </w:t>
      </w:r>
      <w:r w:rsidR="002E44DC" w:rsidRPr="005A03BE">
        <w:t>assume that a radiative forcing target of 2.6 Wm</w:t>
      </w:r>
      <w:r w:rsidR="002E44DC" w:rsidRPr="005A03BE">
        <w:rPr>
          <w:vertAlign w:val="superscript"/>
        </w:rPr>
        <w:t>-2</w:t>
      </w:r>
      <w:r w:rsidR="002E44DC" w:rsidRPr="005A03BE">
        <w:t xml:space="preserve"> is reached by 2100</w:t>
      </w:r>
      <w:r w:rsidR="001A000E" w:rsidRPr="005A03BE">
        <w:t xml:space="preserve"> in a cost-effective way</w:t>
      </w:r>
      <w:r w:rsidR="00694F41" w:rsidRPr="005A03BE">
        <w:t>.</w:t>
      </w:r>
      <w:r w:rsidR="002E44DC" w:rsidRPr="005A03BE">
        <w:t xml:space="preserve"> National modelling teams can work with a carbon budget </w:t>
      </w:r>
      <w:r w:rsidR="00506665" w:rsidRPr="005A03BE">
        <w:t xml:space="preserve">derived from the global carbon budget </w:t>
      </w:r>
      <w:r w:rsidR="002E44DC" w:rsidRPr="005A03BE">
        <w:t>of 1000 Gt CO</w:t>
      </w:r>
      <w:r w:rsidR="002E44DC" w:rsidRPr="005A03BE">
        <w:rPr>
          <w:vertAlign w:val="subscript"/>
        </w:rPr>
        <w:t>2</w:t>
      </w:r>
      <w:r w:rsidR="002E44DC" w:rsidRPr="005A03BE">
        <w:t xml:space="preserve"> in the </w:t>
      </w:r>
      <w:r w:rsidR="001C796F" w:rsidRPr="005A03BE">
        <w:t>period 2011-2100 (including 2011</w:t>
      </w:r>
      <w:r w:rsidR="002E44DC" w:rsidRPr="005A03BE">
        <w:t xml:space="preserve"> emissions)</w:t>
      </w:r>
      <w:r w:rsidR="00506665" w:rsidRPr="005A03BE">
        <w:t xml:space="preserve">, as done in CD-LINKS (the </w:t>
      </w:r>
      <w:r w:rsidR="002706C5" w:rsidRPr="005A03BE">
        <w:t xml:space="preserve">‘2020_low’ budget for 2Deg 2020 and the </w:t>
      </w:r>
      <w:r w:rsidR="00506665" w:rsidRPr="005A03BE">
        <w:t>‘2030_low’ budget</w:t>
      </w:r>
      <w:r w:rsidR="002706C5" w:rsidRPr="005A03BE">
        <w:t xml:space="preserve"> for 2Deg 2030</w:t>
      </w:r>
      <w:r w:rsidR="00506665" w:rsidRPr="005A03BE">
        <w:t>)</w:t>
      </w:r>
      <w:r w:rsidR="001C796F" w:rsidRPr="005A03BE">
        <w:t>.</w:t>
      </w:r>
      <w:r w:rsidR="002706C5" w:rsidRPr="005A03BE">
        <w:t xml:space="preserve"> </w:t>
      </w:r>
      <w:r w:rsidR="00462AAE" w:rsidRPr="005A03BE">
        <w:t>Updated national carbon budget numbers</w:t>
      </w:r>
      <w:r w:rsidR="00D644DF" w:rsidRPr="005A03BE">
        <w:t xml:space="preserve"> for 2015-2050</w:t>
      </w:r>
      <w:r w:rsidR="00462AAE" w:rsidRPr="005A03BE">
        <w:t xml:space="preserve"> </w:t>
      </w:r>
      <w:r w:rsidR="00D644DF" w:rsidRPr="005A03BE">
        <w:t>are attached (</w:t>
      </w:r>
      <w:r w:rsidR="00D644DF" w:rsidRPr="005A03BE">
        <w:rPr>
          <w:i/>
        </w:rPr>
        <w:t>NationalCbudgetsCOMMIT.xlsx)</w:t>
      </w:r>
      <w:r w:rsidR="00462AAE" w:rsidRPr="005A03BE">
        <w:t>, including for the teams that did not participate in CD-LINKS, and distinguishing total CO</w:t>
      </w:r>
      <w:r w:rsidR="00462AAE" w:rsidRPr="005A03BE">
        <w:rPr>
          <w:vertAlign w:val="subscript"/>
        </w:rPr>
        <w:t>2</w:t>
      </w:r>
      <w:r w:rsidR="00462AAE" w:rsidRPr="005A03BE">
        <w:t xml:space="preserve"> and only CO</w:t>
      </w:r>
      <w:r w:rsidR="00462AAE" w:rsidRPr="005A03BE">
        <w:rPr>
          <w:vertAlign w:val="subscript"/>
        </w:rPr>
        <w:t>2</w:t>
      </w:r>
      <w:r w:rsidR="00462AAE" w:rsidRPr="005A03BE">
        <w:t xml:space="preserve"> from energy and industry for those models that do not represent land use. </w:t>
      </w:r>
      <w:r w:rsidR="002706C5" w:rsidRPr="005A03BE">
        <w:t>Global model teams can use the NPi2020_1000 (2Deg2020) and INDC2030_1000 (2Deg2030) scenarios.</w:t>
      </w:r>
    </w:p>
    <w:p w14:paraId="5F166E35" w14:textId="77777777" w:rsidR="00AC0853" w:rsidRPr="005A03BE" w:rsidRDefault="00AC0853" w:rsidP="00732299"/>
    <w:p w14:paraId="66CAC6DB" w14:textId="33887935" w:rsidR="00AC0853" w:rsidRPr="005A03BE" w:rsidRDefault="00732299" w:rsidP="001B1003">
      <w:pPr>
        <w:pStyle w:val="Heading1"/>
      </w:pPr>
      <w:bookmarkStart w:id="6" w:name="_Toc38530687"/>
      <w:r w:rsidRPr="005A03BE">
        <w:t>General specifications for all scenarios</w:t>
      </w:r>
      <w:bookmarkEnd w:id="6"/>
    </w:p>
    <w:p w14:paraId="7B77AE6F" w14:textId="7AA35397" w:rsidR="00B53F1D" w:rsidRPr="005A03BE" w:rsidRDefault="00B53F1D" w:rsidP="00B53F1D">
      <w:pPr>
        <w:pStyle w:val="Heading2"/>
      </w:pPr>
      <w:bookmarkStart w:id="7" w:name="_Toc38530688"/>
      <w:r w:rsidRPr="005A03BE">
        <w:t>Naming</w:t>
      </w:r>
      <w:bookmarkEnd w:id="7"/>
    </w:p>
    <w:p w14:paraId="3FF9E462" w14:textId="4BB51030" w:rsidR="0005109C" w:rsidRPr="005A03BE" w:rsidRDefault="00466B44" w:rsidP="00016C90">
      <w:r w:rsidRPr="005A03BE">
        <w:t xml:space="preserve">When uploading results to the IIASA database, scenario names as mentioned in the column Scenario id of </w:t>
      </w:r>
      <w:r w:rsidRPr="005A03BE">
        <w:fldChar w:fldCharType="begin"/>
      </w:r>
      <w:r w:rsidRPr="005A03BE">
        <w:instrText xml:space="preserve"> REF _Ref11332945 \h </w:instrText>
      </w:r>
      <w:r w:rsidR="005A03BE">
        <w:instrText xml:space="preserve"> \* MERGEFORMAT </w:instrText>
      </w:r>
      <w:r w:rsidRPr="005A03BE">
        <w:fldChar w:fldCharType="separate"/>
      </w:r>
      <w:r w:rsidR="00D1693B" w:rsidRPr="005A03BE">
        <w:t xml:space="preserve">Table </w:t>
      </w:r>
      <w:r w:rsidR="00D1693B" w:rsidRPr="005A03BE">
        <w:rPr>
          <w:noProof/>
        </w:rPr>
        <w:t>1</w:t>
      </w:r>
      <w:r w:rsidRPr="005A03BE">
        <w:fldChar w:fldCharType="end"/>
      </w:r>
      <w:r w:rsidRPr="005A03BE">
        <w:t xml:space="preserve"> should be used</w:t>
      </w:r>
      <w:r w:rsidR="008A0EAB" w:rsidRPr="005A03BE">
        <w:t xml:space="preserve"> with the extension of the version number, with _V</w:t>
      </w:r>
      <w:r w:rsidR="0005109C" w:rsidRPr="005A03BE">
        <w:t>4</w:t>
      </w:r>
      <w:r w:rsidR="008A0EAB" w:rsidRPr="005A03BE">
        <w:t xml:space="preserve"> for </w:t>
      </w:r>
      <w:r w:rsidR="0005109C" w:rsidRPr="005A03BE">
        <w:t>this round</w:t>
      </w:r>
      <w:r w:rsidR="008A0EAB" w:rsidRPr="005A03BE">
        <w:t>.</w:t>
      </w:r>
      <w:r w:rsidR="0005109C" w:rsidRPr="005A03BE">
        <w:t xml:space="preserve"> That means: please submit the following scenarios, regardless of whether you have submitted in previous rounds:</w:t>
      </w:r>
    </w:p>
    <w:p w14:paraId="396BC1AD" w14:textId="51A37902" w:rsidR="00016C90" w:rsidRPr="005A03BE" w:rsidRDefault="0005109C" w:rsidP="0005109C">
      <w:pPr>
        <w:pStyle w:val="ListParagraph"/>
        <w:numPr>
          <w:ilvl w:val="0"/>
          <w:numId w:val="2"/>
        </w:numPr>
        <w:rPr>
          <w:i/>
          <w:iCs/>
          <w:color w:val="162F33" w:themeColor="text2"/>
          <w:sz w:val="18"/>
          <w:szCs w:val="18"/>
          <w:lang w:val="en-US"/>
        </w:rPr>
      </w:pPr>
      <w:bookmarkStart w:id="8" w:name="_Hlk35938445"/>
      <w:r w:rsidRPr="005A03BE">
        <w:t>BAU_V4</w:t>
      </w:r>
    </w:p>
    <w:p w14:paraId="4DDF29E5" w14:textId="7C81CD67" w:rsidR="0005109C" w:rsidRPr="005A03BE" w:rsidRDefault="0005109C" w:rsidP="0005109C">
      <w:pPr>
        <w:pStyle w:val="ListParagraph"/>
        <w:numPr>
          <w:ilvl w:val="0"/>
          <w:numId w:val="2"/>
        </w:numPr>
        <w:rPr>
          <w:i/>
          <w:iCs/>
          <w:color w:val="162F33" w:themeColor="text2"/>
          <w:sz w:val="18"/>
          <w:szCs w:val="18"/>
          <w:lang w:val="en-US"/>
        </w:rPr>
      </w:pPr>
      <w:r w:rsidRPr="005A03BE">
        <w:t>CurPol_V4</w:t>
      </w:r>
    </w:p>
    <w:p w14:paraId="1AB1E87A" w14:textId="2416E526" w:rsidR="00E2126D" w:rsidRPr="005A03BE" w:rsidRDefault="00E2126D" w:rsidP="0005109C">
      <w:pPr>
        <w:pStyle w:val="ListParagraph"/>
        <w:numPr>
          <w:ilvl w:val="0"/>
          <w:numId w:val="2"/>
        </w:numPr>
        <w:rPr>
          <w:i/>
          <w:iCs/>
          <w:color w:val="162F33" w:themeColor="text2"/>
          <w:sz w:val="18"/>
          <w:szCs w:val="18"/>
          <w:lang w:val="en-US"/>
        </w:rPr>
      </w:pPr>
      <w:r w:rsidRPr="005A03BE">
        <w:t>NDCplus_V4</w:t>
      </w:r>
    </w:p>
    <w:p w14:paraId="7106ABD1" w14:textId="6C33F52F" w:rsidR="00E2126D" w:rsidRPr="005A03BE" w:rsidRDefault="00E2126D" w:rsidP="00E2126D">
      <w:pPr>
        <w:pStyle w:val="ListParagraph"/>
        <w:numPr>
          <w:ilvl w:val="1"/>
          <w:numId w:val="2"/>
        </w:numPr>
        <w:rPr>
          <w:i/>
          <w:iCs/>
          <w:color w:val="162F33" w:themeColor="text2"/>
          <w:szCs w:val="18"/>
          <w:lang w:val="en-US"/>
        </w:rPr>
      </w:pPr>
      <w:r w:rsidRPr="005A03BE">
        <w:rPr>
          <w:i/>
          <w:iCs/>
          <w:color w:val="162F33" w:themeColor="text2"/>
          <w:szCs w:val="18"/>
          <w:lang w:val="en-US"/>
        </w:rPr>
        <w:t>NDC_2050convergence_V4</w:t>
      </w:r>
    </w:p>
    <w:p w14:paraId="43DA9950" w14:textId="4EC7168A" w:rsidR="00E2126D" w:rsidRPr="005A03BE" w:rsidRDefault="0005109C" w:rsidP="00E2126D">
      <w:pPr>
        <w:pStyle w:val="ListParagraph"/>
        <w:numPr>
          <w:ilvl w:val="1"/>
          <w:numId w:val="2"/>
        </w:numPr>
        <w:rPr>
          <w:i/>
          <w:iCs/>
          <w:color w:val="162F33" w:themeColor="text2"/>
          <w:sz w:val="18"/>
          <w:szCs w:val="18"/>
          <w:lang w:val="en-US"/>
        </w:rPr>
      </w:pPr>
      <w:r w:rsidRPr="005A03BE">
        <w:rPr>
          <w:i/>
        </w:rPr>
        <w:t>NDCMCS_V4</w:t>
      </w:r>
    </w:p>
    <w:p w14:paraId="16975F6F" w14:textId="4F34CB10" w:rsidR="00152DAB" w:rsidRPr="005A03BE" w:rsidRDefault="00152DAB" w:rsidP="0005109C">
      <w:pPr>
        <w:pStyle w:val="ListParagraph"/>
        <w:numPr>
          <w:ilvl w:val="0"/>
          <w:numId w:val="2"/>
        </w:numPr>
        <w:rPr>
          <w:i/>
          <w:iCs/>
          <w:color w:val="162F33" w:themeColor="text2"/>
          <w:sz w:val="18"/>
          <w:szCs w:val="18"/>
          <w:lang w:val="en-US"/>
        </w:rPr>
      </w:pPr>
      <w:r w:rsidRPr="005A03BE">
        <w:t>GPP_V4</w:t>
      </w:r>
    </w:p>
    <w:p w14:paraId="375EF1D7" w14:textId="587719F9" w:rsidR="00152DAB" w:rsidRPr="005A03BE" w:rsidRDefault="00152DAB" w:rsidP="0005109C">
      <w:pPr>
        <w:pStyle w:val="ListParagraph"/>
        <w:numPr>
          <w:ilvl w:val="0"/>
          <w:numId w:val="2"/>
        </w:numPr>
        <w:rPr>
          <w:i/>
          <w:iCs/>
          <w:color w:val="162F33" w:themeColor="text2"/>
          <w:sz w:val="18"/>
          <w:szCs w:val="18"/>
          <w:lang w:val="en-US"/>
        </w:rPr>
      </w:pPr>
      <w:r w:rsidRPr="005A03BE">
        <w:t>Bridge_V4</w:t>
      </w:r>
    </w:p>
    <w:p w14:paraId="6C2C4271" w14:textId="382E5F5C" w:rsidR="00152DAB" w:rsidRPr="005A03BE" w:rsidRDefault="00152DAB" w:rsidP="0005109C">
      <w:pPr>
        <w:pStyle w:val="ListParagraph"/>
        <w:numPr>
          <w:ilvl w:val="0"/>
          <w:numId w:val="2"/>
        </w:numPr>
        <w:rPr>
          <w:i/>
          <w:iCs/>
          <w:color w:val="162F33" w:themeColor="text2"/>
          <w:sz w:val="18"/>
          <w:szCs w:val="18"/>
          <w:lang w:val="en-US"/>
        </w:rPr>
      </w:pPr>
      <w:r w:rsidRPr="005A03BE">
        <w:t>2Deg2020_V4</w:t>
      </w:r>
    </w:p>
    <w:p w14:paraId="77A7C7A7" w14:textId="0E5D05D3" w:rsidR="00AC0853" w:rsidRPr="005A03BE" w:rsidRDefault="00152DAB" w:rsidP="001B1003">
      <w:pPr>
        <w:pStyle w:val="ListParagraph"/>
        <w:numPr>
          <w:ilvl w:val="0"/>
          <w:numId w:val="2"/>
        </w:numPr>
        <w:rPr>
          <w:i/>
          <w:iCs/>
          <w:color w:val="162F33" w:themeColor="text2"/>
          <w:sz w:val="18"/>
          <w:szCs w:val="18"/>
          <w:lang w:val="en-US"/>
        </w:rPr>
      </w:pPr>
      <w:r w:rsidRPr="005A03BE">
        <w:t>2Deg2030_V4</w:t>
      </w:r>
      <w:bookmarkEnd w:id="8"/>
    </w:p>
    <w:p w14:paraId="75F1CC4E" w14:textId="48E4413E" w:rsidR="00016C90" w:rsidRPr="005A03BE" w:rsidRDefault="00016C90" w:rsidP="00016C90">
      <w:pPr>
        <w:pStyle w:val="Heading2"/>
      </w:pPr>
      <w:bookmarkStart w:id="9" w:name="_Toc38530689"/>
      <w:r w:rsidRPr="005A03BE">
        <w:lastRenderedPageBreak/>
        <w:t>Time horizon</w:t>
      </w:r>
      <w:bookmarkEnd w:id="9"/>
    </w:p>
    <w:p w14:paraId="796593CE" w14:textId="43572ACC" w:rsidR="00AC0853" w:rsidRPr="005A03BE" w:rsidRDefault="00AC0853" w:rsidP="00016C90">
      <w:r w:rsidRPr="005A03BE">
        <w:t>Models are requested to report f</w:t>
      </w:r>
      <w:r w:rsidR="00D97024" w:rsidRPr="005A03BE">
        <w:t xml:space="preserve">ive year intervals between </w:t>
      </w:r>
      <w:r w:rsidRPr="005A03BE">
        <w:t xml:space="preserve">2000 and 2020 and 10 year intervals thereafter. Up </w:t>
      </w:r>
      <w:r w:rsidR="005B3193" w:rsidRPr="005A03BE">
        <w:t xml:space="preserve">to </w:t>
      </w:r>
      <w:r w:rsidR="00506665" w:rsidRPr="005A03BE">
        <w:t xml:space="preserve">2050 </w:t>
      </w:r>
      <w:r w:rsidRPr="005A03BE">
        <w:t xml:space="preserve">or 2100 based on model specifications. </w:t>
      </w:r>
      <w:r w:rsidR="00887B84" w:rsidRPr="005A03BE">
        <w:t xml:space="preserve">For models that do not have 5-year time steps, targets for e.g. 2035 should be implemented by the nearest (later) year, </w:t>
      </w:r>
      <w:proofErr w:type="spellStart"/>
      <w:r w:rsidR="00887B84" w:rsidRPr="005A03BE">
        <w:t>i.c.</w:t>
      </w:r>
      <w:proofErr w:type="spellEnd"/>
      <w:r w:rsidR="00887B84" w:rsidRPr="005A03BE">
        <w:t xml:space="preserve"> 2040. For base year values, use the provided 2015 value if needed.</w:t>
      </w:r>
    </w:p>
    <w:p w14:paraId="0A04A2DB" w14:textId="1807B88C" w:rsidR="00B5111C" w:rsidRPr="005A03BE" w:rsidRDefault="00B5111C" w:rsidP="00AB351A">
      <w:pPr>
        <w:pStyle w:val="Heading2"/>
      </w:pPr>
      <w:bookmarkStart w:id="10" w:name="_Ref36741862"/>
      <w:bookmarkStart w:id="11" w:name="_Toc38530690"/>
      <w:r w:rsidRPr="005A03BE">
        <w:t>Post policy period</w:t>
      </w:r>
      <w:bookmarkEnd w:id="10"/>
      <w:bookmarkEnd w:id="11"/>
    </w:p>
    <w:p w14:paraId="2E087508" w14:textId="2AF828DB" w:rsidR="00AC0853" w:rsidRPr="005A03BE" w:rsidRDefault="00226759" w:rsidP="001B1003">
      <w:r w:rsidRPr="005A03BE">
        <w:t xml:space="preserve">For the Current policy, NDC/MCS and </w:t>
      </w:r>
      <w:r w:rsidR="0055196E" w:rsidRPr="005A03BE">
        <w:t xml:space="preserve">Good Practice Policy </w:t>
      </w:r>
      <w:r w:rsidRPr="005A03BE">
        <w:t xml:space="preserve">scenarios, the ambition levels reached in the target year should remain at least </w:t>
      </w:r>
      <w:r w:rsidR="00AB351A" w:rsidRPr="005A03BE">
        <w:t>constant throughout the rest of the century.</w:t>
      </w:r>
      <w:r w:rsidR="00131538" w:rsidRPr="005A03BE">
        <w:t xml:space="preserve"> </w:t>
      </w:r>
      <w:r w:rsidR="0062570B" w:rsidRPr="005A03BE">
        <w:t>This should be implemented by</w:t>
      </w:r>
      <w:r w:rsidR="00272B89" w:rsidRPr="005A03BE">
        <w:t xml:space="preserve"> extrapolating the </w:t>
      </w:r>
      <w:r w:rsidR="002A5560" w:rsidRPr="005A03BE">
        <w:t>“</w:t>
      </w:r>
      <w:r w:rsidR="00272B89" w:rsidRPr="005A03BE">
        <w:t>equivalent</w:t>
      </w:r>
      <w:r w:rsidR="002A5560" w:rsidRPr="005A03BE">
        <w:t>”</w:t>
      </w:r>
      <w:r w:rsidR="00272B89" w:rsidRPr="005A03BE">
        <w:t xml:space="preserve"> carbon price in 2030</w:t>
      </w:r>
      <w:r w:rsidR="00FC773E" w:rsidRPr="005A03BE">
        <w:t xml:space="preserve">, using the GDP growth rate </w:t>
      </w:r>
      <w:r w:rsidR="002A5560" w:rsidRPr="005A03BE">
        <w:t>of</w:t>
      </w:r>
      <w:r w:rsidR="00FC773E" w:rsidRPr="005A03BE">
        <w:t xml:space="preserve"> regions</w:t>
      </w:r>
      <w:r w:rsidR="00D47A0A" w:rsidRPr="005A03BE">
        <w:t>.</w:t>
      </w:r>
      <w:r w:rsidR="00B1170D" w:rsidRPr="005A03BE">
        <w:t xml:space="preserve"> </w:t>
      </w:r>
      <w:r w:rsidR="002A5560" w:rsidRPr="005A03BE">
        <w:t>The equivalent carbon price represents the value of carbon that would yield in a region the same emissions reduction as the NDC policies. For most modelling teams this requires to run a set of (cost-optimal) sensitivity scenarios in order to derive the carbon price that would result in the same reductions as in the NDC cases. Importantly, i</w:t>
      </w:r>
      <w:r w:rsidR="00B1170D" w:rsidRPr="005A03BE">
        <w:t xml:space="preserve">f a region has a carbon price of zero while implementing the (I)NDC in 2030, </w:t>
      </w:r>
      <w:r w:rsidR="002A5560" w:rsidRPr="005A03BE">
        <w:t xml:space="preserve">please assume a minimum carbon price </w:t>
      </w:r>
      <w:r w:rsidR="00B1170D" w:rsidRPr="005A03BE">
        <w:t>of 1 $/tCO</w:t>
      </w:r>
      <w:r w:rsidR="00B1170D" w:rsidRPr="005A03BE">
        <w:rPr>
          <w:vertAlign w:val="subscript"/>
        </w:rPr>
        <w:t>2</w:t>
      </w:r>
      <w:r w:rsidR="00B1170D" w:rsidRPr="005A03BE">
        <w:t xml:space="preserve"> in 2030 (= 8 $/tCO</w:t>
      </w:r>
      <w:r w:rsidR="00B1170D" w:rsidRPr="005A03BE">
        <w:rPr>
          <w:vertAlign w:val="subscript"/>
        </w:rPr>
        <w:t>2</w:t>
      </w:r>
      <w:r w:rsidR="00B1170D" w:rsidRPr="005A03BE">
        <w:t xml:space="preserve"> in 2100 with 3%/y GDP growth). If a region has a negative carbon price in 2030, offset the trajectory resulting from 1 $/tCO</w:t>
      </w:r>
      <w:r w:rsidR="00B1170D" w:rsidRPr="005A03BE">
        <w:rPr>
          <w:vertAlign w:val="subscript"/>
        </w:rPr>
        <w:t>2</w:t>
      </w:r>
      <w:r w:rsidR="00B1170D" w:rsidRPr="005A03BE">
        <w:t xml:space="preserve"> to your own 2030 starting point.</w:t>
      </w:r>
      <w:r w:rsidR="00D47A0A" w:rsidRPr="005A03BE">
        <w:t xml:space="preserve"> </w:t>
      </w:r>
      <w:r w:rsidR="004F2A74" w:rsidRPr="005A03BE">
        <w:t>For land use, a carbon price ceiling of $200/tCO</w:t>
      </w:r>
      <w:r w:rsidR="004F2A74" w:rsidRPr="005A03BE">
        <w:rPr>
          <w:vertAlign w:val="subscript"/>
        </w:rPr>
        <w:t>2</w:t>
      </w:r>
      <w:r w:rsidR="004F2A74" w:rsidRPr="005A03BE">
        <w:t xml:space="preserve"> should be applied.</w:t>
      </w:r>
    </w:p>
    <w:p w14:paraId="5C8928D7" w14:textId="0828757D" w:rsidR="00F37F10" w:rsidRPr="005A03BE" w:rsidRDefault="00F37F10" w:rsidP="00F37F10">
      <w:pPr>
        <w:rPr>
          <w:i/>
        </w:rPr>
      </w:pPr>
      <w:r w:rsidRPr="005A03BE">
        <w:rPr>
          <w:i/>
        </w:rPr>
        <w:t xml:space="preserve">Optional, additional scenario for global models: </w:t>
      </w:r>
      <w:r w:rsidRPr="005A03BE">
        <w:rPr>
          <w:b/>
          <w:i/>
        </w:rPr>
        <w:t>NDC_2050convergence</w:t>
      </w:r>
      <w:r w:rsidRPr="005A03BE">
        <w:rPr>
          <w:i/>
        </w:rPr>
        <w:t xml:space="preserve"> </w:t>
      </w:r>
    </w:p>
    <w:p w14:paraId="69C2ECE0" w14:textId="13D7E56C" w:rsidR="00F37F10" w:rsidRPr="005A03BE" w:rsidRDefault="00F37F10" w:rsidP="001B1003">
      <w:r w:rsidRPr="005A03BE">
        <w:rPr>
          <w:i/>
        </w:rPr>
        <w:t>In order to explore the implications of a scenario narrative "</w:t>
      </w:r>
      <w:r w:rsidRPr="005A03BE">
        <w:rPr>
          <w:i/>
          <w:lang w:val="en-US"/>
        </w:rPr>
        <w:t xml:space="preserve">if the 2050 MCS in all countries become similarly stringent as the NDC targets of OECD countries for 2030”, this scenario foresees a global convergence to a globally harmonized carbon price in 2050, at the level of  the average carbon prices in OECD countries (which are increasing  from 2030 onwards with regional GDP growth rates). </w:t>
      </w:r>
      <w:r w:rsidRPr="005A03BE">
        <w:rPr>
          <w:i/>
          <w:u w:val="single"/>
          <w:lang w:val="en-US"/>
        </w:rPr>
        <w:t>Exact calculation of carbon prices</w:t>
      </w:r>
      <w:r w:rsidRPr="005A03BE">
        <w:rPr>
          <w:i/>
          <w:lang w:val="en-US"/>
        </w:rPr>
        <w:t>: Initially, regional carbon prices after 2030 are taken from the NDC scenario where they are determined by applying the regional GDP growth rate to the effective carbon price in the region in 2030. The "global" carbon price for all years &gt; 2030 is then calculated as the GDP-weighted average carbon price of OECD regions. The regional carbon prices of all regions are then updated to converge from the effective carbon price in the region in 2030 (as in the NDC scenario) to this global level until 2050 (linear increase from regional 2030 carbon price to 2050 global carbon price). They are equal to the global trajectory for all timesteps 2050 and beyond. Only OECD regions with carbon prices higher than the "global" trajectory should stick to their original carbon price trajectory (maximum operator).</w:t>
      </w:r>
    </w:p>
    <w:p w14:paraId="70583452" w14:textId="1960B4E5" w:rsidR="00016C90" w:rsidRPr="005A03BE" w:rsidRDefault="00016C90" w:rsidP="00016C90">
      <w:pPr>
        <w:pStyle w:val="Heading2"/>
      </w:pPr>
      <w:bookmarkStart w:id="12" w:name="_Toc38530691"/>
      <w:r w:rsidRPr="005A03BE">
        <w:t>Regions</w:t>
      </w:r>
      <w:bookmarkEnd w:id="12"/>
    </w:p>
    <w:p w14:paraId="25DE2D44" w14:textId="4E9BA008" w:rsidR="00E64FD6" w:rsidRPr="005A03BE" w:rsidRDefault="00ED1A86" w:rsidP="00016C90">
      <w:r w:rsidRPr="005A03BE">
        <w:t>Apart from model specific regions, a mapping to the 5 RCP regions should be made</w:t>
      </w:r>
      <w:r w:rsidR="00506665" w:rsidRPr="005A03BE">
        <w:t xml:space="preserve"> by global models</w:t>
      </w:r>
      <w:r w:rsidRPr="005A03BE">
        <w:t>.</w:t>
      </w:r>
    </w:p>
    <w:p w14:paraId="2C367EA7" w14:textId="093DCFEB" w:rsidR="00AC0853" w:rsidRPr="005A03BE" w:rsidRDefault="00E64FD6" w:rsidP="00E64FD6">
      <w:pPr>
        <w:pStyle w:val="Heading2"/>
      </w:pPr>
      <w:bookmarkStart w:id="13" w:name="_Toc38530692"/>
      <w:r w:rsidRPr="005A03BE">
        <w:t>Policy coverage in the model</w:t>
      </w:r>
      <w:bookmarkEnd w:id="13"/>
    </w:p>
    <w:p w14:paraId="3004B695" w14:textId="19A347B8" w:rsidR="00DA22C5" w:rsidRPr="005A03BE" w:rsidRDefault="00E64FD6" w:rsidP="00E64FD6">
      <w:r w:rsidRPr="005A03BE">
        <w:t xml:space="preserve">If you are unable to implement the policy or target in the model, please adopt the provided proxy values instead. If that is not possible either, please indicate in the protocol spreadsheet which policies you were not able to capture. </w:t>
      </w:r>
      <w:r w:rsidR="001518BC" w:rsidRPr="005A03BE">
        <w:t xml:space="preserve">Proxy values </w:t>
      </w:r>
      <w:r w:rsidR="00D406FC" w:rsidRPr="005A03BE">
        <w:t xml:space="preserve">are </w:t>
      </w:r>
      <w:r w:rsidR="001518BC" w:rsidRPr="005A03BE">
        <w:t xml:space="preserve">provided </w:t>
      </w:r>
      <w:r w:rsidR="00D406FC" w:rsidRPr="005A03BE">
        <w:t xml:space="preserve">by </w:t>
      </w:r>
      <w:r w:rsidR="001518BC" w:rsidRPr="005A03BE">
        <w:t xml:space="preserve">IMAGE </w:t>
      </w:r>
      <w:r w:rsidR="00D406FC" w:rsidRPr="005A03BE">
        <w:t>in the tab ‘Indicators’</w:t>
      </w:r>
      <w:r w:rsidR="00D5781E" w:rsidRPr="005A03BE">
        <w:t>.</w:t>
      </w:r>
      <w:r w:rsidR="00DA22C5" w:rsidRPr="005A03BE">
        <w:t xml:space="preserve"> </w:t>
      </w:r>
    </w:p>
    <w:p w14:paraId="235E2A23" w14:textId="5671BEF3" w:rsidR="00E64FD6" w:rsidRPr="005A03BE" w:rsidRDefault="00DA22C5" w:rsidP="00E64FD6">
      <w:r w:rsidRPr="005A03BE">
        <w:t>For global sectors such as international aviation and shipping, measure 18 is included for aviation (no distinction between countries). For shipping, take the baseline trends (as no current policies are included for that sector).</w:t>
      </w:r>
    </w:p>
    <w:p w14:paraId="17E5DAEE" w14:textId="703C2671" w:rsidR="00EA313A" w:rsidRPr="005A03BE" w:rsidRDefault="00B53F1D" w:rsidP="001B1003">
      <w:pPr>
        <w:pStyle w:val="Heading1"/>
      </w:pPr>
      <w:bookmarkStart w:id="14" w:name="_Toc38530693"/>
      <w:r w:rsidRPr="005A03BE">
        <w:lastRenderedPageBreak/>
        <w:t xml:space="preserve">Detailed specifications of </w:t>
      </w:r>
      <w:r w:rsidR="00B5412D" w:rsidRPr="005A03BE">
        <w:t>scenarios</w:t>
      </w:r>
      <w:bookmarkEnd w:id="14"/>
    </w:p>
    <w:p w14:paraId="640DF19B" w14:textId="327043CD" w:rsidR="003A46FA" w:rsidRPr="005A03BE" w:rsidRDefault="003A46FA" w:rsidP="003A46FA">
      <w:pPr>
        <w:pStyle w:val="Heading2"/>
      </w:pPr>
      <w:bookmarkStart w:id="15" w:name="_Toc38530694"/>
      <w:r w:rsidRPr="005A03BE">
        <w:t>Updated CD-LINKS scenarios</w:t>
      </w:r>
      <w:bookmarkEnd w:id="15"/>
      <w:r w:rsidRPr="005A03BE">
        <w:t xml:space="preserve"> </w:t>
      </w:r>
    </w:p>
    <w:p w14:paraId="025D3623" w14:textId="7BDAE35B" w:rsidR="00B72A6D" w:rsidRPr="005A03BE" w:rsidRDefault="00B72A6D" w:rsidP="003A46FA">
      <w:r w:rsidRPr="005A03BE">
        <w:t xml:space="preserve">To a large degree, the scenarios </w:t>
      </w:r>
      <w:r w:rsidR="00D232F5" w:rsidRPr="005A03BE">
        <w:t xml:space="preserve">developed </w:t>
      </w:r>
      <w:r w:rsidRPr="005A03BE">
        <w:t xml:space="preserve">in the CD-LINKS project can be used. A mapping between the scenarios can be found in </w:t>
      </w:r>
      <w:r w:rsidRPr="005A03BE">
        <w:fldChar w:fldCharType="begin"/>
      </w:r>
      <w:r w:rsidRPr="005A03BE">
        <w:instrText xml:space="preserve"> REF _Ref13468833 \h </w:instrText>
      </w:r>
      <w:r w:rsidR="005A03BE">
        <w:instrText xml:space="preserve"> \* MERGEFORMAT </w:instrText>
      </w:r>
      <w:r w:rsidRPr="005A03BE">
        <w:fldChar w:fldCharType="separate"/>
      </w:r>
      <w:r w:rsidR="00D1693B" w:rsidRPr="005A03BE">
        <w:t xml:space="preserve">Table </w:t>
      </w:r>
      <w:r w:rsidR="00D1693B" w:rsidRPr="005A03BE">
        <w:rPr>
          <w:noProof/>
        </w:rPr>
        <w:t>2</w:t>
      </w:r>
      <w:r w:rsidRPr="005A03BE">
        <w:fldChar w:fldCharType="end"/>
      </w:r>
      <w:r w:rsidRPr="005A03BE">
        <w:t>. The third column indicates the novelty of the scenario. The fourth indicates the corresponding CD-LINKS protocol that can be used as reference.</w:t>
      </w:r>
      <w:r w:rsidR="003A46FA" w:rsidRPr="005A03BE">
        <w:t xml:space="preserve"> The table shows that, with the exception of the </w:t>
      </w:r>
      <w:r w:rsidR="0024203A" w:rsidRPr="005A03BE">
        <w:t xml:space="preserve">good practice policies / </w:t>
      </w:r>
      <w:r w:rsidR="00D232F5" w:rsidRPr="005A03BE">
        <w:t xml:space="preserve">bridging </w:t>
      </w:r>
      <w:r w:rsidR="00AA2A1F" w:rsidRPr="005A03BE">
        <w:t xml:space="preserve">and NDC-plus </w:t>
      </w:r>
      <w:r w:rsidR="003A46FA" w:rsidRPr="005A03BE">
        <w:t>scenario, the protocols from CD-LINKS can be used for all scenarios.</w:t>
      </w:r>
      <w:r w:rsidR="0045298A" w:rsidRPr="005A03BE">
        <w:t xml:space="preserve"> </w:t>
      </w:r>
      <w:r w:rsidR="0045298A" w:rsidRPr="005A03BE">
        <w:fldChar w:fldCharType="begin"/>
      </w:r>
      <w:r w:rsidR="0045298A" w:rsidRPr="005A03BE">
        <w:instrText xml:space="preserve"> REF _Ref14182585 \h </w:instrText>
      </w:r>
      <w:r w:rsidR="005A03BE">
        <w:instrText xml:space="preserve"> \* MERGEFORMAT </w:instrText>
      </w:r>
      <w:r w:rsidR="0045298A" w:rsidRPr="005A03BE">
        <w:fldChar w:fldCharType="separate"/>
      </w:r>
      <w:r w:rsidR="00D1693B" w:rsidRPr="005A03BE">
        <w:t xml:space="preserve">Figure </w:t>
      </w:r>
      <w:r w:rsidR="00D1693B" w:rsidRPr="005A03BE">
        <w:rPr>
          <w:noProof/>
        </w:rPr>
        <w:t>1</w:t>
      </w:r>
      <w:r w:rsidR="0045298A" w:rsidRPr="005A03BE">
        <w:fldChar w:fldCharType="end"/>
      </w:r>
      <w:r w:rsidR="0045298A" w:rsidRPr="005A03BE">
        <w:t xml:space="preserve"> gives an example of what the increasing ambition emission profiles might look like.</w:t>
      </w:r>
    </w:p>
    <w:p w14:paraId="7F614DB7" w14:textId="62AF6442" w:rsidR="00B72A6D" w:rsidRPr="005A03BE" w:rsidRDefault="00B72A6D" w:rsidP="00B72A6D">
      <w:pPr>
        <w:pStyle w:val="Caption"/>
        <w:keepNext/>
      </w:pPr>
      <w:bookmarkStart w:id="16" w:name="_Ref13468833"/>
      <w:r w:rsidRPr="005A03BE">
        <w:t xml:space="preserve">Table </w:t>
      </w:r>
      <w:r w:rsidRPr="005A03BE">
        <w:fldChar w:fldCharType="begin"/>
      </w:r>
      <w:r w:rsidRPr="005A03BE">
        <w:instrText xml:space="preserve"> SEQ Table \* ARABIC </w:instrText>
      </w:r>
      <w:r w:rsidRPr="005A03BE">
        <w:fldChar w:fldCharType="separate"/>
      </w:r>
      <w:r w:rsidR="00D1693B" w:rsidRPr="005A03BE">
        <w:rPr>
          <w:noProof/>
        </w:rPr>
        <w:t>2</w:t>
      </w:r>
      <w:r w:rsidRPr="005A03BE">
        <w:fldChar w:fldCharType="end"/>
      </w:r>
      <w:bookmarkEnd w:id="16"/>
      <w:r w:rsidRPr="005A03BE">
        <w:t>. Scenario mapping to CD-LINKS protocol</w:t>
      </w:r>
    </w:p>
    <w:tbl>
      <w:tblPr>
        <w:tblStyle w:val="GridTable4-Accent1"/>
        <w:tblW w:w="0" w:type="auto"/>
        <w:tblLook w:val="04A0" w:firstRow="1" w:lastRow="0" w:firstColumn="1" w:lastColumn="0" w:noHBand="0" w:noVBand="1"/>
      </w:tblPr>
      <w:tblGrid>
        <w:gridCol w:w="2125"/>
        <w:gridCol w:w="2991"/>
        <w:gridCol w:w="1838"/>
        <w:gridCol w:w="2442"/>
      </w:tblGrid>
      <w:tr w:rsidR="00B72A6D" w:rsidRPr="005A03BE" w14:paraId="61C2DEA8" w14:textId="77777777" w:rsidTr="002271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7" w:type="dxa"/>
          </w:tcPr>
          <w:p w14:paraId="52EF5DBD" w14:textId="77777777" w:rsidR="00B72A6D" w:rsidRPr="005A03BE" w:rsidRDefault="00B72A6D" w:rsidP="0022718E">
            <w:r w:rsidRPr="005A03BE">
              <w:t>Scenario name</w:t>
            </w:r>
          </w:p>
        </w:tc>
        <w:tc>
          <w:tcPr>
            <w:tcW w:w="2348" w:type="dxa"/>
          </w:tcPr>
          <w:p w14:paraId="43EC0A08" w14:textId="77777777" w:rsidR="00B72A6D" w:rsidRPr="005A03BE" w:rsidRDefault="00B72A6D" w:rsidP="0022718E">
            <w:pPr>
              <w:cnfStyle w:val="100000000000" w:firstRow="1" w:lastRow="0" w:firstColumn="0" w:lastColumn="0" w:oddVBand="0" w:evenVBand="0" w:oddHBand="0" w:evenHBand="0" w:firstRowFirstColumn="0" w:firstRowLastColumn="0" w:lastRowFirstColumn="0" w:lastRowLastColumn="0"/>
            </w:pPr>
            <w:r w:rsidRPr="005A03BE">
              <w:t>Scenario id</w:t>
            </w:r>
          </w:p>
        </w:tc>
        <w:tc>
          <w:tcPr>
            <w:tcW w:w="2053" w:type="dxa"/>
          </w:tcPr>
          <w:p w14:paraId="51499DBC" w14:textId="77777777" w:rsidR="00B72A6D" w:rsidRPr="005A03BE" w:rsidRDefault="00B72A6D" w:rsidP="0022718E">
            <w:pPr>
              <w:cnfStyle w:val="100000000000" w:firstRow="1" w:lastRow="0" w:firstColumn="0" w:lastColumn="0" w:oddVBand="0" w:evenVBand="0" w:oddHBand="0" w:evenHBand="0" w:firstRowFirstColumn="0" w:firstRowLastColumn="0" w:lastRowFirstColumn="0" w:lastRowLastColumn="0"/>
            </w:pPr>
            <w:r w:rsidRPr="005A03BE">
              <w:t>Novelty</w:t>
            </w:r>
          </w:p>
        </w:tc>
        <w:tc>
          <w:tcPr>
            <w:tcW w:w="2608" w:type="dxa"/>
          </w:tcPr>
          <w:p w14:paraId="1035246B" w14:textId="7DF01AF2" w:rsidR="00B72A6D" w:rsidRPr="005A03BE" w:rsidRDefault="00B72A6D" w:rsidP="0022718E">
            <w:pPr>
              <w:cnfStyle w:val="100000000000" w:firstRow="1" w:lastRow="0" w:firstColumn="0" w:lastColumn="0" w:oddVBand="0" w:evenVBand="0" w:oddHBand="0" w:evenHBand="0" w:firstRowFirstColumn="0" w:firstRowLastColumn="0" w:lastRowFirstColumn="0" w:lastRowLastColumn="0"/>
            </w:pPr>
            <w:r w:rsidRPr="005A03BE">
              <w:t>Protocol</w:t>
            </w:r>
            <w:r w:rsidR="0059309D" w:rsidRPr="005A03BE">
              <w:t xml:space="preserve"> (global / national models)</w:t>
            </w:r>
          </w:p>
        </w:tc>
      </w:tr>
      <w:tr w:rsidR="00B72A6D" w:rsidRPr="005A03BE" w14:paraId="29821E88" w14:textId="77777777" w:rsidTr="00227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7" w:type="dxa"/>
          </w:tcPr>
          <w:p w14:paraId="0BE4BF4E" w14:textId="77777777" w:rsidR="00B72A6D" w:rsidRPr="005A03BE" w:rsidRDefault="00B72A6D" w:rsidP="0022718E">
            <w:r w:rsidRPr="005A03BE">
              <w:t>Baseline</w:t>
            </w:r>
          </w:p>
        </w:tc>
        <w:tc>
          <w:tcPr>
            <w:tcW w:w="2348" w:type="dxa"/>
          </w:tcPr>
          <w:p w14:paraId="618BD8DE" w14:textId="77777777" w:rsidR="00B72A6D" w:rsidRPr="005A03BE" w:rsidRDefault="00B72A6D" w:rsidP="0022718E">
            <w:pPr>
              <w:cnfStyle w:val="000000100000" w:firstRow="0" w:lastRow="0" w:firstColumn="0" w:lastColumn="0" w:oddVBand="0" w:evenVBand="0" w:oddHBand="1" w:evenHBand="0" w:firstRowFirstColumn="0" w:firstRowLastColumn="0" w:lastRowFirstColumn="0" w:lastRowLastColumn="0"/>
            </w:pPr>
            <w:r w:rsidRPr="005A03BE">
              <w:t>BAU</w:t>
            </w:r>
          </w:p>
        </w:tc>
        <w:tc>
          <w:tcPr>
            <w:tcW w:w="2053" w:type="dxa"/>
          </w:tcPr>
          <w:p w14:paraId="4D0BAC11" w14:textId="5D46E7D8" w:rsidR="00B72A6D" w:rsidRPr="005A03BE" w:rsidRDefault="0045298A" w:rsidP="0022718E">
            <w:pPr>
              <w:cnfStyle w:val="000000100000" w:firstRow="0" w:lastRow="0" w:firstColumn="0" w:lastColumn="0" w:oddVBand="0" w:evenVBand="0" w:oddHBand="1" w:evenHBand="0" w:firstRowFirstColumn="0" w:firstRowLastColumn="0" w:lastRowFirstColumn="0" w:lastRowLastColumn="0"/>
              <w:rPr>
                <w:b/>
              </w:rPr>
            </w:pPr>
            <w:r w:rsidRPr="005A03BE">
              <w:rPr>
                <w:b/>
                <w:color w:val="9B9256" w:themeColor="accent3"/>
              </w:rPr>
              <w:t>Update</w:t>
            </w:r>
          </w:p>
        </w:tc>
        <w:tc>
          <w:tcPr>
            <w:tcW w:w="2608" w:type="dxa"/>
          </w:tcPr>
          <w:p w14:paraId="53D4E5D6" w14:textId="7969ABD0" w:rsidR="00B72A6D" w:rsidRPr="005A03BE" w:rsidRDefault="00B72A6D" w:rsidP="0022718E">
            <w:pPr>
              <w:cnfStyle w:val="000000100000" w:firstRow="0" w:lastRow="0" w:firstColumn="0" w:lastColumn="0" w:oddVBand="0" w:evenVBand="0" w:oddHBand="1" w:evenHBand="0" w:firstRowFirstColumn="0" w:firstRowLastColumn="0" w:lastRowFirstColumn="0" w:lastRowLastColumn="0"/>
            </w:pPr>
            <w:r w:rsidRPr="005A03BE">
              <w:t xml:space="preserve">CD-LINKS </w:t>
            </w:r>
            <w:proofErr w:type="spellStart"/>
            <w:r w:rsidRPr="005A03BE">
              <w:t>NoPolicy</w:t>
            </w:r>
            <w:proofErr w:type="spellEnd"/>
            <w:r w:rsidR="0059309D" w:rsidRPr="005A03BE">
              <w:t xml:space="preserve"> / </w:t>
            </w:r>
            <w:proofErr w:type="spellStart"/>
            <w:r w:rsidR="0059309D" w:rsidRPr="005A03BE">
              <w:t>NoPOL</w:t>
            </w:r>
            <w:proofErr w:type="spellEnd"/>
          </w:p>
        </w:tc>
      </w:tr>
      <w:tr w:rsidR="00B72A6D" w:rsidRPr="005A03BE" w14:paraId="62BFEC46" w14:textId="77777777" w:rsidTr="0022718E">
        <w:tc>
          <w:tcPr>
            <w:cnfStyle w:val="001000000000" w:firstRow="0" w:lastRow="0" w:firstColumn="1" w:lastColumn="0" w:oddVBand="0" w:evenVBand="0" w:oddHBand="0" w:evenHBand="0" w:firstRowFirstColumn="0" w:firstRowLastColumn="0" w:lastRowFirstColumn="0" w:lastRowLastColumn="0"/>
            <w:tcW w:w="2387" w:type="dxa"/>
          </w:tcPr>
          <w:p w14:paraId="7FDA0E6F" w14:textId="77777777" w:rsidR="00B72A6D" w:rsidRPr="005A03BE" w:rsidRDefault="00B72A6D" w:rsidP="0022718E">
            <w:r w:rsidRPr="005A03BE">
              <w:t>Current policy</w:t>
            </w:r>
          </w:p>
        </w:tc>
        <w:tc>
          <w:tcPr>
            <w:tcW w:w="2348" w:type="dxa"/>
          </w:tcPr>
          <w:p w14:paraId="6B68C004" w14:textId="77777777" w:rsidR="00B72A6D" w:rsidRPr="005A03BE" w:rsidRDefault="00B72A6D" w:rsidP="0022718E">
            <w:pPr>
              <w:cnfStyle w:val="000000000000" w:firstRow="0" w:lastRow="0" w:firstColumn="0" w:lastColumn="0" w:oddVBand="0" w:evenVBand="0" w:oddHBand="0" w:evenHBand="0" w:firstRowFirstColumn="0" w:firstRowLastColumn="0" w:lastRowFirstColumn="0" w:lastRowLastColumn="0"/>
            </w:pPr>
            <w:proofErr w:type="spellStart"/>
            <w:r w:rsidRPr="005A03BE">
              <w:t>CurPol</w:t>
            </w:r>
            <w:proofErr w:type="spellEnd"/>
          </w:p>
        </w:tc>
        <w:tc>
          <w:tcPr>
            <w:tcW w:w="2053" w:type="dxa"/>
          </w:tcPr>
          <w:p w14:paraId="2C9B57DC" w14:textId="77777777" w:rsidR="00B72A6D" w:rsidRPr="005A03BE" w:rsidRDefault="00B72A6D" w:rsidP="0022718E">
            <w:pPr>
              <w:cnfStyle w:val="000000000000" w:firstRow="0" w:lastRow="0" w:firstColumn="0" w:lastColumn="0" w:oddVBand="0" w:evenVBand="0" w:oddHBand="0" w:evenHBand="0" w:firstRowFirstColumn="0" w:firstRowLastColumn="0" w:lastRowFirstColumn="0" w:lastRowLastColumn="0"/>
              <w:rPr>
                <w:b/>
              </w:rPr>
            </w:pPr>
            <w:r w:rsidRPr="005A03BE">
              <w:rPr>
                <w:b/>
                <w:color w:val="657689" w:themeColor="accent4"/>
              </w:rPr>
              <w:t>Update</w:t>
            </w:r>
          </w:p>
        </w:tc>
        <w:tc>
          <w:tcPr>
            <w:tcW w:w="2608" w:type="dxa"/>
          </w:tcPr>
          <w:p w14:paraId="5E8656E1" w14:textId="632478D4" w:rsidR="00B72A6D" w:rsidRPr="005A03BE" w:rsidRDefault="00B72A6D" w:rsidP="0022718E">
            <w:pPr>
              <w:cnfStyle w:val="000000000000" w:firstRow="0" w:lastRow="0" w:firstColumn="0" w:lastColumn="0" w:oddVBand="0" w:evenVBand="0" w:oddHBand="0" w:evenHBand="0" w:firstRowFirstColumn="0" w:firstRowLastColumn="0" w:lastRowFirstColumn="0" w:lastRowLastColumn="0"/>
            </w:pPr>
            <w:r w:rsidRPr="005A03BE">
              <w:t xml:space="preserve">CD-LINKS </w:t>
            </w:r>
            <w:proofErr w:type="spellStart"/>
            <w:r w:rsidRPr="005A03BE">
              <w:t>NPi</w:t>
            </w:r>
            <w:proofErr w:type="spellEnd"/>
            <w:r w:rsidR="0059309D" w:rsidRPr="005A03BE">
              <w:t xml:space="preserve"> / </w:t>
            </w:r>
            <w:proofErr w:type="spellStart"/>
            <w:r w:rsidR="0059309D" w:rsidRPr="005A03BE">
              <w:t>NPi</w:t>
            </w:r>
            <w:proofErr w:type="spellEnd"/>
          </w:p>
        </w:tc>
      </w:tr>
      <w:tr w:rsidR="00B72A6D" w:rsidRPr="005A03BE" w14:paraId="20F5EA30" w14:textId="77777777" w:rsidTr="00227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7" w:type="dxa"/>
          </w:tcPr>
          <w:p w14:paraId="77D820E7" w14:textId="645E2B8B" w:rsidR="00B72A6D" w:rsidRPr="005A03BE" w:rsidRDefault="004248F5" w:rsidP="0022718E">
            <w:r w:rsidRPr="005A03BE">
              <w:t>NDC-plus</w:t>
            </w:r>
          </w:p>
        </w:tc>
        <w:tc>
          <w:tcPr>
            <w:tcW w:w="2348" w:type="dxa"/>
          </w:tcPr>
          <w:p w14:paraId="0058EE03" w14:textId="0BB97008" w:rsidR="00B72A6D" w:rsidRPr="005A03BE" w:rsidRDefault="00E2126D" w:rsidP="0022718E">
            <w:pPr>
              <w:cnfStyle w:val="000000100000" w:firstRow="0" w:lastRow="0" w:firstColumn="0" w:lastColumn="0" w:oddVBand="0" w:evenVBand="0" w:oddHBand="1" w:evenHBand="0" w:firstRowFirstColumn="0" w:firstRowLastColumn="0" w:lastRowFirstColumn="0" w:lastRowLastColumn="0"/>
            </w:pPr>
            <w:proofErr w:type="spellStart"/>
            <w:r w:rsidRPr="005A03BE">
              <w:t>NDCplus</w:t>
            </w:r>
            <w:proofErr w:type="spellEnd"/>
          </w:p>
          <w:p w14:paraId="26F7572B" w14:textId="77777777" w:rsidR="00E2126D" w:rsidRPr="005A03BE" w:rsidRDefault="00E2126D" w:rsidP="00E2126D">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i/>
              </w:rPr>
            </w:pPr>
            <w:r w:rsidRPr="005A03BE">
              <w:rPr>
                <w:i/>
              </w:rPr>
              <w:t>NDC_2050convergence</w:t>
            </w:r>
          </w:p>
          <w:p w14:paraId="39733834" w14:textId="3AAAA1DF" w:rsidR="00E2126D" w:rsidRPr="005A03BE" w:rsidRDefault="00E2126D" w:rsidP="00A202BD">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rsidRPr="005A03BE">
              <w:rPr>
                <w:i/>
              </w:rPr>
              <w:t>NDCMCS</w:t>
            </w:r>
          </w:p>
        </w:tc>
        <w:tc>
          <w:tcPr>
            <w:tcW w:w="2053" w:type="dxa"/>
          </w:tcPr>
          <w:p w14:paraId="143FE727" w14:textId="77777777" w:rsidR="00B72A6D" w:rsidRPr="005A03BE" w:rsidRDefault="00B72A6D" w:rsidP="0022718E">
            <w:pPr>
              <w:cnfStyle w:val="000000100000" w:firstRow="0" w:lastRow="0" w:firstColumn="0" w:lastColumn="0" w:oddVBand="0" w:evenVBand="0" w:oddHBand="1" w:evenHBand="0" w:firstRowFirstColumn="0" w:firstRowLastColumn="0" w:lastRowFirstColumn="0" w:lastRowLastColumn="0"/>
              <w:rPr>
                <w:b/>
              </w:rPr>
            </w:pPr>
            <w:r w:rsidRPr="005A03BE">
              <w:rPr>
                <w:b/>
                <w:color w:val="657689" w:themeColor="accent4"/>
              </w:rPr>
              <w:t>Update</w:t>
            </w:r>
          </w:p>
        </w:tc>
        <w:tc>
          <w:tcPr>
            <w:tcW w:w="2608" w:type="dxa"/>
          </w:tcPr>
          <w:p w14:paraId="729388D9" w14:textId="2AEE46C7" w:rsidR="00B72A6D" w:rsidRPr="005A03BE" w:rsidRDefault="00AA2A1F" w:rsidP="0022718E">
            <w:pPr>
              <w:cnfStyle w:val="000000100000" w:firstRow="0" w:lastRow="0" w:firstColumn="0" w:lastColumn="0" w:oddVBand="0" w:evenVBand="0" w:oddHBand="1" w:evenHBand="0" w:firstRowFirstColumn="0" w:firstRowLastColumn="0" w:lastRowFirstColumn="0" w:lastRowLastColumn="0"/>
            </w:pPr>
            <w:r w:rsidRPr="005A03BE">
              <w:t>New formulation (see this protocol)</w:t>
            </w:r>
          </w:p>
        </w:tc>
      </w:tr>
      <w:tr w:rsidR="00C7385B" w:rsidRPr="005A03BE" w14:paraId="1EDDEC87" w14:textId="77777777" w:rsidTr="0022718E">
        <w:tc>
          <w:tcPr>
            <w:cnfStyle w:val="001000000000" w:firstRow="0" w:lastRow="0" w:firstColumn="1" w:lastColumn="0" w:oddVBand="0" w:evenVBand="0" w:oddHBand="0" w:evenHBand="0" w:firstRowFirstColumn="0" w:firstRowLastColumn="0" w:lastRowFirstColumn="0" w:lastRowLastColumn="0"/>
            <w:tcW w:w="2387" w:type="dxa"/>
          </w:tcPr>
          <w:p w14:paraId="0CBF3C50" w14:textId="2789136D" w:rsidR="00C7385B" w:rsidRPr="005A03BE" w:rsidRDefault="00C7385B" w:rsidP="0022718E">
            <w:r w:rsidRPr="005A03BE">
              <w:t>Good practice policies</w:t>
            </w:r>
          </w:p>
        </w:tc>
        <w:tc>
          <w:tcPr>
            <w:tcW w:w="2348" w:type="dxa"/>
          </w:tcPr>
          <w:p w14:paraId="1F797D5D" w14:textId="57B28E07" w:rsidR="00C7385B" w:rsidRPr="005A03BE" w:rsidRDefault="00C7385B" w:rsidP="0022718E">
            <w:pPr>
              <w:cnfStyle w:val="000000000000" w:firstRow="0" w:lastRow="0" w:firstColumn="0" w:lastColumn="0" w:oddVBand="0" w:evenVBand="0" w:oddHBand="0" w:evenHBand="0" w:firstRowFirstColumn="0" w:firstRowLastColumn="0" w:lastRowFirstColumn="0" w:lastRowLastColumn="0"/>
            </w:pPr>
            <w:r w:rsidRPr="005A03BE">
              <w:t>GPP</w:t>
            </w:r>
          </w:p>
        </w:tc>
        <w:tc>
          <w:tcPr>
            <w:tcW w:w="2053" w:type="dxa"/>
          </w:tcPr>
          <w:p w14:paraId="12CB2A63" w14:textId="04CCBAF2" w:rsidR="00C7385B" w:rsidRPr="005A03BE" w:rsidRDefault="00C7385B" w:rsidP="0022718E">
            <w:pPr>
              <w:cnfStyle w:val="000000000000" w:firstRow="0" w:lastRow="0" w:firstColumn="0" w:lastColumn="0" w:oddVBand="0" w:evenVBand="0" w:oddHBand="0" w:evenHBand="0" w:firstRowFirstColumn="0" w:firstRowLastColumn="0" w:lastRowFirstColumn="0" w:lastRowLastColumn="0"/>
              <w:rPr>
                <w:b/>
                <w:color w:val="657689" w:themeColor="accent4"/>
              </w:rPr>
            </w:pPr>
            <w:r w:rsidRPr="005A03BE">
              <w:rPr>
                <w:b/>
                <w:color w:val="00B050"/>
              </w:rPr>
              <w:t>New</w:t>
            </w:r>
          </w:p>
        </w:tc>
        <w:tc>
          <w:tcPr>
            <w:tcW w:w="2608" w:type="dxa"/>
          </w:tcPr>
          <w:p w14:paraId="1725C407" w14:textId="69F53367" w:rsidR="00C7385B" w:rsidRPr="005A03BE" w:rsidRDefault="00C7385B" w:rsidP="0022718E">
            <w:pPr>
              <w:cnfStyle w:val="000000000000" w:firstRow="0" w:lastRow="0" w:firstColumn="0" w:lastColumn="0" w:oddVBand="0" w:evenVBand="0" w:oddHBand="0" w:evenHBand="0" w:firstRowFirstColumn="0" w:firstRowLastColumn="0" w:lastRowFirstColumn="0" w:lastRowLastColumn="0"/>
            </w:pPr>
            <w:r w:rsidRPr="005A03BE">
              <w:t>New (see spreadsheet)</w:t>
            </w:r>
          </w:p>
        </w:tc>
      </w:tr>
      <w:tr w:rsidR="00B72A6D" w:rsidRPr="005A03BE" w14:paraId="27AECB22" w14:textId="77777777" w:rsidTr="00227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7" w:type="dxa"/>
          </w:tcPr>
          <w:p w14:paraId="152608EF" w14:textId="14151BF2" w:rsidR="00B72A6D" w:rsidRPr="005A03BE" w:rsidRDefault="00666C05" w:rsidP="0022718E">
            <w:r w:rsidRPr="005A03BE">
              <w:t>Bridging</w:t>
            </w:r>
          </w:p>
        </w:tc>
        <w:tc>
          <w:tcPr>
            <w:tcW w:w="2348" w:type="dxa"/>
          </w:tcPr>
          <w:p w14:paraId="6F3175F7" w14:textId="5E9394DB" w:rsidR="00B72A6D" w:rsidRPr="005A03BE" w:rsidRDefault="00666C05" w:rsidP="0022718E">
            <w:pPr>
              <w:cnfStyle w:val="000000100000" w:firstRow="0" w:lastRow="0" w:firstColumn="0" w:lastColumn="0" w:oddVBand="0" w:evenVBand="0" w:oddHBand="1" w:evenHBand="0" w:firstRowFirstColumn="0" w:firstRowLastColumn="0" w:lastRowFirstColumn="0" w:lastRowLastColumn="0"/>
            </w:pPr>
            <w:r w:rsidRPr="005A03BE">
              <w:t>Bridge</w:t>
            </w:r>
          </w:p>
        </w:tc>
        <w:tc>
          <w:tcPr>
            <w:tcW w:w="2053" w:type="dxa"/>
          </w:tcPr>
          <w:p w14:paraId="578766F6" w14:textId="77777777" w:rsidR="00B72A6D" w:rsidRPr="005A03BE" w:rsidRDefault="00B72A6D" w:rsidP="0022718E">
            <w:pPr>
              <w:cnfStyle w:val="000000100000" w:firstRow="0" w:lastRow="0" w:firstColumn="0" w:lastColumn="0" w:oddVBand="0" w:evenVBand="0" w:oddHBand="1" w:evenHBand="0" w:firstRowFirstColumn="0" w:firstRowLastColumn="0" w:lastRowFirstColumn="0" w:lastRowLastColumn="0"/>
              <w:rPr>
                <w:b/>
              </w:rPr>
            </w:pPr>
            <w:r w:rsidRPr="005A03BE">
              <w:rPr>
                <w:b/>
                <w:color w:val="00B050"/>
              </w:rPr>
              <w:t>New</w:t>
            </w:r>
          </w:p>
        </w:tc>
        <w:tc>
          <w:tcPr>
            <w:tcW w:w="2608" w:type="dxa"/>
          </w:tcPr>
          <w:p w14:paraId="0085CA4E" w14:textId="64A77FCA" w:rsidR="00B72A6D" w:rsidRPr="005A03BE" w:rsidRDefault="00B72A6D" w:rsidP="0022718E">
            <w:pPr>
              <w:cnfStyle w:val="000000100000" w:firstRow="0" w:lastRow="0" w:firstColumn="0" w:lastColumn="0" w:oddVBand="0" w:evenVBand="0" w:oddHBand="1" w:evenHBand="0" w:firstRowFirstColumn="0" w:firstRowLastColumn="0" w:lastRowFirstColumn="0" w:lastRowLastColumn="0"/>
            </w:pPr>
            <w:r w:rsidRPr="005A03BE">
              <w:t>New</w:t>
            </w:r>
            <w:r w:rsidR="00C7385B" w:rsidRPr="005A03BE">
              <w:t xml:space="preserve"> (see spreadsheet)</w:t>
            </w:r>
          </w:p>
        </w:tc>
      </w:tr>
      <w:tr w:rsidR="00B72A6D" w:rsidRPr="005A03BE" w14:paraId="3C8FB0FF" w14:textId="77777777" w:rsidTr="0022718E">
        <w:tc>
          <w:tcPr>
            <w:cnfStyle w:val="001000000000" w:firstRow="0" w:lastRow="0" w:firstColumn="1" w:lastColumn="0" w:oddVBand="0" w:evenVBand="0" w:oddHBand="0" w:evenHBand="0" w:firstRowFirstColumn="0" w:firstRowLastColumn="0" w:lastRowFirstColumn="0" w:lastRowLastColumn="0"/>
            <w:tcW w:w="2387" w:type="dxa"/>
          </w:tcPr>
          <w:p w14:paraId="77B3A50D" w14:textId="21D332C8" w:rsidR="00B72A6D" w:rsidRPr="005A03BE" w:rsidRDefault="00B72A6D" w:rsidP="0022718E">
            <w:r w:rsidRPr="005A03BE">
              <w:t xml:space="preserve">2 </w:t>
            </w:r>
            <w:r w:rsidRPr="005A03BE">
              <w:rPr>
                <w:rFonts w:cstheme="minorHAnsi"/>
              </w:rPr>
              <w:t>˚</w:t>
            </w:r>
            <w:r w:rsidRPr="005A03BE">
              <w:t>C</w:t>
            </w:r>
            <w:r w:rsidR="00462AAE" w:rsidRPr="005A03BE">
              <w:t xml:space="preserve"> 2020</w:t>
            </w:r>
          </w:p>
        </w:tc>
        <w:tc>
          <w:tcPr>
            <w:tcW w:w="2348" w:type="dxa"/>
          </w:tcPr>
          <w:p w14:paraId="41CFD6ED" w14:textId="2090936E" w:rsidR="00B72A6D" w:rsidRPr="005A03BE" w:rsidRDefault="00B72A6D" w:rsidP="0022718E">
            <w:pPr>
              <w:cnfStyle w:val="000000000000" w:firstRow="0" w:lastRow="0" w:firstColumn="0" w:lastColumn="0" w:oddVBand="0" w:evenVBand="0" w:oddHBand="0" w:evenHBand="0" w:firstRowFirstColumn="0" w:firstRowLastColumn="0" w:lastRowFirstColumn="0" w:lastRowLastColumn="0"/>
            </w:pPr>
            <w:r w:rsidRPr="005A03BE">
              <w:t>2Deg</w:t>
            </w:r>
            <w:r w:rsidR="00462AAE" w:rsidRPr="005A03BE">
              <w:t>2020</w:t>
            </w:r>
          </w:p>
        </w:tc>
        <w:tc>
          <w:tcPr>
            <w:tcW w:w="2053" w:type="dxa"/>
          </w:tcPr>
          <w:p w14:paraId="5D75133E" w14:textId="75B91584" w:rsidR="00B72A6D" w:rsidRPr="005A03BE" w:rsidRDefault="00EA313A" w:rsidP="0022718E">
            <w:pPr>
              <w:cnfStyle w:val="000000000000" w:firstRow="0" w:lastRow="0" w:firstColumn="0" w:lastColumn="0" w:oddVBand="0" w:evenVBand="0" w:oddHBand="0" w:evenHBand="0" w:firstRowFirstColumn="0" w:firstRowLastColumn="0" w:lastRowFirstColumn="0" w:lastRowLastColumn="0"/>
              <w:rPr>
                <w:b/>
              </w:rPr>
            </w:pPr>
            <w:r w:rsidRPr="005A03BE">
              <w:rPr>
                <w:b/>
                <w:color w:val="9B9256" w:themeColor="accent3"/>
              </w:rPr>
              <w:t>Update</w:t>
            </w:r>
          </w:p>
        </w:tc>
        <w:tc>
          <w:tcPr>
            <w:tcW w:w="2608" w:type="dxa"/>
          </w:tcPr>
          <w:p w14:paraId="6F7026DC" w14:textId="12AFF791" w:rsidR="00B72A6D" w:rsidRPr="005A03BE" w:rsidRDefault="00B72A6D" w:rsidP="0022718E">
            <w:pPr>
              <w:cnfStyle w:val="000000000000" w:firstRow="0" w:lastRow="0" w:firstColumn="0" w:lastColumn="0" w:oddVBand="0" w:evenVBand="0" w:oddHBand="0" w:evenHBand="0" w:firstRowFirstColumn="0" w:firstRowLastColumn="0" w:lastRowFirstColumn="0" w:lastRowLastColumn="0"/>
            </w:pPr>
            <w:r w:rsidRPr="005A03BE">
              <w:t xml:space="preserve">CD-LINKS </w:t>
            </w:r>
            <w:r w:rsidR="00462AAE" w:rsidRPr="005A03BE">
              <w:t>NPi2020</w:t>
            </w:r>
            <w:r w:rsidRPr="005A03BE">
              <w:t>_1000</w:t>
            </w:r>
            <w:r w:rsidR="0059309D" w:rsidRPr="005A03BE">
              <w:t xml:space="preserve"> / </w:t>
            </w:r>
            <w:r w:rsidR="00462AAE" w:rsidRPr="005A03BE">
              <w:t>NPi2020</w:t>
            </w:r>
            <w:r w:rsidR="0059309D" w:rsidRPr="005A03BE">
              <w:t>_low</w:t>
            </w:r>
          </w:p>
        </w:tc>
      </w:tr>
      <w:tr w:rsidR="00462AAE" w:rsidRPr="005A03BE" w14:paraId="5FDEFB10" w14:textId="77777777" w:rsidTr="00227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7" w:type="dxa"/>
          </w:tcPr>
          <w:p w14:paraId="5C6958C4" w14:textId="037122ED" w:rsidR="00462AAE" w:rsidRPr="005A03BE" w:rsidRDefault="00462AAE" w:rsidP="0022718E">
            <w:r w:rsidRPr="005A03BE">
              <w:t xml:space="preserve">2 </w:t>
            </w:r>
            <w:r w:rsidRPr="005A03BE">
              <w:rPr>
                <w:rFonts w:cstheme="minorHAnsi"/>
              </w:rPr>
              <w:t>˚</w:t>
            </w:r>
            <w:r w:rsidRPr="005A03BE">
              <w:t>C 2030</w:t>
            </w:r>
          </w:p>
        </w:tc>
        <w:tc>
          <w:tcPr>
            <w:tcW w:w="2348" w:type="dxa"/>
          </w:tcPr>
          <w:p w14:paraId="507F37C9" w14:textId="7DD41B75" w:rsidR="00462AAE" w:rsidRPr="005A03BE" w:rsidRDefault="00462AAE" w:rsidP="0022718E">
            <w:pPr>
              <w:cnfStyle w:val="000000100000" w:firstRow="0" w:lastRow="0" w:firstColumn="0" w:lastColumn="0" w:oddVBand="0" w:evenVBand="0" w:oddHBand="1" w:evenHBand="0" w:firstRowFirstColumn="0" w:firstRowLastColumn="0" w:lastRowFirstColumn="0" w:lastRowLastColumn="0"/>
            </w:pPr>
            <w:r w:rsidRPr="005A03BE">
              <w:t>2Deg2030</w:t>
            </w:r>
          </w:p>
        </w:tc>
        <w:tc>
          <w:tcPr>
            <w:tcW w:w="2053" w:type="dxa"/>
          </w:tcPr>
          <w:p w14:paraId="3B8BF907" w14:textId="6FEB2C0A" w:rsidR="00462AAE" w:rsidRPr="005A03BE" w:rsidRDefault="00462AAE" w:rsidP="0022718E">
            <w:pPr>
              <w:cnfStyle w:val="000000100000" w:firstRow="0" w:lastRow="0" w:firstColumn="0" w:lastColumn="0" w:oddVBand="0" w:evenVBand="0" w:oddHBand="1" w:evenHBand="0" w:firstRowFirstColumn="0" w:firstRowLastColumn="0" w:lastRowFirstColumn="0" w:lastRowLastColumn="0"/>
              <w:rPr>
                <w:b/>
                <w:color w:val="9B9256" w:themeColor="accent3"/>
              </w:rPr>
            </w:pPr>
            <w:r w:rsidRPr="005A03BE">
              <w:rPr>
                <w:b/>
                <w:color w:val="9B9256" w:themeColor="accent3"/>
              </w:rPr>
              <w:t>Update</w:t>
            </w:r>
          </w:p>
        </w:tc>
        <w:tc>
          <w:tcPr>
            <w:tcW w:w="2608" w:type="dxa"/>
          </w:tcPr>
          <w:p w14:paraId="03DD67AD" w14:textId="30C7D6AC" w:rsidR="00462AAE" w:rsidRPr="005A03BE" w:rsidRDefault="00462AAE" w:rsidP="0022718E">
            <w:pPr>
              <w:cnfStyle w:val="000000100000" w:firstRow="0" w:lastRow="0" w:firstColumn="0" w:lastColumn="0" w:oddVBand="0" w:evenVBand="0" w:oddHBand="1" w:evenHBand="0" w:firstRowFirstColumn="0" w:firstRowLastColumn="0" w:lastRowFirstColumn="0" w:lastRowLastColumn="0"/>
            </w:pPr>
            <w:r w:rsidRPr="005A03BE">
              <w:t>CD-LINKS INDC2030i_1000 / INDC2030_low</w:t>
            </w:r>
          </w:p>
        </w:tc>
      </w:tr>
    </w:tbl>
    <w:p w14:paraId="6F85EFD7" w14:textId="04393106" w:rsidR="00B72A6D" w:rsidRPr="005A03BE" w:rsidRDefault="00B72A6D" w:rsidP="00B72A6D"/>
    <w:p w14:paraId="2408851C" w14:textId="77777777" w:rsidR="0045298A" w:rsidRPr="005A03BE" w:rsidRDefault="0045298A" w:rsidP="0045298A">
      <w:pPr>
        <w:keepNext/>
      </w:pPr>
      <w:r w:rsidRPr="005A03BE">
        <w:rPr>
          <w:noProof/>
        </w:rPr>
        <w:lastRenderedPageBreak/>
        <w:drawing>
          <wp:inline distT="0" distB="0" distL="0" distR="0" wp14:anchorId="0488099B" wp14:editId="75E82CD5">
            <wp:extent cx="4584700" cy="27559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211A67B5" w14:textId="509694D7" w:rsidR="0045298A" w:rsidRPr="005A03BE" w:rsidRDefault="0045298A" w:rsidP="0045298A">
      <w:pPr>
        <w:pStyle w:val="Caption"/>
      </w:pPr>
      <w:bookmarkStart w:id="17" w:name="_Ref14182585"/>
      <w:r w:rsidRPr="005A03BE">
        <w:t xml:space="preserve">Figure </w:t>
      </w:r>
      <w:r w:rsidRPr="005A03BE">
        <w:fldChar w:fldCharType="begin"/>
      </w:r>
      <w:r w:rsidRPr="005A03BE">
        <w:instrText xml:space="preserve"> SEQ Figure \* ARABIC </w:instrText>
      </w:r>
      <w:r w:rsidRPr="005A03BE">
        <w:fldChar w:fldCharType="separate"/>
      </w:r>
      <w:r w:rsidR="00D1693B" w:rsidRPr="005A03BE">
        <w:rPr>
          <w:noProof/>
        </w:rPr>
        <w:t>1</w:t>
      </w:r>
      <w:r w:rsidRPr="005A03BE">
        <w:fldChar w:fldCharType="end"/>
      </w:r>
      <w:bookmarkEnd w:id="17"/>
      <w:r w:rsidRPr="005A03BE">
        <w:t>. Example of emission profiles</w:t>
      </w:r>
      <w:r w:rsidR="00ED4016" w:rsidRPr="005A03BE">
        <w:t xml:space="preserve"> (note: the green ‘Bridge scenario’ actually represents the GPP scenario – the true </w:t>
      </w:r>
      <w:proofErr w:type="spellStart"/>
      <w:r w:rsidR="00ED4016" w:rsidRPr="005A03BE">
        <w:t>Bidge</w:t>
      </w:r>
      <w:proofErr w:type="spellEnd"/>
      <w:r w:rsidR="00ED4016" w:rsidRPr="005A03BE">
        <w:t xml:space="preserve"> scenario would be in between the green line and grey dashed line)</w:t>
      </w:r>
      <w:r w:rsidRPr="005A03BE">
        <w:t>.</w:t>
      </w:r>
      <w:r w:rsidR="00AA2A1F" w:rsidRPr="005A03BE">
        <w:t xml:space="preserve"> The NDCMCS scenario is now optional (for national models) – instead, the </w:t>
      </w:r>
      <w:proofErr w:type="spellStart"/>
      <w:r w:rsidR="00AA2A1F" w:rsidRPr="005A03BE">
        <w:t>NDCplus</w:t>
      </w:r>
      <w:proofErr w:type="spellEnd"/>
      <w:r w:rsidR="00AA2A1F" w:rsidRPr="005A03BE">
        <w:t xml:space="preserve"> scenario would be more stringent than shown here.</w:t>
      </w:r>
    </w:p>
    <w:p w14:paraId="1AF86C0B" w14:textId="0C230B9C" w:rsidR="00675B4E" w:rsidRPr="005A03BE" w:rsidRDefault="00C7385B" w:rsidP="00B5412D">
      <w:pPr>
        <w:pStyle w:val="Heading2"/>
      </w:pPr>
      <w:bookmarkStart w:id="18" w:name="_Toc38530695"/>
      <w:r w:rsidRPr="005A03BE">
        <w:t xml:space="preserve">Good practice policies and </w:t>
      </w:r>
      <w:r w:rsidR="00666C05" w:rsidRPr="005A03BE">
        <w:t>Bridging</w:t>
      </w:r>
      <w:r w:rsidR="00675B4E" w:rsidRPr="005A03BE">
        <w:t xml:space="preserve"> scenario</w:t>
      </w:r>
      <w:r w:rsidRPr="005A03BE">
        <w:t>s</w:t>
      </w:r>
      <w:bookmarkEnd w:id="18"/>
    </w:p>
    <w:p w14:paraId="32C218F9" w14:textId="235F8FC1" w:rsidR="00CD44F5" w:rsidRPr="005A03BE" w:rsidRDefault="00961C92" w:rsidP="00732299">
      <w:r w:rsidRPr="005A03BE">
        <w:t>The</w:t>
      </w:r>
      <w:r w:rsidR="00A32E63" w:rsidRPr="005A03BE">
        <w:t xml:space="preserve"> list of policies</w:t>
      </w:r>
      <w:r w:rsidR="00C7385B" w:rsidRPr="005A03BE">
        <w:t xml:space="preserve"> to be implemented</w:t>
      </w:r>
      <w:r w:rsidR="00A32E63" w:rsidRPr="005A03BE">
        <w:t xml:space="preserve"> is given in the </w:t>
      </w:r>
      <w:r w:rsidR="00143225" w:rsidRPr="005A03BE">
        <w:rPr>
          <w:i/>
        </w:rPr>
        <w:t xml:space="preserve">Bridging Scenario </w:t>
      </w:r>
      <w:r w:rsidR="00A32E63" w:rsidRPr="005A03BE">
        <w:rPr>
          <w:i/>
        </w:rPr>
        <w:t>GPP</w:t>
      </w:r>
      <w:r w:rsidR="00143225" w:rsidRPr="005A03BE">
        <w:rPr>
          <w:i/>
        </w:rPr>
        <w:t xml:space="preserve"> list</w:t>
      </w:r>
      <w:r w:rsidR="00D644DF" w:rsidRPr="005A03BE">
        <w:rPr>
          <w:i/>
        </w:rPr>
        <w:t xml:space="preserve"> </w:t>
      </w:r>
      <w:r w:rsidR="00891A2C" w:rsidRPr="00610545">
        <w:rPr>
          <w:i/>
        </w:rPr>
        <w:t>20</w:t>
      </w:r>
      <w:r w:rsidR="00F80784" w:rsidRPr="00610545">
        <w:rPr>
          <w:i/>
        </w:rPr>
        <w:t xml:space="preserve"> April 2020</w:t>
      </w:r>
      <w:r w:rsidR="00A32E63" w:rsidRPr="00610545">
        <w:rPr>
          <w:i/>
        </w:rPr>
        <w:t>.xlsx</w:t>
      </w:r>
      <w:r w:rsidR="00A32E63" w:rsidRPr="005A03BE">
        <w:t xml:space="preserve"> spreadsheet</w:t>
      </w:r>
      <w:r w:rsidRPr="005A03BE">
        <w:t xml:space="preserve"> (they are based on previous studies as indicated in the sheet “underlying information”</w:t>
      </w:r>
      <w:r w:rsidR="005B3193" w:rsidRPr="005A03BE">
        <w:t>,</w:t>
      </w:r>
      <w:r w:rsidRPr="005A03BE">
        <w:t xml:space="preserve"> which marks </w:t>
      </w:r>
      <w:r w:rsidR="00A32E63" w:rsidRPr="005A03BE">
        <w:t xml:space="preserve">as </w:t>
      </w:r>
      <w:r w:rsidR="00A32E63" w:rsidRPr="005A03BE">
        <w:rPr>
          <w:i/>
        </w:rPr>
        <w:t>Kriegler</w:t>
      </w:r>
      <w:r w:rsidR="00FF5B17" w:rsidRPr="005A03BE">
        <w:t xml:space="preserve">, </w:t>
      </w:r>
      <w:r w:rsidR="00FF5B17" w:rsidRPr="005A03BE">
        <w:rPr>
          <w:i/>
        </w:rPr>
        <w:t>Fekete or</w:t>
      </w:r>
      <w:r w:rsidR="00A32E63" w:rsidRPr="005A03BE">
        <w:t xml:space="preserve"> </w:t>
      </w:r>
      <w:r w:rsidR="00A32E63" w:rsidRPr="005A03BE">
        <w:rPr>
          <w:i/>
        </w:rPr>
        <w:t>Roelfsema</w:t>
      </w:r>
      <w:r w:rsidR="005B3193" w:rsidRPr="005A03BE">
        <w:rPr>
          <w:i/>
        </w:rPr>
        <w:t>).</w:t>
      </w:r>
      <w:r w:rsidR="00A32E63" w:rsidRPr="005A03BE">
        <w:t xml:space="preserve"> </w:t>
      </w:r>
      <w:r w:rsidR="00CD44F5" w:rsidRPr="005A03BE">
        <w:t>Note that these ‘policies’ are mostly physical measures, without the policy instruments to implement them (given that those are context dependent).</w:t>
      </w:r>
    </w:p>
    <w:p w14:paraId="62073BCF" w14:textId="5DA58A93" w:rsidR="003E4C5E" w:rsidRPr="005A03BE" w:rsidRDefault="00A8150C" w:rsidP="00732299">
      <w:r w:rsidRPr="00610545">
        <w:t xml:space="preserve">By </w:t>
      </w:r>
      <w:r w:rsidR="009078B6" w:rsidRPr="00610545">
        <w:t>9 September</w:t>
      </w:r>
      <w:r w:rsidRPr="00610545">
        <w:t xml:space="preserve">, </w:t>
      </w:r>
      <w:r w:rsidR="00743056" w:rsidRPr="005A03BE">
        <w:t xml:space="preserve">national </w:t>
      </w:r>
      <w:r w:rsidRPr="005A03BE">
        <w:t>t</w:t>
      </w:r>
      <w:r w:rsidR="007A4EDC" w:rsidRPr="005A03BE">
        <w:t>eams should indicate, for every entry in the spreadsheet, whether they</w:t>
      </w:r>
      <w:r w:rsidR="003E4C5E" w:rsidRPr="005A03BE">
        <w:t>:</w:t>
      </w:r>
    </w:p>
    <w:p w14:paraId="5399F3F3" w14:textId="0053E630" w:rsidR="003E4C5E" w:rsidRPr="005A03BE" w:rsidRDefault="00961C92" w:rsidP="003E4C5E">
      <w:pPr>
        <w:pStyle w:val="ListParagraph"/>
        <w:numPr>
          <w:ilvl w:val="0"/>
          <w:numId w:val="12"/>
        </w:numPr>
      </w:pPr>
      <w:r w:rsidRPr="005A03BE">
        <w:t>Believe these policies would be feasible to implement in their country as stated</w:t>
      </w:r>
      <w:r w:rsidR="005B3193" w:rsidRPr="005A03BE">
        <w:t>,</w:t>
      </w:r>
      <w:r w:rsidRPr="005A03BE">
        <w:t xml:space="preserve"> </w:t>
      </w:r>
    </w:p>
    <w:p w14:paraId="63EFCAD2" w14:textId="2DB27B9B" w:rsidR="003E4C5E" w:rsidRPr="005A03BE" w:rsidRDefault="005B3193" w:rsidP="003E4C5E">
      <w:pPr>
        <w:pStyle w:val="ListParagraph"/>
        <w:numPr>
          <w:ilvl w:val="0"/>
          <w:numId w:val="12"/>
        </w:numPr>
      </w:pPr>
      <w:r w:rsidRPr="005A03BE">
        <w:t>Are a</w:t>
      </w:r>
      <w:r w:rsidR="003E4C5E" w:rsidRPr="005A03BE">
        <w:t>ble to implement an adjusted form of the policy (e.g. lower ambition, later implementation year), or</w:t>
      </w:r>
    </w:p>
    <w:p w14:paraId="20009869" w14:textId="3C45924E" w:rsidR="003E4C5E" w:rsidRPr="005A03BE" w:rsidRDefault="005B3193" w:rsidP="003E4C5E">
      <w:pPr>
        <w:pStyle w:val="ListParagraph"/>
        <w:numPr>
          <w:ilvl w:val="0"/>
          <w:numId w:val="12"/>
        </w:numPr>
      </w:pPr>
      <w:r w:rsidRPr="005A03BE">
        <w:t>Are n</w:t>
      </w:r>
      <w:r w:rsidR="003E4C5E" w:rsidRPr="005A03BE">
        <w:t>ot able to implement the policy as denoted or an adjusted fo</w:t>
      </w:r>
      <w:r w:rsidR="008F320B" w:rsidRPr="005A03BE">
        <w:t>r</w:t>
      </w:r>
      <w:r w:rsidR="003E4C5E" w:rsidRPr="005A03BE">
        <w:t>m of the policy</w:t>
      </w:r>
      <w:r w:rsidRPr="005A03BE">
        <w:t>.</w:t>
      </w:r>
    </w:p>
    <w:p w14:paraId="5282328E" w14:textId="220EC5DF" w:rsidR="00B5111C" w:rsidRPr="005A03BE" w:rsidRDefault="007A4EDC" w:rsidP="003E4C5E">
      <w:r w:rsidRPr="005A03BE">
        <w:t>Furthermore, teams are encouraged to add</w:t>
      </w:r>
      <w:r w:rsidR="00434230" w:rsidRPr="005A03BE">
        <w:t xml:space="preserve"> optional</w:t>
      </w:r>
      <w:r w:rsidRPr="005A03BE">
        <w:t xml:space="preserve"> policies </w:t>
      </w:r>
      <w:r w:rsidR="008F320B" w:rsidRPr="005A03BE">
        <w:t xml:space="preserve">that </w:t>
      </w:r>
      <w:r w:rsidR="00434230" w:rsidRPr="005A03BE">
        <w:t>might apply to their</w:t>
      </w:r>
      <w:r w:rsidRPr="005A03BE">
        <w:t xml:space="preserve"> </w:t>
      </w:r>
      <w:r w:rsidR="00434230" w:rsidRPr="005A03BE">
        <w:t>national circumstances.</w:t>
      </w:r>
      <w:r w:rsidR="00143225" w:rsidRPr="005A03BE">
        <w:t xml:space="preserve"> The comments and suggestions have been stored in the tab ‘Team comments’.</w:t>
      </w:r>
    </w:p>
    <w:p w14:paraId="02EEBD32" w14:textId="5C42D481" w:rsidR="00DB1147" w:rsidRPr="005A03BE" w:rsidRDefault="00C7385B" w:rsidP="003E4C5E">
      <w:r w:rsidRPr="005A03BE">
        <w:t xml:space="preserve">In the </w:t>
      </w:r>
      <w:r w:rsidRPr="005A03BE">
        <w:rPr>
          <w:b/>
        </w:rPr>
        <w:t>good practice policies</w:t>
      </w:r>
      <w:r w:rsidRPr="005A03BE">
        <w:t xml:space="preserve"> scenario, t</w:t>
      </w:r>
      <w:r w:rsidR="00A275E0" w:rsidRPr="005A03BE">
        <w:t xml:space="preserve">he listed policies should be followed until 2030 and in </w:t>
      </w:r>
      <w:r w:rsidRPr="005A03BE">
        <w:t xml:space="preserve">many </w:t>
      </w:r>
      <w:r w:rsidR="00A275E0" w:rsidRPr="005A03BE">
        <w:t>cases 2050</w:t>
      </w:r>
      <w:r w:rsidRPr="005A03BE">
        <w:t>.</w:t>
      </w:r>
      <w:r w:rsidR="00DB1147" w:rsidRPr="005A03BE">
        <w:t xml:space="preserve"> See ‘Post policy period’ for assumptions after the last target year.</w:t>
      </w:r>
      <w:r w:rsidRPr="005A03BE">
        <w:t xml:space="preserve"> </w:t>
      </w:r>
    </w:p>
    <w:p w14:paraId="2BC9CBBD" w14:textId="5134B4FC" w:rsidR="00A275E0" w:rsidRPr="005A03BE" w:rsidRDefault="00C7385B" w:rsidP="003E4C5E">
      <w:r w:rsidRPr="005A03BE">
        <w:t xml:space="preserve">In the </w:t>
      </w:r>
      <w:r w:rsidRPr="005A03BE">
        <w:rPr>
          <w:b/>
        </w:rPr>
        <w:t xml:space="preserve">bridging </w:t>
      </w:r>
      <w:r w:rsidRPr="005A03BE">
        <w:t>scenario, the listed policies should be followed until 2030</w:t>
      </w:r>
      <w:r w:rsidR="00A275E0" w:rsidRPr="005A03BE">
        <w:t xml:space="preserve">, after which the scenario should transition smoothly to </w:t>
      </w:r>
      <w:r w:rsidR="00D644DF" w:rsidRPr="005A03BE">
        <w:t>the</w:t>
      </w:r>
      <w:r w:rsidR="00A275E0" w:rsidRPr="005A03BE">
        <w:t xml:space="preserve"> 2 </w:t>
      </w:r>
      <w:r w:rsidR="00A275E0" w:rsidRPr="005A03BE">
        <w:rPr>
          <w:rFonts w:cstheme="minorHAnsi"/>
        </w:rPr>
        <w:t>°</w:t>
      </w:r>
      <w:r w:rsidR="00A275E0" w:rsidRPr="005A03BE">
        <w:t xml:space="preserve">C scenario by </w:t>
      </w:r>
      <w:r w:rsidR="008957E3" w:rsidRPr="005A03BE">
        <w:t xml:space="preserve">remaining within the carbon budget consistent with </w:t>
      </w:r>
      <w:r w:rsidR="00D644DF" w:rsidRPr="005A03BE">
        <w:t xml:space="preserve">the </w:t>
      </w:r>
      <w:r w:rsidR="00A275E0" w:rsidRPr="005A03BE">
        <w:t xml:space="preserve">2 </w:t>
      </w:r>
      <w:r w:rsidR="00A275E0" w:rsidRPr="005A03BE">
        <w:rPr>
          <w:rFonts w:cstheme="minorHAnsi"/>
        </w:rPr>
        <w:t>°</w:t>
      </w:r>
      <w:r w:rsidR="00A275E0" w:rsidRPr="005A03BE">
        <w:t>C target (the 1000 GtCO</w:t>
      </w:r>
      <w:r w:rsidR="00A275E0" w:rsidRPr="005A03BE">
        <w:rPr>
          <w:vertAlign w:val="subscript"/>
        </w:rPr>
        <w:t>2</w:t>
      </w:r>
      <w:r w:rsidR="00A275E0" w:rsidRPr="005A03BE">
        <w:t xml:space="preserve"> for 2011-2100</w:t>
      </w:r>
      <w:r w:rsidR="00D644DF" w:rsidRPr="005A03BE">
        <w:t xml:space="preserve"> for global teams / 2030_low for national teams</w:t>
      </w:r>
      <w:r w:rsidR="00A275E0" w:rsidRPr="005A03BE">
        <w:t>).</w:t>
      </w:r>
      <w:r w:rsidR="00025327" w:rsidRPr="005A03BE">
        <w:t xml:space="preserve"> This should be implemented via a carbon price</w:t>
      </w:r>
      <w:r w:rsidR="00F80A24" w:rsidRPr="005A03BE">
        <w:t>:</w:t>
      </w:r>
      <w:r w:rsidR="004A73DD" w:rsidRPr="005A03BE">
        <w:t xml:space="preserve"> </w:t>
      </w:r>
      <w:r w:rsidR="00F80A24" w:rsidRPr="005A03BE">
        <w:t xml:space="preserve">please converge from the regionally differentiated 2030 carbon prices </w:t>
      </w:r>
      <w:r w:rsidR="00F619D5" w:rsidRPr="005A03BE">
        <w:t xml:space="preserve">listed </w:t>
      </w:r>
      <w:r w:rsidR="00F80A24" w:rsidRPr="005A03BE">
        <w:t xml:space="preserve">in </w:t>
      </w:r>
      <w:r w:rsidR="004A73DD" w:rsidRPr="005A03BE">
        <w:t xml:space="preserve">tab </w:t>
      </w:r>
      <w:r w:rsidR="004A73DD" w:rsidRPr="005A03BE">
        <w:rPr>
          <w:i/>
        </w:rPr>
        <w:t xml:space="preserve">7. </w:t>
      </w:r>
      <w:proofErr w:type="spellStart"/>
      <w:r w:rsidR="004A73DD" w:rsidRPr="005A03BE">
        <w:rPr>
          <w:i/>
        </w:rPr>
        <w:t>CarbonPrice</w:t>
      </w:r>
      <w:proofErr w:type="spellEnd"/>
      <w:r w:rsidR="004A73DD" w:rsidRPr="005A03BE">
        <w:t xml:space="preserve"> in attached spreadsheet</w:t>
      </w:r>
      <w:r w:rsidR="00F80A24" w:rsidRPr="005A03BE">
        <w:t xml:space="preserve"> to a </w:t>
      </w:r>
      <w:r w:rsidR="00050A11" w:rsidRPr="005A03BE">
        <w:t xml:space="preserve">global </w:t>
      </w:r>
      <w:r w:rsidR="00F80A24" w:rsidRPr="005A03BE">
        <w:t xml:space="preserve">carbon price in 2050 that is in line with the 2 </w:t>
      </w:r>
      <w:r w:rsidR="00F80A24" w:rsidRPr="005A03BE">
        <w:rPr>
          <w:rFonts w:cstheme="minorHAnsi"/>
        </w:rPr>
        <w:t>°</w:t>
      </w:r>
      <w:r w:rsidR="00F80A24" w:rsidRPr="005A03BE">
        <w:t>C carbon budget</w:t>
      </w:r>
      <w:r w:rsidR="00F619D5" w:rsidRPr="005A03BE">
        <w:t xml:space="preserve"> (in your model)</w:t>
      </w:r>
      <w:r w:rsidR="00025327" w:rsidRPr="005A03BE">
        <w:t>.</w:t>
      </w:r>
      <w:r w:rsidR="00F80A24" w:rsidRPr="005A03BE">
        <w:t xml:space="preserve"> If that implies the targets become infeasible, go for the </w:t>
      </w:r>
      <w:r w:rsidR="00050A11" w:rsidRPr="005A03BE">
        <w:t>latest</w:t>
      </w:r>
      <w:r w:rsidR="00F80A24" w:rsidRPr="005A03BE">
        <w:t xml:space="preserve"> convergence date possible </w:t>
      </w:r>
      <w:r w:rsidR="00050A11" w:rsidRPr="005A03BE">
        <w:t>that</w:t>
      </w:r>
      <w:r w:rsidR="00F80A24" w:rsidRPr="005A03BE">
        <w:t xml:space="preserve"> keep</w:t>
      </w:r>
      <w:r w:rsidR="00050A11" w:rsidRPr="005A03BE">
        <w:t>s</w:t>
      </w:r>
      <w:r w:rsidR="00F80A24" w:rsidRPr="005A03BE">
        <w:t xml:space="preserve"> the target in reach.</w:t>
      </w:r>
    </w:p>
    <w:p w14:paraId="699914F4" w14:textId="1CC94F3E" w:rsidR="00CD44F5" w:rsidRPr="00DA22C5" w:rsidRDefault="00CD44F5" w:rsidP="003E4C5E">
      <w:pPr>
        <w:rPr>
          <w:b/>
          <w:lang w:val="en-US"/>
        </w:rPr>
      </w:pPr>
      <w:r w:rsidRPr="005A03BE">
        <w:rPr>
          <w:b/>
        </w:rPr>
        <w:t>Th</w:t>
      </w:r>
      <w:r w:rsidR="00025327" w:rsidRPr="005A03BE">
        <w:rPr>
          <w:b/>
        </w:rPr>
        <w:t>e above</w:t>
      </w:r>
      <w:r w:rsidRPr="005A03BE">
        <w:rPr>
          <w:b/>
        </w:rPr>
        <w:t xml:space="preserve"> implies that the GPP and Bridge scenarios should follow the same pathway until 2030.</w:t>
      </w:r>
    </w:p>
    <w:sectPr w:rsidR="00CD44F5" w:rsidRPr="00DA22C5">
      <w:headerReference w:type="default" r:id="rId13"/>
      <w:footerReference w:type="default" r:id="rId14"/>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67831" w14:textId="77777777" w:rsidR="00F9046E" w:rsidRDefault="00F9046E" w:rsidP="001D6E6E">
      <w:pPr>
        <w:spacing w:after="0" w:line="240" w:lineRule="auto"/>
      </w:pPr>
      <w:r>
        <w:separator/>
      </w:r>
    </w:p>
  </w:endnote>
  <w:endnote w:type="continuationSeparator" w:id="0">
    <w:p w14:paraId="2C7FD431" w14:textId="77777777" w:rsidR="00F9046E" w:rsidRDefault="00F9046E" w:rsidP="001D6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C6477" w14:textId="77777777" w:rsidR="001D6E6E" w:rsidRPr="001D6E6E" w:rsidRDefault="001D6E6E">
    <w:pPr>
      <w:pStyle w:val="Footer"/>
      <w:rPr>
        <w:lang w:val="en-US"/>
      </w:rPr>
    </w:pPr>
    <w:r w:rsidRPr="00475894">
      <w:rPr>
        <w:noProof/>
        <w:lang w:val="en-US"/>
      </w:rPr>
      <w:drawing>
        <wp:anchor distT="0" distB="0" distL="114300" distR="114300" simplePos="0" relativeHeight="251662336" behindDoc="0" locked="0" layoutInCell="1" allowOverlap="1" wp14:anchorId="14D6892E" wp14:editId="05596103">
          <wp:simplePos x="0" y="0"/>
          <wp:positionH relativeFrom="margin">
            <wp:posOffset>-4194</wp:posOffset>
          </wp:positionH>
          <wp:positionV relativeFrom="paragraph">
            <wp:posOffset>27600</wp:posOffset>
          </wp:positionV>
          <wp:extent cx="785495" cy="525145"/>
          <wp:effectExtent l="0" t="0" r="0" b="8255"/>
          <wp:wrapSquare wrapText="bothSides"/>
          <wp:docPr id="1" name="Picture 2" descr="http://tntpress.iiasa.ac.at/wp-content/uploads/2015/07/EU_flag_yellow_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 descr="http://tntpress.iiasa.ac.at/wp-content/uploads/2015/07/EU_flag_yellow_low.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5495" cy="525145"/>
                  </a:xfrm>
                  <a:prstGeom prst="rect">
                    <a:avLst/>
                  </a:prstGeom>
                  <a:noFill/>
                </pic:spPr>
              </pic:pic>
            </a:graphicData>
          </a:graphic>
          <wp14:sizeRelH relativeFrom="page">
            <wp14:pctWidth>0</wp14:pctWidth>
          </wp14:sizeRelH>
          <wp14:sizeRelV relativeFrom="page">
            <wp14:pctHeight>0</wp14:pctHeight>
          </wp14:sizeRelV>
        </wp:anchor>
      </w:drawing>
    </w:r>
    <w:r w:rsidRPr="008B1D6B">
      <w:rPr>
        <w:lang w:val="en-US"/>
      </w:rPr>
      <w:t xml:space="preserve">This project has received funding from the European Union under EC Service contract N° </w:t>
    </w:r>
    <w:r w:rsidRPr="008B1D6B">
      <w:t>21.02 07 01/2017/770447/CLIMA.C.1 (</w:t>
    </w:r>
    <w:r w:rsidRPr="008B1D6B">
      <w:rPr>
        <w:lang w:val="en-US"/>
      </w:rPr>
      <w:t>Modelling of national greenhouse-gas emission mitigation policies and the relationship wit</w:t>
    </w:r>
    <w:r w:rsidR="004250E0">
      <w:rPr>
        <w:lang w:val="en-US"/>
      </w:rPr>
      <w:t>h global low emission pathways)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5A979" w14:textId="77777777" w:rsidR="00F9046E" w:rsidRDefault="00F9046E" w:rsidP="001D6E6E">
      <w:pPr>
        <w:spacing w:after="0" w:line="240" w:lineRule="auto"/>
      </w:pPr>
      <w:r>
        <w:separator/>
      </w:r>
    </w:p>
  </w:footnote>
  <w:footnote w:type="continuationSeparator" w:id="0">
    <w:p w14:paraId="5B3E5B85" w14:textId="77777777" w:rsidR="00F9046E" w:rsidRDefault="00F9046E" w:rsidP="001D6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588DE" w14:textId="77777777" w:rsidR="001D6E6E" w:rsidRDefault="001D6E6E">
    <w:pPr>
      <w:pStyle w:val="Header"/>
    </w:pPr>
    <w:r w:rsidRPr="001D6E6E">
      <w:rPr>
        <w:noProof/>
        <w:lang w:val="en-US"/>
      </w:rPr>
      <w:drawing>
        <wp:anchor distT="0" distB="0" distL="114300" distR="114300" simplePos="0" relativeHeight="251658240" behindDoc="1" locked="0" layoutInCell="1" allowOverlap="1" wp14:anchorId="71212FAB" wp14:editId="212EA0AB">
          <wp:simplePos x="0" y="0"/>
          <wp:positionH relativeFrom="column">
            <wp:posOffset>4800600</wp:posOffset>
          </wp:positionH>
          <wp:positionV relativeFrom="paragraph">
            <wp:posOffset>-392243</wp:posOffset>
          </wp:positionV>
          <wp:extent cx="1154703" cy="790575"/>
          <wp:effectExtent l="0" t="0" r="7620" b="0"/>
          <wp:wrapNone/>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4703" cy="790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53A4B"/>
    <w:multiLevelType w:val="multilevel"/>
    <w:tmpl w:val="39A4DA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725653"/>
    <w:multiLevelType w:val="hybridMultilevel"/>
    <w:tmpl w:val="E0C8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76C59"/>
    <w:multiLevelType w:val="hybridMultilevel"/>
    <w:tmpl w:val="BA62EDB4"/>
    <w:lvl w:ilvl="0" w:tplc="0409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E7D5874"/>
    <w:multiLevelType w:val="hybridMultilevel"/>
    <w:tmpl w:val="3A5AFACE"/>
    <w:lvl w:ilvl="0" w:tplc="71DA3742">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A006A56"/>
    <w:multiLevelType w:val="hybridMultilevel"/>
    <w:tmpl w:val="BAC000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9F77082"/>
    <w:multiLevelType w:val="hybridMultilevel"/>
    <w:tmpl w:val="D494DCB4"/>
    <w:lvl w:ilvl="0" w:tplc="0409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AD23A61"/>
    <w:multiLevelType w:val="multilevel"/>
    <w:tmpl w:val="C30E82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CC63F9F"/>
    <w:multiLevelType w:val="multilevel"/>
    <w:tmpl w:val="D16CD1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8047B4D"/>
    <w:multiLevelType w:val="multilevel"/>
    <w:tmpl w:val="F61C24FE"/>
    <w:lvl w:ilvl="0">
      <w:start w:val="2"/>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856326D"/>
    <w:multiLevelType w:val="multilevel"/>
    <w:tmpl w:val="9DA449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CE179A"/>
    <w:multiLevelType w:val="hybridMultilevel"/>
    <w:tmpl w:val="38800D16"/>
    <w:lvl w:ilvl="0" w:tplc="4284110E">
      <w:start w:val="1"/>
      <w:numFmt w:val="decimal"/>
      <w:pStyle w:val="Heading1"/>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2663026"/>
    <w:multiLevelType w:val="multilevel"/>
    <w:tmpl w:val="C2969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54B3706"/>
    <w:multiLevelType w:val="multilevel"/>
    <w:tmpl w:val="29CCC0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A50406B"/>
    <w:multiLevelType w:val="multilevel"/>
    <w:tmpl w:val="2564AE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0886FFB"/>
    <w:multiLevelType w:val="multilevel"/>
    <w:tmpl w:val="5DD04D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5B91CE3"/>
    <w:multiLevelType w:val="multilevel"/>
    <w:tmpl w:val="D4787B1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5"/>
  </w:num>
  <w:num w:numId="3">
    <w:abstractNumId w:val="14"/>
  </w:num>
  <w:num w:numId="4">
    <w:abstractNumId w:val="13"/>
  </w:num>
  <w:num w:numId="5">
    <w:abstractNumId w:val="12"/>
  </w:num>
  <w:num w:numId="6">
    <w:abstractNumId w:val="6"/>
  </w:num>
  <w:num w:numId="7">
    <w:abstractNumId w:val="8"/>
  </w:num>
  <w:num w:numId="8">
    <w:abstractNumId w:val="10"/>
  </w:num>
  <w:num w:numId="9">
    <w:abstractNumId w:val="0"/>
  </w:num>
  <w:num w:numId="10">
    <w:abstractNumId w:val="11"/>
  </w:num>
  <w:num w:numId="11">
    <w:abstractNumId w:val="7"/>
  </w:num>
  <w:num w:numId="12">
    <w:abstractNumId w:val="4"/>
  </w:num>
  <w:num w:numId="13">
    <w:abstractNumId w:val="1"/>
  </w:num>
  <w:num w:numId="14">
    <w:abstractNumId w:val="9"/>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attachedTemplate r:id="rId1"/>
  <w:defaultTabStop w:val="720"/>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299"/>
    <w:rsid w:val="0000347B"/>
    <w:rsid w:val="00012010"/>
    <w:rsid w:val="00014A34"/>
    <w:rsid w:val="000150E3"/>
    <w:rsid w:val="000165FF"/>
    <w:rsid w:val="00016C90"/>
    <w:rsid w:val="00020633"/>
    <w:rsid w:val="000220A4"/>
    <w:rsid w:val="00025327"/>
    <w:rsid w:val="00036221"/>
    <w:rsid w:val="0003701D"/>
    <w:rsid w:val="00046BAE"/>
    <w:rsid w:val="00050A11"/>
    <w:rsid w:val="0005109C"/>
    <w:rsid w:val="00054772"/>
    <w:rsid w:val="00083763"/>
    <w:rsid w:val="000862F9"/>
    <w:rsid w:val="00093E9C"/>
    <w:rsid w:val="000A08EA"/>
    <w:rsid w:val="000A2A5F"/>
    <w:rsid w:val="000B0208"/>
    <w:rsid w:val="000E4B0B"/>
    <w:rsid w:val="000E66FF"/>
    <w:rsid w:val="000F2219"/>
    <w:rsid w:val="000F56CD"/>
    <w:rsid w:val="001056A6"/>
    <w:rsid w:val="00107792"/>
    <w:rsid w:val="00110B47"/>
    <w:rsid w:val="0011279C"/>
    <w:rsid w:val="001205A4"/>
    <w:rsid w:val="00131538"/>
    <w:rsid w:val="00135F36"/>
    <w:rsid w:val="00143225"/>
    <w:rsid w:val="001518BC"/>
    <w:rsid w:val="00152DAB"/>
    <w:rsid w:val="00157BBA"/>
    <w:rsid w:val="0017005E"/>
    <w:rsid w:val="00175173"/>
    <w:rsid w:val="001838E6"/>
    <w:rsid w:val="00187CD5"/>
    <w:rsid w:val="001922F5"/>
    <w:rsid w:val="00193A2A"/>
    <w:rsid w:val="001A000E"/>
    <w:rsid w:val="001B1003"/>
    <w:rsid w:val="001C0E2F"/>
    <w:rsid w:val="001C61F6"/>
    <w:rsid w:val="001C793D"/>
    <w:rsid w:val="001C796F"/>
    <w:rsid w:val="001D4097"/>
    <w:rsid w:val="001D6E6E"/>
    <w:rsid w:val="001E700B"/>
    <w:rsid w:val="001F7FA1"/>
    <w:rsid w:val="00217049"/>
    <w:rsid w:val="00225A19"/>
    <w:rsid w:val="00226759"/>
    <w:rsid w:val="002361DD"/>
    <w:rsid w:val="0023720D"/>
    <w:rsid w:val="0024203A"/>
    <w:rsid w:val="00246D6E"/>
    <w:rsid w:val="0025286A"/>
    <w:rsid w:val="00260913"/>
    <w:rsid w:val="00264C05"/>
    <w:rsid w:val="002706C5"/>
    <w:rsid w:val="00272B89"/>
    <w:rsid w:val="00275D9E"/>
    <w:rsid w:val="00286289"/>
    <w:rsid w:val="00290995"/>
    <w:rsid w:val="002973C3"/>
    <w:rsid w:val="002A5560"/>
    <w:rsid w:val="002E44DC"/>
    <w:rsid w:val="002E6D40"/>
    <w:rsid w:val="00306A99"/>
    <w:rsid w:val="00317B16"/>
    <w:rsid w:val="00347826"/>
    <w:rsid w:val="003571C9"/>
    <w:rsid w:val="00375A79"/>
    <w:rsid w:val="00381468"/>
    <w:rsid w:val="003970B1"/>
    <w:rsid w:val="003A2CBF"/>
    <w:rsid w:val="003A46FA"/>
    <w:rsid w:val="003A66CB"/>
    <w:rsid w:val="003A7782"/>
    <w:rsid w:val="003C024E"/>
    <w:rsid w:val="003C7400"/>
    <w:rsid w:val="003D077B"/>
    <w:rsid w:val="003E4C5E"/>
    <w:rsid w:val="003F39EE"/>
    <w:rsid w:val="00400F88"/>
    <w:rsid w:val="00413454"/>
    <w:rsid w:val="00414E4F"/>
    <w:rsid w:val="00417542"/>
    <w:rsid w:val="00420798"/>
    <w:rsid w:val="00421B0B"/>
    <w:rsid w:val="004248F5"/>
    <w:rsid w:val="004250E0"/>
    <w:rsid w:val="00433074"/>
    <w:rsid w:val="00434230"/>
    <w:rsid w:val="0045298A"/>
    <w:rsid w:val="00460E2A"/>
    <w:rsid w:val="00462AAE"/>
    <w:rsid w:val="00466B44"/>
    <w:rsid w:val="0048007F"/>
    <w:rsid w:val="0048206F"/>
    <w:rsid w:val="004908C9"/>
    <w:rsid w:val="004A2F71"/>
    <w:rsid w:val="004A73DD"/>
    <w:rsid w:val="004E2765"/>
    <w:rsid w:val="004F2A74"/>
    <w:rsid w:val="004F3D73"/>
    <w:rsid w:val="004F6136"/>
    <w:rsid w:val="0050573B"/>
    <w:rsid w:val="00506665"/>
    <w:rsid w:val="00513FFF"/>
    <w:rsid w:val="00540A37"/>
    <w:rsid w:val="0055196E"/>
    <w:rsid w:val="00575800"/>
    <w:rsid w:val="00577670"/>
    <w:rsid w:val="00582CE2"/>
    <w:rsid w:val="0058437F"/>
    <w:rsid w:val="005866DD"/>
    <w:rsid w:val="0059309D"/>
    <w:rsid w:val="005A03BE"/>
    <w:rsid w:val="005A197F"/>
    <w:rsid w:val="005B0141"/>
    <w:rsid w:val="005B3193"/>
    <w:rsid w:val="005D0E38"/>
    <w:rsid w:val="005D643C"/>
    <w:rsid w:val="005D648F"/>
    <w:rsid w:val="005F16E0"/>
    <w:rsid w:val="0060736C"/>
    <w:rsid w:val="00610545"/>
    <w:rsid w:val="006154D4"/>
    <w:rsid w:val="00622955"/>
    <w:rsid w:val="0062570B"/>
    <w:rsid w:val="00626188"/>
    <w:rsid w:val="006307C9"/>
    <w:rsid w:val="00630D29"/>
    <w:rsid w:val="006627FD"/>
    <w:rsid w:val="00666C05"/>
    <w:rsid w:val="00671269"/>
    <w:rsid w:val="00675B4E"/>
    <w:rsid w:val="00676A99"/>
    <w:rsid w:val="00694F41"/>
    <w:rsid w:val="006A293F"/>
    <w:rsid w:val="006A3409"/>
    <w:rsid w:val="006B071A"/>
    <w:rsid w:val="006B0804"/>
    <w:rsid w:val="006B1DD2"/>
    <w:rsid w:val="006B3126"/>
    <w:rsid w:val="006B5F08"/>
    <w:rsid w:val="006C2661"/>
    <w:rsid w:val="006C5B2E"/>
    <w:rsid w:val="006E1661"/>
    <w:rsid w:val="006E53E7"/>
    <w:rsid w:val="00706909"/>
    <w:rsid w:val="00726CD9"/>
    <w:rsid w:val="0072735A"/>
    <w:rsid w:val="00732299"/>
    <w:rsid w:val="00741F95"/>
    <w:rsid w:val="00743056"/>
    <w:rsid w:val="00751383"/>
    <w:rsid w:val="00762E41"/>
    <w:rsid w:val="00772363"/>
    <w:rsid w:val="00775925"/>
    <w:rsid w:val="0078160D"/>
    <w:rsid w:val="007A4EDC"/>
    <w:rsid w:val="007B391D"/>
    <w:rsid w:val="007B4F28"/>
    <w:rsid w:val="007C02A7"/>
    <w:rsid w:val="007C298B"/>
    <w:rsid w:val="007C61E7"/>
    <w:rsid w:val="007D02C3"/>
    <w:rsid w:val="007D18E5"/>
    <w:rsid w:val="007D28EA"/>
    <w:rsid w:val="007D69A6"/>
    <w:rsid w:val="007D6B3A"/>
    <w:rsid w:val="007E1F3A"/>
    <w:rsid w:val="007E33CC"/>
    <w:rsid w:val="007F4324"/>
    <w:rsid w:val="007F7FC7"/>
    <w:rsid w:val="0080236C"/>
    <w:rsid w:val="008202EF"/>
    <w:rsid w:val="008260A8"/>
    <w:rsid w:val="008324D2"/>
    <w:rsid w:val="00836534"/>
    <w:rsid w:val="0088437F"/>
    <w:rsid w:val="00887B84"/>
    <w:rsid w:val="00887E04"/>
    <w:rsid w:val="00891A2C"/>
    <w:rsid w:val="00892C51"/>
    <w:rsid w:val="00892C5D"/>
    <w:rsid w:val="008957E3"/>
    <w:rsid w:val="008A0EAB"/>
    <w:rsid w:val="008A4451"/>
    <w:rsid w:val="008B3954"/>
    <w:rsid w:val="008E0734"/>
    <w:rsid w:val="008F320B"/>
    <w:rsid w:val="0090418C"/>
    <w:rsid w:val="009075FC"/>
    <w:rsid w:val="009078B6"/>
    <w:rsid w:val="00921AC8"/>
    <w:rsid w:val="0092230E"/>
    <w:rsid w:val="0093676C"/>
    <w:rsid w:val="00955CE0"/>
    <w:rsid w:val="00961C92"/>
    <w:rsid w:val="00971812"/>
    <w:rsid w:val="009A1E8C"/>
    <w:rsid w:val="009A5D5A"/>
    <w:rsid w:val="009B0D50"/>
    <w:rsid w:val="009B4F70"/>
    <w:rsid w:val="009B6829"/>
    <w:rsid w:val="009B6A1C"/>
    <w:rsid w:val="009C0E6C"/>
    <w:rsid w:val="009D6DB7"/>
    <w:rsid w:val="009E54DD"/>
    <w:rsid w:val="009F13A5"/>
    <w:rsid w:val="00A00664"/>
    <w:rsid w:val="00A12574"/>
    <w:rsid w:val="00A202BD"/>
    <w:rsid w:val="00A275E0"/>
    <w:rsid w:val="00A306D2"/>
    <w:rsid w:val="00A30ABD"/>
    <w:rsid w:val="00A32E63"/>
    <w:rsid w:val="00A4118F"/>
    <w:rsid w:val="00A41CF3"/>
    <w:rsid w:val="00A44C61"/>
    <w:rsid w:val="00A619D5"/>
    <w:rsid w:val="00A8150C"/>
    <w:rsid w:val="00A82447"/>
    <w:rsid w:val="00A8661D"/>
    <w:rsid w:val="00AA2A1F"/>
    <w:rsid w:val="00AB0201"/>
    <w:rsid w:val="00AB0F29"/>
    <w:rsid w:val="00AB351A"/>
    <w:rsid w:val="00AC0853"/>
    <w:rsid w:val="00AC45A5"/>
    <w:rsid w:val="00AD2A95"/>
    <w:rsid w:val="00AE40E2"/>
    <w:rsid w:val="00AE4A1F"/>
    <w:rsid w:val="00B1170D"/>
    <w:rsid w:val="00B135DC"/>
    <w:rsid w:val="00B159A1"/>
    <w:rsid w:val="00B15DBD"/>
    <w:rsid w:val="00B502EA"/>
    <w:rsid w:val="00B5111C"/>
    <w:rsid w:val="00B53F1D"/>
    <w:rsid w:val="00B5412D"/>
    <w:rsid w:val="00B64374"/>
    <w:rsid w:val="00B72A6D"/>
    <w:rsid w:val="00B75D87"/>
    <w:rsid w:val="00B96F8C"/>
    <w:rsid w:val="00BA01AA"/>
    <w:rsid w:val="00BB58BD"/>
    <w:rsid w:val="00BC705D"/>
    <w:rsid w:val="00BD4337"/>
    <w:rsid w:val="00BF2DD5"/>
    <w:rsid w:val="00BF4094"/>
    <w:rsid w:val="00BF4373"/>
    <w:rsid w:val="00C21DEF"/>
    <w:rsid w:val="00C30575"/>
    <w:rsid w:val="00C45A14"/>
    <w:rsid w:val="00C56147"/>
    <w:rsid w:val="00C7385B"/>
    <w:rsid w:val="00C75E94"/>
    <w:rsid w:val="00C82287"/>
    <w:rsid w:val="00C8722A"/>
    <w:rsid w:val="00CB2418"/>
    <w:rsid w:val="00CB2950"/>
    <w:rsid w:val="00CB5CB6"/>
    <w:rsid w:val="00CB6305"/>
    <w:rsid w:val="00CD0E94"/>
    <w:rsid w:val="00CD44F5"/>
    <w:rsid w:val="00CD705E"/>
    <w:rsid w:val="00CE36B8"/>
    <w:rsid w:val="00CE416A"/>
    <w:rsid w:val="00CE7FB9"/>
    <w:rsid w:val="00CF5F31"/>
    <w:rsid w:val="00D017A1"/>
    <w:rsid w:val="00D0415F"/>
    <w:rsid w:val="00D1016F"/>
    <w:rsid w:val="00D10393"/>
    <w:rsid w:val="00D14E49"/>
    <w:rsid w:val="00D1693B"/>
    <w:rsid w:val="00D232F5"/>
    <w:rsid w:val="00D406FC"/>
    <w:rsid w:val="00D42249"/>
    <w:rsid w:val="00D47A0A"/>
    <w:rsid w:val="00D50BEC"/>
    <w:rsid w:val="00D5781E"/>
    <w:rsid w:val="00D644DF"/>
    <w:rsid w:val="00D7077A"/>
    <w:rsid w:val="00D7316A"/>
    <w:rsid w:val="00D80531"/>
    <w:rsid w:val="00D86754"/>
    <w:rsid w:val="00D96696"/>
    <w:rsid w:val="00D97024"/>
    <w:rsid w:val="00DA22C5"/>
    <w:rsid w:val="00DB1147"/>
    <w:rsid w:val="00DB1D71"/>
    <w:rsid w:val="00DB50A3"/>
    <w:rsid w:val="00DC3225"/>
    <w:rsid w:val="00DE0018"/>
    <w:rsid w:val="00DE14EA"/>
    <w:rsid w:val="00DF1847"/>
    <w:rsid w:val="00E160A6"/>
    <w:rsid w:val="00E16137"/>
    <w:rsid w:val="00E20411"/>
    <w:rsid w:val="00E2126D"/>
    <w:rsid w:val="00E27431"/>
    <w:rsid w:val="00E33FBF"/>
    <w:rsid w:val="00E46BF4"/>
    <w:rsid w:val="00E625BC"/>
    <w:rsid w:val="00E64FD6"/>
    <w:rsid w:val="00E72445"/>
    <w:rsid w:val="00E7334F"/>
    <w:rsid w:val="00E75607"/>
    <w:rsid w:val="00E85740"/>
    <w:rsid w:val="00EA313A"/>
    <w:rsid w:val="00EA558C"/>
    <w:rsid w:val="00ED1A86"/>
    <w:rsid w:val="00ED4016"/>
    <w:rsid w:val="00ED4069"/>
    <w:rsid w:val="00EF07A3"/>
    <w:rsid w:val="00F207B6"/>
    <w:rsid w:val="00F228E3"/>
    <w:rsid w:val="00F3680F"/>
    <w:rsid w:val="00F37F10"/>
    <w:rsid w:val="00F57DAE"/>
    <w:rsid w:val="00F619D5"/>
    <w:rsid w:val="00F67DC4"/>
    <w:rsid w:val="00F80784"/>
    <w:rsid w:val="00F80A00"/>
    <w:rsid w:val="00F80A24"/>
    <w:rsid w:val="00F867A5"/>
    <w:rsid w:val="00F9046E"/>
    <w:rsid w:val="00FA1DFD"/>
    <w:rsid w:val="00FA6A85"/>
    <w:rsid w:val="00FB0C65"/>
    <w:rsid w:val="00FB4272"/>
    <w:rsid w:val="00FC773E"/>
    <w:rsid w:val="00FE2747"/>
    <w:rsid w:val="00FF5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7E6C9EA"/>
  <w15:chartTrackingRefBased/>
  <w15:docId w15:val="{D872AC1C-2047-46DC-BE0C-7CCD3C712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5740"/>
    <w:rPr>
      <w:lang w:val="en-GB"/>
    </w:rPr>
  </w:style>
  <w:style w:type="paragraph" w:styleId="Heading1">
    <w:name w:val="heading 1"/>
    <w:aliases w:val="Item"/>
    <w:basedOn w:val="Normal"/>
    <w:next w:val="Normal"/>
    <w:link w:val="Heading1Char"/>
    <w:uiPriority w:val="1"/>
    <w:qFormat/>
    <w:rsid w:val="003A66CB"/>
    <w:pPr>
      <w:keepNext/>
      <w:keepLines/>
      <w:numPr>
        <w:numId w:val="8"/>
      </w:numPr>
      <w:spacing w:before="240" w:after="0"/>
      <w:ind w:left="414" w:hanging="357"/>
      <w:outlineLvl w:val="0"/>
    </w:pPr>
    <w:rPr>
      <w:rFonts w:asciiTheme="majorHAnsi" w:eastAsiaTheme="majorEastAsia" w:hAnsiTheme="majorHAnsi" w:cstheme="majorBidi"/>
      <w:b/>
      <w:color w:val="328D9F" w:themeColor="accent1" w:themeShade="BF"/>
      <w:sz w:val="32"/>
      <w:szCs w:val="32"/>
    </w:rPr>
  </w:style>
  <w:style w:type="paragraph" w:styleId="Heading2">
    <w:name w:val="heading 2"/>
    <w:aliases w:val="Sub-item"/>
    <w:basedOn w:val="Normal"/>
    <w:next w:val="Normal"/>
    <w:link w:val="Heading2Char"/>
    <w:uiPriority w:val="2"/>
    <w:unhideWhenUsed/>
    <w:qFormat/>
    <w:rsid w:val="00E85740"/>
    <w:pPr>
      <w:keepNext/>
      <w:keepLines/>
      <w:spacing w:before="40" w:after="0"/>
      <w:outlineLvl w:val="1"/>
    </w:pPr>
    <w:rPr>
      <w:rFonts w:asciiTheme="majorHAnsi" w:eastAsiaTheme="majorEastAsia" w:hAnsiTheme="majorHAnsi" w:cstheme="majorBidi"/>
      <w:b/>
      <w:i/>
      <w:color w:val="328D9F" w:themeColor="accent1" w:themeShade="BF"/>
      <w:sz w:val="26"/>
      <w:szCs w:val="26"/>
    </w:rPr>
  </w:style>
  <w:style w:type="paragraph" w:styleId="Heading3">
    <w:name w:val="heading 3"/>
    <w:basedOn w:val="Normal"/>
    <w:next w:val="Normal"/>
    <w:link w:val="Heading3Char"/>
    <w:uiPriority w:val="9"/>
    <w:unhideWhenUsed/>
    <w:qFormat/>
    <w:rsid w:val="006B071A"/>
    <w:pPr>
      <w:keepNext/>
      <w:keepLines/>
      <w:spacing w:before="40" w:after="0"/>
      <w:outlineLvl w:val="2"/>
    </w:pPr>
    <w:rPr>
      <w:rFonts w:asciiTheme="majorHAnsi" w:eastAsiaTheme="majorEastAsia" w:hAnsiTheme="majorHAnsi" w:cstheme="majorBidi"/>
      <w:color w:val="215D6A" w:themeColor="accent1" w:themeShade="7F"/>
      <w:sz w:val="24"/>
      <w:szCs w:val="24"/>
    </w:rPr>
  </w:style>
  <w:style w:type="paragraph" w:styleId="Heading4">
    <w:name w:val="heading 4"/>
    <w:aliases w:val="Speaker"/>
    <w:basedOn w:val="Normal"/>
    <w:next w:val="Normal"/>
    <w:link w:val="Heading4Char"/>
    <w:uiPriority w:val="3"/>
    <w:unhideWhenUsed/>
    <w:qFormat/>
    <w:rsid w:val="006B071A"/>
    <w:pPr>
      <w:keepNext/>
      <w:keepLines/>
      <w:spacing w:before="40" w:after="0"/>
      <w:outlineLvl w:val="3"/>
    </w:pPr>
    <w:rPr>
      <w:rFonts w:asciiTheme="majorHAnsi" w:eastAsiaTheme="majorEastAsia" w:hAnsiTheme="majorHAnsi" w:cstheme="majorBidi"/>
      <w:i/>
      <w:iCs/>
      <w:color w:val="328D9F" w:themeColor="accent1" w:themeShade="BF"/>
    </w:rPr>
  </w:style>
  <w:style w:type="paragraph" w:styleId="Heading5">
    <w:name w:val="heading 5"/>
    <w:basedOn w:val="Normal"/>
    <w:next w:val="Normal"/>
    <w:link w:val="Heading5Char"/>
    <w:uiPriority w:val="9"/>
    <w:unhideWhenUsed/>
    <w:qFormat/>
    <w:rsid w:val="009A5D5A"/>
    <w:pPr>
      <w:keepNext/>
      <w:keepLines/>
      <w:spacing w:before="40" w:after="0"/>
      <w:outlineLvl w:val="4"/>
    </w:pPr>
    <w:rPr>
      <w:rFonts w:asciiTheme="majorHAnsi" w:eastAsiaTheme="majorEastAsia" w:hAnsiTheme="majorHAnsi" w:cstheme="majorBidi"/>
      <w:color w:val="328D9F" w:themeColor="accent1" w:themeShade="BF"/>
    </w:rPr>
  </w:style>
  <w:style w:type="paragraph" w:styleId="Heading6">
    <w:name w:val="heading 6"/>
    <w:basedOn w:val="Normal"/>
    <w:next w:val="Normal"/>
    <w:link w:val="Heading6Char"/>
    <w:uiPriority w:val="9"/>
    <w:unhideWhenUsed/>
    <w:qFormat/>
    <w:rsid w:val="00E85740"/>
    <w:pPr>
      <w:keepNext/>
      <w:keepLines/>
      <w:spacing w:before="40" w:after="0"/>
      <w:outlineLvl w:val="5"/>
    </w:pPr>
    <w:rPr>
      <w:rFonts w:asciiTheme="majorHAnsi" w:eastAsiaTheme="majorEastAsia" w:hAnsiTheme="majorHAnsi" w:cstheme="majorBidi"/>
      <w:color w:val="215D6A"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5"/>
    <w:qFormat/>
    <w:rsid w:val="00D1016F"/>
    <w:pPr>
      <w:spacing w:after="0" w:line="240" w:lineRule="auto"/>
    </w:pPr>
    <w:rPr>
      <w:sz w:val="20"/>
      <w:szCs w:val="20"/>
      <w:lang w:val="nl-NL"/>
    </w:rPr>
  </w:style>
  <w:style w:type="paragraph" w:styleId="Header">
    <w:name w:val="header"/>
    <w:basedOn w:val="Normal"/>
    <w:link w:val="HeaderChar"/>
    <w:uiPriority w:val="99"/>
    <w:unhideWhenUsed/>
    <w:rsid w:val="001D6E6E"/>
    <w:pPr>
      <w:tabs>
        <w:tab w:val="center" w:pos="4703"/>
        <w:tab w:val="right" w:pos="9406"/>
      </w:tabs>
      <w:spacing w:after="0" w:line="240" w:lineRule="auto"/>
    </w:pPr>
  </w:style>
  <w:style w:type="character" w:customStyle="1" w:styleId="HeaderChar">
    <w:name w:val="Header Char"/>
    <w:basedOn w:val="DefaultParagraphFont"/>
    <w:link w:val="Header"/>
    <w:uiPriority w:val="99"/>
    <w:rsid w:val="001D6E6E"/>
    <w:rPr>
      <w:lang w:val="en-GB"/>
    </w:rPr>
  </w:style>
  <w:style w:type="paragraph" w:styleId="Footer">
    <w:name w:val="footer"/>
    <w:basedOn w:val="Normal"/>
    <w:link w:val="FooterChar"/>
    <w:uiPriority w:val="99"/>
    <w:unhideWhenUsed/>
    <w:rsid w:val="001D6E6E"/>
    <w:pPr>
      <w:tabs>
        <w:tab w:val="center" w:pos="4703"/>
        <w:tab w:val="right" w:pos="9406"/>
      </w:tabs>
      <w:spacing w:after="0" w:line="240" w:lineRule="auto"/>
    </w:pPr>
  </w:style>
  <w:style w:type="character" w:customStyle="1" w:styleId="FooterChar">
    <w:name w:val="Footer Char"/>
    <w:basedOn w:val="DefaultParagraphFont"/>
    <w:link w:val="Footer"/>
    <w:uiPriority w:val="99"/>
    <w:rsid w:val="001D6E6E"/>
    <w:rPr>
      <w:lang w:val="en-GB"/>
    </w:rPr>
  </w:style>
  <w:style w:type="paragraph" w:styleId="Title">
    <w:name w:val="Title"/>
    <w:basedOn w:val="Normal"/>
    <w:next w:val="Normal"/>
    <w:link w:val="TitleChar"/>
    <w:uiPriority w:val="10"/>
    <w:qFormat/>
    <w:rsid w:val="006B07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71A"/>
    <w:rPr>
      <w:rFonts w:asciiTheme="majorHAnsi" w:eastAsiaTheme="majorEastAsia" w:hAnsiTheme="majorHAnsi" w:cstheme="majorBidi"/>
      <w:spacing w:val="-10"/>
      <w:kern w:val="28"/>
      <w:sz w:val="56"/>
      <w:szCs w:val="56"/>
      <w:lang w:val="en-GB"/>
    </w:rPr>
  </w:style>
  <w:style w:type="character" w:styleId="Emphasis">
    <w:name w:val="Emphasis"/>
    <w:basedOn w:val="DefaultParagraphFont"/>
    <w:uiPriority w:val="20"/>
    <w:qFormat/>
    <w:rsid w:val="006B071A"/>
    <w:rPr>
      <w:i/>
      <w:iCs/>
    </w:rPr>
  </w:style>
  <w:style w:type="paragraph" w:styleId="Subtitle">
    <w:name w:val="Subtitle"/>
    <w:basedOn w:val="Normal"/>
    <w:next w:val="Normal"/>
    <w:link w:val="SubtitleChar"/>
    <w:uiPriority w:val="11"/>
    <w:qFormat/>
    <w:rsid w:val="006B07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B071A"/>
    <w:rPr>
      <w:rFonts w:eastAsiaTheme="minorEastAsia"/>
      <w:color w:val="5A5A5A" w:themeColor="text1" w:themeTint="A5"/>
      <w:spacing w:val="15"/>
      <w:lang w:val="en-GB"/>
    </w:rPr>
  </w:style>
  <w:style w:type="character" w:styleId="Strong">
    <w:name w:val="Strong"/>
    <w:basedOn w:val="DefaultParagraphFont"/>
    <w:uiPriority w:val="22"/>
    <w:qFormat/>
    <w:rsid w:val="006B071A"/>
    <w:rPr>
      <w:b/>
      <w:bCs/>
    </w:rPr>
  </w:style>
  <w:style w:type="character" w:customStyle="1" w:styleId="Heading1Char">
    <w:name w:val="Heading 1 Char"/>
    <w:aliases w:val="Item Char"/>
    <w:basedOn w:val="DefaultParagraphFont"/>
    <w:link w:val="Heading1"/>
    <w:uiPriority w:val="1"/>
    <w:rsid w:val="003A66CB"/>
    <w:rPr>
      <w:rFonts w:asciiTheme="majorHAnsi" w:eastAsiaTheme="majorEastAsia" w:hAnsiTheme="majorHAnsi" w:cstheme="majorBidi"/>
      <w:b/>
      <w:color w:val="328D9F" w:themeColor="accent1" w:themeShade="BF"/>
      <w:sz w:val="32"/>
      <w:szCs w:val="32"/>
      <w:lang w:val="en-GB"/>
    </w:rPr>
  </w:style>
  <w:style w:type="character" w:customStyle="1" w:styleId="Heading2Char">
    <w:name w:val="Heading 2 Char"/>
    <w:aliases w:val="Sub-item Char"/>
    <w:basedOn w:val="DefaultParagraphFont"/>
    <w:link w:val="Heading2"/>
    <w:uiPriority w:val="2"/>
    <w:rsid w:val="00E85740"/>
    <w:rPr>
      <w:rFonts w:asciiTheme="majorHAnsi" w:eastAsiaTheme="majorEastAsia" w:hAnsiTheme="majorHAnsi" w:cstheme="majorBidi"/>
      <w:b/>
      <w:i/>
      <w:color w:val="328D9F" w:themeColor="accent1" w:themeShade="BF"/>
      <w:sz w:val="26"/>
      <w:szCs w:val="26"/>
      <w:lang w:val="en-GB"/>
    </w:rPr>
  </w:style>
  <w:style w:type="character" w:customStyle="1" w:styleId="Heading3Char">
    <w:name w:val="Heading 3 Char"/>
    <w:basedOn w:val="DefaultParagraphFont"/>
    <w:link w:val="Heading3"/>
    <w:uiPriority w:val="9"/>
    <w:rsid w:val="006B071A"/>
    <w:rPr>
      <w:rFonts w:asciiTheme="majorHAnsi" w:eastAsiaTheme="majorEastAsia" w:hAnsiTheme="majorHAnsi" w:cstheme="majorBidi"/>
      <w:color w:val="215D6A" w:themeColor="accent1" w:themeShade="7F"/>
      <w:sz w:val="24"/>
      <w:szCs w:val="24"/>
      <w:lang w:val="en-GB"/>
    </w:rPr>
  </w:style>
  <w:style w:type="character" w:customStyle="1" w:styleId="Heading4Char">
    <w:name w:val="Heading 4 Char"/>
    <w:aliases w:val="Speaker Char"/>
    <w:basedOn w:val="DefaultParagraphFont"/>
    <w:link w:val="Heading4"/>
    <w:uiPriority w:val="3"/>
    <w:rsid w:val="00E85740"/>
    <w:rPr>
      <w:rFonts w:asciiTheme="majorHAnsi" w:eastAsiaTheme="majorEastAsia" w:hAnsiTheme="majorHAnsi" w:cstheme="majorBidi"/>
      <w:i/>
      <w:iCs/>
      <w:color w:val="328D9F" w:themeColor="accent1" w:themeShade="BF"/>
      <w:lang w:val="en-GB"/>
    </w:rPr>
  </w:style>
  <w:style w:type="table" w:styleId="TableGrid">
    <w:name w:val="Table Grid"/>
    <w:basedOn w:val="TableNormal"/>
    <w:uiPriority w:val="39"/>
    <w:rsid w:val="006B07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6B071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2-Accent1">
    <w:name w:val="Grid Table 2 Accent 1"/>
    <w:basedOn w:val="TableNormal"/>
    <w:uiPriority w:val="47"/>
    <w:rsid w:val="006B071A"/>
    <w:pPr>
      <w:spacing w:after="0" w:line="240" w:lineRule="auto"/>
    </w:pPr>
    <w:tblPr>
      <w:tblStyleRowBandSize w:val="1"/>
      <w:tblStyleColBandSize w:val="1"/>
      <w:tblBorders>
        <w:top w:val="single" w:sz="2" w:space="0" w:color="96D1DE" w:themeColor="accent1" w:themeTint="99"/>
        <w:bottom w:val="single" w:sz="2" w:space="0" w:color="96D1DE" w:themeColor="accent1" w:themeTint="99"/>
        <w:insideH w:val="single" w:sz="2" w:space="0" w:color="96D1DE" w:themeColor="accent1" w:themeTint="99"/>
        <w:insideV w:val="single" w:sz="2" w:space="0" w:color="96D1DE" w:themeColor="accent1" w:themeTint="99"/>
      </w:tblBorders>
    </w:tblPr>
    <w:tblStylePr w:type="firstRow">
      <w:rPr>
        <w:b/>
        <w:bCs/>
      </w:rPr>
      <w:tblPr/>
      <w:tcPr>
        <w:tcBorders>
          <w:top w:val="nil"/>
          <w:bottom w:val="single" w:sz="12" w:space="0" w:color="96D1DE" w:themeColor="accent1" w:themeTint="99"/>
          <w:insideH w:val="nil"/>
          <w:insideV w:val="nil"/>
        </w:tcBorders>
        <w:shd w:val="clear" w:color="auto" w:fill="FFFFFF" w:themeFill="background1"/>
      </w:tcPr>
    </w:tblStylePr>
    <w:tblStylePr w:type="lastRow">
      <w:rPr>
        <w:b/>
        <w:bCs/>
      </w:rPr>
      <w:tblPr/>
      <w:tcPr>
        <w:tcBorders>
          <w:top w:val="double" w:sz="2" w:space="0" w:color="96D1D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FF4" w:themeFill="accent1" w:themeFillTint="33"/>
      </w:tcPr>
    </w:tblStylePr>
    <w:tblStylePr w:type="band1Horz">
      <w:tblPr/>
      <w:tcPr>
        <w:shd w:val="clear" w:color="auto" w:fill="DCEFF4" w:themeFill="accent1" w:themeFillTint="33"/>
      </w:tcPr>
    </w:tblStylePr>
  </w:style>
  <w:style w:type="table" w:styleId="GridTable3-Accent3">
    <w:name w:val="Grid Table 3 Accent 3"/>
    <w:basedOn w:val="TableNormal"/>
    <w:uiPriority w:val="48"/>
    <w:rsid w:val="006B071A"/>
    <w:pPr>
      <w:spacing w:after="0" w:line="240" w:lineRule="auto"/>
    </w:pPr>
    <w:tblPr>
      <w:tblStyleRowBandSize w:val="1"/>
      <w:tblStyleColBandSize w:val="1"/>
      <w:tblBorders>
        <w:top w:val="single" w:sz="4" w:space="0" w:color="C5BF97" w:themeColor="accent3" w:themeTint="99"/>
        <w:left w:val="single" w:sz="4" w:space="0" w:color="C5BF97" w:themeColor="accent3" w:themeTint="99"/>
        <w:bottom w:val="single" w:sz="4" w:space="0" w:color="C5BF97" w:themeColor="accent3" w:themeTint="99"/>
        <w:right w:val="single" w:sz="4" w:space="0" w:color="C5BF97" w:themeColor="accent3" w:themeTint="99"/>
        <w:insideH w:val="single" w:sz="4" w:space="0" w:color="C5BF97" w:themeColor="accent3" w:themeTint="99"/>
        <w:insideV w:val="single" w:sz="4" w:space="0" w:color="C5BF9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DC" w:themeFill="accent3" w:themeFillTint="33"/>
      </w:tcPr>
    </w:tblStylePr>
    <w:tblStylePr w:type="band1Horz">
      <w:tblPr/>
      <w:tcPr>
        <w:shd w:val="clear" w:color="auto" w:fill="EBE9DC" w:themeFill="accent3" w:themeFillTint="33"/>
      </w:tcPr>
    </w:tblStylePr>
    <w:tblStylePr w:type="neCell">
      <w:tblPr/>
      <w:tcPr>
        <w:tcBorders>
          <w:bottom w:val="single" w:sz="4" w:space="0" w:color="C5BF97" w:themeColor="accent3" w:themeTint="99"/>
        </w:tcBorders>
      </w:tcPr>
    </w:tblStylePr>
    <w:tblStylePr w:type="nwCell">
      <w:tblPr/>
      <w:tcPr>
        <w:tcBorders>
          <w:bottom w:val="single" w:sz="4" w:space="0" w:color="C5BF97" w:themeColor="accent3" w:themeTint="99"/>
        </w:tcBorders>
      </w:tcPr>
    </w:tblStylePr>
    <w:tblStylePr w:type="seCell">
      <w:tblPr/>
      <w:tcPr>
        <w:tcBorders>
          <w:top w:val="single" w:sz="4" w:space="0" w:color="C5BF97" w:themeColor="accent3" w:themeTint="99"/>
        </w:tcBorders>
      </w:tcPr>
    </w:tblStylePr>
    <w:tblStylePr w:type="swCell">
      <w:tblPr/>
      <w:tcPr>
        <w:tcBorders>
          <w:top w:val="single" w:sz="4" w:space="0" w:color="C5BF97" w:themeColor="accent3" w:themeTint="99"/>
        </w:tcBorders>
      </w:tcPr>
    </w:tblStylePr>
  </w:style>
  <w:style w:type="table" w:styleId="GridTable3-Accent5">
    <w:name w:val="Grid Table 3 Accent 5"/>
    <w:basedOn w:val="TableNormal"/>
    <w:uiPriority w:val="48"/>
    <w:rsid w:val="006B071A"/>
    <w:pPr>
      <w:spacing w:after="0" w:line="240" w:lineRule="auto"/>
    </w:pPr>
    <w:tblPr>
      <w:tblStyleRowBandSize w:val="1"/>
      <w:tblStyleColBandSize w:val="1"/>
      <w:tblBorders>
        <w:top w:val="single" w:sz="4" w:space="0" w:color="B0B89A" w:themeColor="accent5" w:themeTint="99"/>
        <w:left w:val="single" w:sz="4" w:space="0" w:color="B0B89A" w:themeColor="accent5" w:themeTint="99"/>
        <w:bottom w:val="single" w:sz="4" w:space="0" w:color="B0B89A" w:themeColor="accent5" w:themeTint="99"/>
        <w:right w:val="single" w:sz="4" w:space="0" w:color="B0B89A" w:themeColor="accent5" w:themeTint="99"/>
        <w:insideH w:val="single" w:sz="4" w:space="0" w:color="B0B89A" w:themeColor="accent5" w:themeTint="99"/>
        <w:insideV w:val="single" w:sz="4" w:space="0" w:color="B0B89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DD" w:themeFill="accent5" w:themeFillTint="33"/>
      </w:tcPr>
    </w:tblStylePr>
    <w:tblStylePr w:type="band1Horz">
      <w:tblPr/>
      <w:tcPr>
        <w:shd w:val="clear" w:color="auto" w:fill="E4E7DD" w:themeFill="accent5" w:themeFillTint="33"/>
      </w:tcPr>
    </w:tblStylePr>
    <w:tblStylePr w:type="neCell">
      <w:tblPr/>
      <w:tcPr>
        <w:tcBorders>
          <w:bottom w:val="single" w:sz="4" w:space="0" w:color="B0B89A" w:themeColor="accent5" w:themeTint="99"/>
        </w:tcBorders>
      </w:tcPr>
    </w:tblStylePr>
    <w:tblStylePr w:type="nwCell">
      <w:tblPr/>
      <w:tcPr>
        <w:tcBorders>
          <w:bottom w:val="single" w:sz="4" w:space="0" w:color="B0B89A" w:themeColor="accent5" w:themeTint="99"/>
        </w:tcBorders>
      </w:tcPr>
    </w:tblStylePr>
    <w:tblStylePr w:type="seCell">
      <w:tblPr/>
      <w:tcPr>
        <w:tcBorders>
          <w:top w:val="single" w:sz="4" w:space="0" w:color="B0B89A" w:themeColor="accent5" w:themeTint="99"/>
        </w:tcBorders>
      </w:tcPr>
    </w:tblStylePr>
    <w:tblStylePr w:type="swCell">
      <w:tblPr/>
      <w:tcPr>
        <w:tcBorders>
          <w:top w:val="single" w:sz="4" w:space="0" w:color="B0B89A" w:themeColor="accent5" w:themeTint="99"/>
        </w:tcBorders>
      </w:tcPr>
    </w:tblStylePr>
  </w:style>
  <w:style w:type="table" w:styleId="GridTable7Colorful-Accent1">
    <w:name w:val="Grid Table 7 Colorful Accent 1"/>
    <w:basedOn w:val="TableNormal"/>
    <w:uiPriority w:val="52"/>
    <w:rsid w:val="006B071A"/>
    <w:pPr>
      <w:spacing w:after="0" w:line="240" w:lineRule="auto"/>
    </w:pPr>
    <w:rPr>
      <w:color w:val="328D9F" w:themeColor="accent1" w:themeShade="BF"/>
    </w:rPr>
    <w:tblPr>
      <w:tblStyleRowBandSize w:val="1"/>
      <w:tblStyleColBandSize w:val="1"/>
      <w:tblBorders>
        <w:top w:val="single" w:sz="4" w:space="0" w:color="96D1DE" w:themeColor="accent1" w:themeTint="99"/>
        <w:left w:val="single" w:sz="4" w:space="0" w:color="96D1DE" w:themeColor="accent1" w:themeTint="99"/>
        <w:bottom w:val="single" w:sz="4" w:space="0" w:color="96D1DE" w:themeColor="accent1" w:themeTint="99"/>
        <w:right w:val="single" w:sz="4" w:space="0" w:color="96D1DE" w:themeColor="accent1" w:themeTint="99"/>
        <w:insideH w:val="single" w:sz="4" w:space="0" w:color="96D1DE" w:themeColor="accent1" w:themeTint="99"/>
        <w:insideV w:val="single" w:sz="4" w:space="0" w:color="96D1D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FF4" w:themeFill="accent1" w:themeFillTint="33"/>
      </w:tcPr>
    </w:tblStylePr>
    <w:tblStylePr w:type="band1Horz">
      <w:tblPr/>
      <w:tcPr>
        <w:shd w:val="clear" w:color="auto" w:fill="DCEFF4" w:themeFill="accent1" w:themeFillTint="33"/>
      </w:tcPr>
    </w:tblStylePr>
    <w:tblStylePr w:type="neCell">
      <w:tblPr/>
      <w:tcPr>
        <w:tcBorders>
          <w:bottom w:val="single" w:sz="4" w:space="0" w:color="96D1DE" w:themeColor="accent1" w:themeTint="99"/>
        </w:tcBorders>
      </w:tcPr>
    </w:tblStylePr>
    <w:tblStylePr w:type="nwCell">
      <w:tblPr/>
      <w:tcPr>
        <w:tcBorders>
          <w:bottom w:val="single" w:sz="4" w:space="0" w:color="96D1DE" w:themeColor="accent1" w:themeTint="99"/>
        </w:tcBorders>
      </w:tcPr>
    </w:tblStylePr>
    <w:tblStylePr w:type="seCell">
      <w:tblPr/>
      <w:tcPr>
        <w:tcBorders>
          <w:top w:val="single" w:sz="4" w:space="0" w:color="96D1DE" w:themeColor="accent1" w:themeTint="99"/>
        </w:tcBorders>
      </w:tcPr>
    </w:tblStylePr>
    <w:tblStylePr w:type="swCell">
      <w:tblPr/>
      <w:tcPr>
        <w:tcBorders>
          <w:top w:val="single" w:sz="4" w:space="0" w:color="96D1DE" w:themeColor="accent1" w:themeTint="99"/>
        </w:tcBorders>
      </w:tcPr>
    </w:tblStylePr>
  </w:style>
  <w:style w:type="table" w:styleId="GridTable7Colorful-Accent5">
    <w:name w:val="Grid Table 7 Colorful Accent 5"/>
    <w:basedOn w:val="TableNormal"/>
    <w:uiPriority w:val="52"/>
    <w:rsid w:val="006B071A"/>
    <w:pPr>
      <w:spacing w:after="0" w:line="240" w:lineRule="auto"/>
    </w:pPr>
    <w:rPr>
      <w:color w:val="5B6345" w:themeColor="accent5" w:themeShade="BF"/>
    </w:rPr>
    <w:tblPr>
      <w:tblStyleRowBandSize w:val="1"/>
      <w:tblStyleColBandSize w:val="1"/>
      <w:tblBorders>
        <w:top w:val="single" w:sz="4" w:space="0" w:color="B0B89A" w:themeColor="accent5" w:themeTint="99"/>
        <w:left w:val="single" w:sz="4" w:space="0" w:color="B0B89A" w:themeColor="accent5" w:themeTint="99"/>
        <w:bottom w:val="single" w:sz="4" w:space="0" w:color="B0B89A" w:themeColor="accent5" w:themeTint="99"/>
        <w:right w:val="single" w:sz="4" w:space="0" w:color="B0B89A" w:themeColor="accent5" w:themeTint="99"/>
        <w:insideH w:val="single" w:sz="4" w:space="0" w:color="B0B89A" w:themeColor="accent5" w:themeTint="99"/>
        <w:insideV w:val="single" w:sz="4" w:space="0" w:color="B0B89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DD" w:themeFill="accent5" w:themeFillTint="33"/>
      </w:tcPr>
    </w:tblStylePr>
    <w:tblStylePr w:type="band1Horz">
      <w:tblPr/>
      <w:tcPr>
        <w:shd w:val="clear" w:color="auto" w:fill="E4E7DD" w:themeFill="accent5" w:themeFillTint="33"/>
      </w:tcPr>
    </w:tblStylePr>
    <w:tblStylePr w:type="neCell">
      <w:tblPr/>
      <w:tcPr>
        <w:tcBorders>
          <w:bottom w:val="single" w:sz="4" w:space="0" w:color="B0B89A" w:themeColor="accent5" w:themeTint="99"/>
        </w:tcBorders>
      </w:tcPr>
    </w:tblStylePr>
    <w:tblStylePr w:type="nwCell">
      <w:tblPr/>
      <w:tcPr>
        <w:tcBorders>
          <w:bottom w:val="single" w:sz="4" w:space="0" w:color="B0B89A" w:themeColor="accent5" w:themeTint="99"/>
        </w:tcBorders>
      </w:tcPr>
    </w:tblStylePr>
    <w:tblStylePr w:type="seCell">
      <w:tblPr/>
      <w:tcPr>
        <w:tcBorders>
          <w:top w:val="single" w:sz="4" w:space="0" w:color="B0B89A" w:themeColor="accent5" w:themeTint="99"/>
        </w:tcBorders>
      </w:tcPr>
    </w:tblStylePr>
    <w:tblStylePr w:type="swCell">
      <w:tblPr/>
      <w:tcPr>
        <w:tcBorders>
          <w:top w:val="single" w:sz="4" w:space="0" w:color="B0B89A" w:themeColor="accent5" w:themeTint="99"/>
        </w:tcBorders>
      </w:tcPr>
    </w:tblStylePr>
  </w:style>
  <w:style w:type="table" w:styleId="ListTable7Colorful-Accent5">
    <w:name w:val="List Table 7 Colorful Accent 5"/>
    <w:basedOn w:val="TableNormal"/>
    <w:uiPriority w:val="52"/>
    <w:rsid w:val="006B071A"/>
    <w:pPr>
      <w:spacing w:after="0" w:line="240" w:lineRule="auto"/>
    </w:pPr>
    <w:rPr>
      <w:color w:val="5B6345" w:themeColor="accent5" w:themeShade="BF"/>
      <w:sz w:val="20"/>
      <w:szCs w:val="20"/>
      <w:lang w:val="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855D"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855D"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855D"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855D" w:themeColor="accent5"/>
        </w:tcBorders>
        <w:shd w:val="clear" w:color="auto" w:fill="FFFFFF" w:themeFill="background1"/>
      </w:tcPr>
    </w:tblStylePr>
    <w:tblStylePr w:type="band1Vert">
      <w:tblPr/>
      <w:tcPr>
        <w:shd w:val="clear" w:color="auto" w:fill="E4E7DD" w:themeFill="accent5" w:themeFillTint="33"/>
      </w:tcPr>
    </w:tblStylePr>
    <w:tblStylePr w:type="band1Horz">
      <w:tblPr/>
      <w:tcPr>
        <w:shd w:val="clear" w:color="auto" w:fill="E4E7D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B071A"/>
    <w:pPr>
      <w:spacing w:after="0" w:line="240" w:lineRule="auto"/>
    </w:pPr>
    <w:rPr>
      <w:color w:val="328D9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B4C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B4C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B4C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B4C8" w:themeColor="accent1"/>
        </w:tcBorders>
        <w:shd w:val="clear" w:color="auto" w:fill="FFFFFF" w:themeFill="background1"/>
      </w:tcPr>
    </w:tblStylePr>
    <w:tblStylePr w:type="band1Vert">
      <w:tblPr/>
      <w:tcPr>
        <w:shd w:val="clear" w:color="auto" w:fill="DCEFF4" w:themeFill="accent1" w:themeFillTint="33"/>
      </w:tcPr>
    </w:tblStylePr>
    <w:tblStylePr w:type="band1Horz">
      <w:tblPr/>
      <w:tcPr>
        <w:shd w:val="clear" w:color="auto" w:fill="DCEF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alloonText">
    <w:name w:val="Balloon Text"/>
    <w:basedOn w:val="Normal"/>
    <w:link w:val="BalloonTextChar"/>
    <w:uiPriority w:val="99"/>
    <w:semiHidden/>
    <w:unhideWhenUsed/>
    <w:rsid w:val="003571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1C9"/>
    <w:rPr>
      <w:rFonts w:ascii="Segoe UI" w:hAnsi="Segoe UI" w:cs="Segoe UI"/>
      <w:sz w:val="18"/>
      <w:szCs w:val="18"/>
      <w:lang w:val="en-GB"/>
    </w:rPr>
  </w:style>
  <w:style w:type="table" w:styleId="ListTable5Dark-Accent5">
    <w:name w:val="List Table 5 Dark Accent 5"/>
    <w:basedOn w:val="TableNormal"/>
    <w:uiPriority w:val="50"/>
    <w:rsid w:val="003571C9"/>
    <w:pPr>
      <w:spacing w:after="0" w:line="240" w:lineRule="auto"/>
    </w:pPr>
    <w:rPr>
      <w:color w:val="FFFFFF" w:themeColor="background1"/>
    </w:rPr>
    <w:tblPr>
      <w:tblStyleRowBandSize w:val="1"/>
      <w:tblStyleColBandSize w:val="1"/>
      <w:tblBorders>
        <w:top w:val="single" w:sz="24" w:space="0" w:color="7A855D" w:themeColor="accent5"/>
        <w:left w:val="single" w:sz="24" w:space="0" w:color="7A855D" w:themeColor="accent5"/>
        <w:bottom w:val="single" w:sz="24" w:space="0" w:color="7A855D" w:themeColor="accent5"/>
        <w:right w:val="single" w:sz="24" w:space="0" w:color="7A855D" w:themeColor="accent5"/>
      </w:tblBorders>
    </w:tblPr>
    <w:tcPr>
      <w:shd w:val="clear" w:color="auto" w:fill="7A855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5">
    <w:name w:val="List Table 4 Accent 5"/>
    <w:basedOn w:val="TableNormal"/>
    <w:uiPriority w:val="49"/>
    <w:rsid w:val="003571C9"/>
    <w:pPr>
      <w:spacing w:after="0" w:line="240" w:lineRule="auto"/>
    </w:pPr>
    <w:tblPr>
      <w:tblStyleRowBandSize w:val="1"/>
      <w:tblStyleColBandSize w:val="1"/>
      <w:tblBorders>
        <w:top w:val="single" w:sz="4" w:space="0" w:color="B0B89A" w:themeColor="accent5" w:themeTint="99"/>
        <w:left w:val="single" w:sz="4" w:space="0" w:color="B0B89A" w:themeColor="accent5" w:themeTint="99"/>
        <w:bottom w:val="single" w:sz="4" w:space="0" w:color="B0B89A" w:themeColor="accent5" w:themeTint="99"/>
        <w:right w:val="single" w:sz="4" w:space="0" w:color="B0B89A" w:themeColor="accent5" w:themeTint="99"/>
        <w:insideH w:val="single" w:sz="4" w:space="0" w:color="B0B89A" w:themeColor="accent5" w:themeTint="99"/>
      </w:tblBorders>
    </w:tblPr>
    <w:tblStylePr w:type="firstRow">
      <w:rPr>
        <w:b/>
        <w:bCs/>
        <w:color w:val="FFFFFF" w:themeColor="background1"/>
      </w:rPr>
      <w:tblPr/>
      <w:tcPr>
        <w:tcBorders>
          <w:top w:val="single" w:sz="4" w:space="0" w:color="7A855D" w:themeColor="accent5"/>
          <w:left w:val="single" w:sz="4" w:space="0" w:color="7A855D" w:themeColor="accent5"/>
          <w:bottom w:val="single" w:sz="4" w:space="0" w:color="7A855D" w:themeColor="accent5"/>
          <w:right w:val="single" w:sz="4" w:space="0" w:color="7A855D" w:themeColor="accent5"/>
          <w:insideH w:val="nil"/>
        </w:tcBorders>
        <w:shd w:val="clear" w:color="auto" w:fill="7A855D" w:themeFill="accent5"/>
      </w:tcPr>
    </w:tblStylePr>
    <w:tblStylePr w:type="lastRow">
      <w:rPr>
        <w:b/>
        <w:bCs/>
      </w:rPr>
      <w:tblPr/>
      <w:tcPr>
        <w:tcBorders>
          <w:top w:val="double" w:sz="4" w:space="0" w:color="B0B89A" w:themeColor="accent5" w:themeTint="99"/>
        </w:tcBorders>
      </w:tcPr>
    </w:tblStylePr>
    <w:tblStylePr w:type="firstCol">
      <w:rPr>
        <w:b/>
        <w:bCs/>
      </w:rPr>
    </w:tblStylePr>
    <w:tblStylePr w:type="lastCol">
      <w:rPr>
        <w:b/>
        <w:bCs/>
      </w:rPr>
    </w:tblStylePr>
    <w:tblStylePr w:type="band1Vert">
      <w:tblPr/>
      <w:tcPr>
        <w:shd w:val="clear" w:color="auto" w:fill="E4E7DD" w:themeFill="accent5" w:themeFillTint="33"/>
      </w:tcPr>
    </w:tblStylePr>
    <w:tblStylePr w:type="band1Horz">
      <w:tblPr/>
      <w:tcPr>
        <w:shd w:val="clear" w:color="auto" w:fill="E4E7DD" w:themeFill="accent5" w:themeFillTint="33"/>
      </w:tcPr>
    </w:tblStylePr>
  </w:style>
  <w:style w:type="table" w:styleId="ListTable4-Accent1">
    <w:name w:val="List Table 4 Accent 1"/>
    <w:basedOn w:val="TableNormal"/>
    <w:uiPriority w:val="49"/>
    <w:rsid w:val="003571C9"/>
    <w:pPr>
      <w:spacing w:after="0" w:line="240" w:lineRule="auto"/>
    </w:pPr>
    <w:tblPr>
      <w:tblStyleRowBandSize w:val="1"/>
      <w:tblStyleColBandSize w:val="1"/>
      <w:tblBorders>
        <w:top w:val="single" w:sz="4" w:space="0" w:color="96D1DE" w:themeColor="accent1" w:themeTint="99"/>
        <w:left w:val="single" w:sz="4" w:space="0" w:color="96D1DE" w:themeColor="accent1" w:themeTint="99"/>
        <w:bottom w:val="single" w:sz="4" w:space="0" w:color="96D1DE" w:themeColor="accent1" w:themeTint="99"/>
        <w:right w:val="single" w:sz="4" w:space="0" w:color="96D1DE" w:themeColor="accent1" w:themeTint="99"/>
        <w:insideH w:val="single" w:sz="4" w:space="0" w:color="96D1DE" w:themeColor="accent1" w:themeTint="99"/>
      </w:tblBorders>
    </w:tblPr>
    <w:tblStylePr w:type="firstRow">
      <w:rPr>
        <w:b/>
        <w:bCs/>
        <w:color w:val="FFFFFF" w:themeColor="background1"/>
      </w:rPr>
      <w:tblPr/>
      <w:tcPr>
        <w:tcBorders>
          <w:top w:val="single" w:sz="4" w:space="0" w:color="50B4C8" w:themeColor="accent1"/>
          <w:left w:val="single" w:sz="4" w:space="0" w:color="50B4C8" w:themeColor="accent1"/>
          <w:bottom w:val="single" w:sz="4" w:space="0" w:color="50B4C8" w:themeColor="accent1"/>
          <w:right w:val="single" w:sz="4" w:space="0" w:color="50B4C8" w:themeColor="accent1"/>
          <w:insideH w:val="nil"/>
        </w:tcBorders>
        <w:shd w:val="clear" w:color="auto" w:fill="50B4C8" w:themeFill="accent1"/>
      </w:tcPr>
    </w:tblStylePr>
    <w:tblStylePr w:type="lastRow">
      <w:rPr>
        <w:b/>
        <w:bCs/>
      </w:rPr>
      <w:tblPr/>
      <w:tcPr>
        <w:tcBorders>
          <w:top w:val="double" w:sz="4" w:space="0" w:color="96D1DE" w:themeColor="accent1" w:themeTint="99"/>
        </w:tcBorders>
      </w:tcPr>
    </w:tblStylePr>
    <w:tblStylePr w:type="firstCol">
      <w:rPr>
        <w:b/>
        <w:bCs/>
      </w:rPr>
    </w:tblStylePr>
    <w:tblStylePr w:type="lastCol">
      <w:rPr>
        <w:b/>
        <w:bCs/>
      </w:rPr>
    </w:tblStylePr>
    <w:tblStylePr w:type="band1Vert">
      <w:tblPr/>
      <w:tcPr>
        <w:shd w:val="clear" w:color="auto" w:fill="DCEFF4" w:themeFill="accent1" w:themeFillTint="33"/>
      </w:tcPr>
    </w:tblStylePr>
    <w:tblStylePr w:type="band1Horz">
      <w:tblPr/>
      <w:tcPr>
        <w:shd w:val="clear" w:color="auto" w:fill="DCEFF4" w:themeFill="accent1" w:themeFillTint="33"/>
      </w:tcPr>
    </w:tblStylePr>
  </w:style>
  <w:style w:type="table" w:styleId="ListTable3-Accent1">
    <w:name w:val="List Table 3 Accent 1"/>
    <w:basedOn w:val="TableNormal"/>
    <w:uiPriority w:val="48"/>
    <w:rsid w:val="003571C9"/>
    <w:pPr>
      <w:spacing w:after="0" w:line="240" w:lineRule="auto"/>
    </w:pPr>
    <w:tblPr>
      <w:tblStyleRowBandSize w:val="1"/>
      <w:tblStyleColBandSize w:val="1"/>
      <w:tblBorders>
        <w:top w:val="single" w:sz="4" w:space="0" w:color="50B4C8" w:themeColor="accent1"/>
        <w:left w:val="single" w:sz="4" w:space="0" w:color="50B4C8" w:themeColor="accent1"/>
        <w:bottom w:val="single" w:sz="4" w:space="0" w:color="50B4C8" w:themeColor="accent1"/>
        <w:right w:val="single" w:sz="4" w:space="0" w:color="50B4C8" w:themeColor="accent1"/>
      </w:tblBorders>
    </w:tblPr>
    <w:tblStylePr w:type="firstRow">
      <w:rPr>
        <w:b/>
        <w:bCs/>
        <w:color w:val="FFFFFF" w:themeColor="background1"/>
      </w:rPr>
      <w:tblPr/>
      <w:tcPr>
        <w:shd w:val="clear" w:color="auto" w:fill="50B4C8" w:themeFill="accent1"/>
      </w:tcPr>
    </w:tblStylePr>
    <w:tblStylePr w:type="lastRow">
      <w:rPr>
        <w:b/>
        <w:bCs/>
      </w:rPr>
      <w:tblPr/>
      <w:tcPr>
        <w:tcBorders>
          <w:top w:val="double" w:sz="4" w:space="0" w:color="50B4C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B4C8" w:themeColor="accent1"/>
          <w:right w:val="single" w:sz="4" w:space="0" w:color="50B4C8" w:themeColor="accent1"/>
        </w:tcBorders>
      </w:tcPr>
    </w:tblStylePr>
    <w:tblStylePr w:type="band1Horz">
      <w:tblPr/>
      <w:tcPr>
        <w:tcBorders>
          <w:top w:val="single" w:sz="4" w:space="0" w:color="50B4C8" w:themeColor="accent1"/>
          <w:bottom w:val="single" w:sz="4" w:space="0" w:color="50B4C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4C8" w:themeColor="accent1"/>
          <w:left w:val="nil"/>
        </w:tcBorders>
      </w:tcPr>
    </w:tblStylePr>
    <w:tblStylePr w:type="swCell">
      <w:tblPr/>
      <w:tcPr>
        <w:tcBorders>
          <w:top w:val="double" w:sz="4" w:space="0" w:color="50B4C8" w:themeColor="accent1"/>
          <w:right w:val="nil"/>
        </w:tcBorders>
      </w:tcPr>
    </w:tblStylePr>
  </w:style>
  <w:style w:type="table" w:styleId="ListTable3-Accent5">
    <w:name w:val="List Table 3 Accent 5"/>
    <w:basedOn w:val="TableNormal"/>
    <w:uiPriority w:val="48"/>
    <w:rsid w:val="003571C9"/>
    <w:pPr>
      <w:spacing w:after="0" w:line="240" w:lineRule="auto"/>
    </w:pPr>
    <w:tblPr>
      <w:tblStyleRowBandSize w:val="1"/>
      <w:tblStyleColBandSize w:val="1"/>
      <w:tblBorders>
        <w:top w:val="single" w:sz="4" w:space="0" w:color="7A855D" w:themeColor="accent5"/>
        <w:left w:val="single" w:sz="4" w:space="0" w:color="7A855D" w:themeColor="accent5"/>
        <w:bottom w:val="single" w:sz="4" w:space="0" w:color="7A855D" w:themeColor="accent5"/>
        <w:right w:val="single" w:sz="4" w:space="0" w:color="7A855D" w:themeColor="accent5"/>
      </w:tblBorders>
    </w:tblPr>
    <w:tblStylePr w:type="firstRow">
      <w:rPr>
        <w:b/>
        <w:bCs/>
        <w:color w:val="FFFFFF" w:themeColor="background1"/>
      </w:rPr>
      <w:tblPr/>
      <w:tcPr>
        <w:shd w:val="clear" w:color="auto" w:fill="7A855D" w:themeFill="accent5"/>
      </w:tcPr>
    </w:tblStylePr>
    <w:tblStylePr w:type="lastRow">
      <w:rPr>
        <w:b/>
        <w:bCs/>
      </w:rPr>
      <w:tblPr/>
      <w:tcPr>
        <w:tcBorders>
          <w:top w:val="double" w:sz="4" w:space="0" w:color="7A855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855D" w:themeColor="accent5"/>
          <w:right w:val="single" w:sz="4" w:space="0" w:color="7A855D" w:themeColor="accent5"/>
        </w:tcBorders>
      </w:tcPr>
    </w:tblStylePr>
    <w:tblStylePr w:type="band1Horz">
      <w:tblPr/>
      <w:tcPr>
        <w:tcBorders>
          <w:top w:val="single" w:sz="4" w:space="0" w:color="7A855D" w:themeColor="accent5"/>
          <w:bottom w:val="single" w:sz="4" w:space="0" w:color="7A855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855D" w:themeColor="accent5"/>
          <w:left w:val="nil"/>
        </w:tcBorders>
      </w:tcPr>
    </w:tblStylePr>
    <w:tblStylePr w:type="swCell">
      <w:tblPr/>
      <w:tcPr>
        <w:tcBorders>
          <w:top w:val="double" w:sz="4" w:space="0" w:color="7A855D" w:themeColor="accent5"/>
          <w:right w:val="nil"/>
        </w:tcBorders>
      </w:tcPr>
    </w:tblStylePr>
  </w:style>
  <w:style w:type="table" w:styleId="GridTable6Colorful-Accent5">
    <w:name w:val="Grid Table 6 Colorful Accent 5"/>
    <w:basedOn w:val="TableNormal"/>
    <w:uiPriority w:val="51"/>
    <w:rsid w:val="003571C9"/>
    <w:pPr>
      <w:spacing w:after="0" w:line="240" w:lineRule="auto"/>
    </w:pPr>
    <w:rPr>
      <w:color w:val="5B6345" w:themeColor="accent5" w:themeShade="BF"/>
    </w:rPr>
    <w:tblPr>
      <w:tblStyleRowBandSize w:val="1"/>
      <w:tblStyleColBandSize w:val="1"/>
      <w:tblBorders>
        <w:top w:val="single" w:sz="4" w:space="0" w:color="B0B89A" w:themeColor="accent5" w:themeTint="99"/>
        <w:left w:val="single" w:sz="4" w:space="0" w:color="B0B89A" w:themeColor="accent5" w:themeTint="99"/>
        <w:bottom w:val="single" w:sz="4" w:space="0" w:color="B0B89A" w:themeColor="accent5" w:themeTint="99"/>
        <w:right w:val="single" w:sz="4" w:space="0" w:color="B0B89A" w:themeColor="accent5" w:themeTint="99"/>
        <w:insideH w:val="single" w:sz="4" w:space="0" w:color="B0B89A" w:themeColor="accent5" w:themeTint="99"/>
        <w:insideV w:val="single" w:sz="4" w:space="0" w:color="B0B89A" w:themeColor="accent5" w:themeTint="99"/>
      </w:tblBorders>
    </w:tblPr>
    <w:tblStylePr w:type="firstRow">
      <w:rPr>
        <w:b/>
        <w:bCs/>
      </w:rPr>
      <w:tblPr/>
      <w:tcPr>
        <w:tcBorders>
          <w:bottom w:val="single" w:sz="12" w:space="0" w:color="B0B89A" w:themeColor="accent5" w:themeTint="99"/>
        </w:tcBorders>
      </w:tcPr>
    </w:tblStylePr>
    <w:tblStylePr w:type="lastRow">
      <w:rPr>
        <w:b/>
        <w:bCs/>
      </w:rPr>
      <w:tblPr/>
      <w:tcPr>
        <w:tcBorders>
          <w:top w:val="double" w:sz="4" w:space="0" w:color="B0B89A" w:themeColor="accent5" w:themeTint="99"/>
        </w:tcBorders>
      </w:tcPr>
    </w:tblStylePr>
    <w:tblStylePr w:type="firstCol">
      <w:rPr>
        <w:b/>
        <w:bCs/>
      </w:rPr>
    </w:tblStylePr>
    <w:tblStylePr w:type="lastCol">
      <w:rPr>
        <w:b/>
        <w:bCs/>
      </w:rPr>
    </w:tblStylePr>
    <w:tblStylePr w:type="band1Vert">
      <w:tblPr/>
      <w:tcPr>
        <w:shd w:val="clear" w:color="auto" w:fill="E4E7DD" w:themeFill="accent5" w:themeFillTint="33"/>
      </w:tcPr>
    </w:tblStylePr>
    <w:tblStylePr w:type="band1Horz">
      <w:tblPr/>
      <w:tcPr>
        <w:shd w:val="clear" w:color="auto" w:fill="E4E7DD" w:themeFill="accent5" w:themeFillTint="33"/>
      </w:tcPr>
    </w:tblStylePr>
  </w:style>
  <w:style w:type="table" w:styleId="GridTable3-Accent1">
    <w:name w:val="Grid Table 3 Accent 1"/>
    <w:basedOn w:val="TableNormal"/>
    <w:uiPriority w:val="48"/>
    <w:rsid w:val="003571C9"/>
    <w:pPr>
      <w:spacing w:after="0" w:line="240" w:lineRule="auto"/>
    </w:pPr>
    <w:tblPr>
      <w:tblStyleRowBandSize w:val="1"/>
      <w:tblStyleColBandSize w:val="1"/>
      <w:tblBorders>
        <w:top w:val="single" w:sz="4" w:space="0" w:color="96D1DE" w:themeColor="accent1" w:themeTint="99"/>
        <w:left w:val="single" w:sz="4" w:space="0" w:color="96D1DE" w:themeColor="accent1" w:themeTint="99"/>
        <w:bottom w:val="single" w:sz="4" w:space="0" w:color="96D1DE" w:themeColor="accent1" w:themeTint="99"/>
        <w:right w:val="single" w:sz="4" w:space="0" w:color="96D1DE" w:themeColor="accent1" w:themeTint="99"/>
        <w:insideH w:val="single" w:sz="4" w:space="0" w:color="96D1DE" w:themeColor="accent1" w:themeTint="99"/>
        <w:insideV w:val="single" w:sz="4" w:space="0" w:color="96D1D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FF4" w:themeFill="accent1" w:themeFillTint="33"/>
      </w:tcPr>
    </w:tblStylePr>
    <w:tblStylePr w:type="band1Horz">
      <w:tblPr/>
      <w:tcPr>
        <w:shd w:val="clear" w:color="auto" w:fill="DCEFF4" w:themeFill="accent1" w:themeFillTint="33"/>
      </w:tcPr>
    </w:tblStylePr>
    <w:tblStylePr w:type="neCell">
      <w:tblPr/>
      <w:tcPr>
        <w:tcBorders>
          <w:bottom w:val="single" w:sz="4" w:space="0" w:color="96D1DE" w:themeColor="accent1" w:themeTint="99"/>
        </w:tcBorders>
      </w:tcPr>
    </w:tblStylePr>
    <w:tblStylePr w:type="nwCell">
      <w:tblPr/>
      <w:tcPr>
        <w:tcBorders>
          <w:bottom w:val="single" w:sz="4" w:space="0" w:color="96D1DE" w:themeColor="accent1" w:themeTint="99"/>
        </w:tcBorders>
      </w:tcPr>
    </w:tblStylePr>
    <w:tblStylePr w:type="seCell">
      <w:tblPr/>
      <w:tcPr>
        <w:tcBorders>
          <w:top w:val="single" w:sz="4" w:space="0" w:color="96D1DE" w:themeColor="accent1" w:themeTint="99"/>
        </w:tcBorders>
      </w:tcPr>
    </w:tblStylePr>
    <w:tblStylePr w:type="swCell">
      <w:tblPr/>
      <w:tcPr>
        <w:tcBorders>
          <w:top w:val="single" w:sz="4" w:space="0" w:color="96D1DE" w:themeColor="accent1" w:themeTint="99"/>
        </w:tcBorders>
      </w:tcPr>
    </w:tblStylePr>
  </w:style>
  <w:style w:type="table" w:styleId="GridTable2-Accent5">
    <w:name w:val="Grid Table 2 Accent 5"/>
    <w:basedOn w:val="TableNormal"/>
    <w:uiPriority w:val="47"/>
    <w:rsid w:val="003571C9"/>
    <w:pPr>
      <w:spacing w:after="0" w:line="240" w:lineRule="auto"/>
    </w:pPr>
    <w:tblPr>
      <w:tblStyleRowBandSize w:val="1"/>
      <w:tblStyleColBandSize w:val="1"/>
      <w:tblBorders>
        <w:top w:val="single" w:sz="2" w:space="0" w:color="B0B89A" w:themeColor="accent5" w:themeTint="99"/>
        <w:bottom w:val="single" w:sz="2" w:space="0" w:color="B0B89A" w:themeColor="accent5" w:themeTint="99"/>
        <w:insideH w:val="single" w:sz="2" w:space="0" w:color="B0B89A" w:themeColor="accent5" w:themeTint="99"/>
        <w:insideV w:val="single" w:sz="2" w:space="0" w:color="B0B89A" w:themeColor="accent5" w:themeTint="99"/>
      </w:tblBorders>
    </w:tblPr>
    <w:tblStylePr w:type="firstRow">
      <w:rPr>
        <w:b/>
        <w:bCs/>
      </w:rPr>
      <w:tblPr/>
      <w:tcPr>
        <w:tcBorders>
          <w:top w:val="nil"/>
          <w:bottom w:val="single" w:sz="12" w:space="0" w:color="B0B89A" w:themeColor="accent5" w:themeTint="99"/>
          <w:insideH w:val="nil"/>
          <w:insideV w:val="nil"/>
        </w:tcBorders>
        <w:shd w:val="clear" w:color="auto" w:fill="FFFFFF" w:themeFill="background1"/>
      </w:tcPr>
    </w:tblStylePr>
    <w:tblStylePr w:type="lastRow">
      <w:rPr>
        <w:b/>
        <w:bCs/>
      </w:rPr>
      <w:tblPr/>
      <w:tcPr>
        <w:tcBorders>
          <w:top w:val="double" w:sz="2" w:space="0" w:color="B0B89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7DD" w:themeFill="accent5" w:themeFillTint="33"/>
      </w:tcPr>
    </w:tblStylePr>
    <w:tblStylePr w:type="band1Horz">
      <w:tblPr/>
      <w:tcPr>
        <w:shd w:val="clear" w:color="auto" w:fill="E4E7DD" w:themeFill="accent5" w:themeFillTint="33"/>
      </w:tcPr>
    </w:tblStylePr>
  </w:style>
  <w:style w:type="paragraph" w:customStyle="1" w:styleId="Actionpoint">
    <w:name w:val="Action point"/>
    <w:next w:val="Normal"/>
    <w:link w:val="ActionpointChar"/>
    <w:uiPriority w:val="4"/>
    <w:qFormat/>
    <w:rsid w:val="00D10393"/>
    <w:rPr>
      <w:b/>
      <w:color w:val="FF0000"/>
      <w:lang w:val="en-GB"/>
    </w:rPr>
  </w:style>
  <w:style w:type="character" w:customStyle="1" w:styleId="ActionpointChar">
    <w:name w:val="Action point Char"/>
    <w:basedOn w:val="DefaultParagraphFont"/>
    <w:link w:val="Actionpoint"/>
    <w:uiPriority w:val="4"/>
    <w:rsid w:val="00E85740"/>
    <w:rPr>
      <w:b/>
      <w:color w:val="FF0000"/>
      <w:lang w:val="en-GB"/>
    </w:rPr>
  </w:style>
  <w:style w:type="character" w:customStyle="1" w:styleId="Heading5Char">
    <w:name w:val="Heading 5 Char"/>
    <w:basedOn w:val="DefaultParagraphFont"/>
    <w:link w:val="Heading5"/>
    <w:uiPriority w:val="9"/>
    <w:rsid w:val="009A5D5A"/>
    <w:rPr>
      <w:rFonts w:asciiTheme="majorHAnsi" w:eastAsiaTheme="majorEastAsia" w:hAnsiTheme="majorHAnsi" w:cstheme="majorBidi"/>
      <w:color w:val="328D9F" w:themeColor="accent1" w:themeShade="BF"/>
      <w:lang w:val="en-GB"/>
    </w:rPr>
  </w:style>
  <w:style w:type="character" w:customStyle="1" w:styleId="Heading6Char">
    <w:name w:val="Heading 6 Char"/>
    <w:basedOn w:val="DefaultParagraphFont"/>
    <w:link w:val="Heading6"/>
    <w:uiPriority w:val="9"/>
    <w:rsid w:val="00E85740"/>
    <w:rPr>
      <w:rFonts w:asciiTheme="majorHAnsi" w:eastAsiaTheme="majorEastAsia" w:hAnsiTheme="majorHAnsi" w:cstheme="majorBidi"/>
      <w:color w:val="215D6A" w:themeColor="accent1" w:themeShade="7F"/>
      <w:lang w:val="en-GB"/>
    </w:rPr>
  </w:style>
  <w:style w:type="paragraph" w:styleId="TOCHeading">
    <w:name w:val="TOC Heading"/>
    <w:basedOn w:val="Heading1"/>
    <w:next w:val="Normal"/>
    <w:uiPriority w:val="39"/>
    <w:unhideWhenUsed/>
    <w:qFormat/>
    <w:rsid w:val="00732299"/>
    <w:pPr>
      <w:outlineLvl w:val="9"/>
    </w:pPr>
    <w:rPr>
      <w:b w:val="0"/>
      <w:lang w:val="en-US"/>
    </w:rPr>
  </w:style>
  <w:style w:type="paragraph" w:styleId="TOC1">
    <w:name w:val="toc 1"/>
    <w:basedOn w:val="Normal"/>
    <w:next w:val="Normal"/>
    <w:autoRedefine/>
    <w:uiPriority w:val="39"/>
    <w:unhideWhenUsed/>
    <w:rsid w:val="00732299"/>
    <w:pPr>
      <w:spacing w:after="100"/>
    </w:pPr>
  </w:style>
  <w:style w:type="paragraph" w:styleId="TOC2">
    <w:name w:val="toc 2"/>
    <w:basedOn w:val="Normal"/>
    <w:next w:val="Normal"/>
    <w:autoRedefine/>
    <w:uiPriority w:val="39"/>
    <w:unhideWhenUsed/>
    <w:rsid w:val="00732299"/>
    <w:pPr>
      <w:spacing w:after="100"/>
      <w:ind w:left="220"/>
    </w:pPr>
  </w:style>
  <w:style w:type="character" w:styleId="Hyperlink">
    <w:name w:val="Hyperlink"/>
    <w:basedOn w:val="DefaultParagraphFont"/>
    <w:uiPriority w:val="99"/>
    <w:unhideWhenUsed/>
    <w:rsid w:val="00732299"/>
    <w:rPr>
      <w:color w:val="2370CD" w:themeColor="hyperlink"/>
      <w:u w:val="single"/>
    </w:rPr>
  </w:style>
  <w:style w:type="paragraph" w:styleId="ListParagraph">
    <w:name w:val="List Paragraph"/>
    <w:basedOn w:val="Normal"/>
    <w:uiPriority w:val="34"/>
    <w:qFormat/>
    <w:rsid w:val="00B96F8C"/>
    <w:pPr>
      <w:ind w:left="720"/>
      <w:contextualSpacing/>
    </w:pPr>
  </w:style>
  <w:style w:type="table" w:styleId="GridTable5Dark-Accent1">
    <w:name w:val="Grid Table 5 Dark Accent 1"/>
    <w:basedOn w:val="TableNormal"/>
    <w:uiPriority w:val="50"/>
    <w:rsid w:val="00ED406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F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B4C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B4C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B4C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B4C8" w:themeFill="accent1"/>
      </w:tcPr>
    </w:tblStylePr>
    <w:tblStylePr w:type="band1Vert">
      <w:tblPr/>
      <w:tcPr>
        <w:shd w:val="clear" w:color="auto" w:fill="B9E0E9" w:themeFill="accent1" w:themeFillTint="66"/>
      </w:tcPr>
    </w:tblStylePr>
    <w:tblStylePr w:type="band1Horz">
      <w:tblPr/>
      <w:tcPr>
        <w:shd w:val="clear" w:color="auto" w:fill="B9E0E9" w:themeFill="accent1" w:themeFillTint="66"/>
      </w:tcPr>
    </w:tblStylePr>
  </w:style>
  <w:style w:type="table" w:styleId="GridTable4-Accent1">
    <w:name w:val="Grid Table 4 Accent 1"/>
    <w:basedOn w:val="TableNormal"/>
    <w:uiPriority w:val="49"/>
    <w:rsid w:val="00225A19"/>
    <w:pPr>
      <w:spacing w:after="0" w:line="240" w:lineRule="auto"/>
    </w:pPr>
    <w:tblPr>
      <w:tblStyleRowBandSize w:val="1"/>
      <w:tblStyleColBandSize w:val="1"/>
      <w:tblBorders>
        <w:top w:val="single" w:sz="4" w:space="0" w:color="96D1DE" w:themeColor="accent1" w:themeTint="99"/>
        <w:left w:val="single" w:sz="4" w:space="0" w:color="96D1DE" w:themeColor="accent1" w:themeTint="99"/>
        <w:bottom w:val="single" w:sz="4" w:space="0" w:color="96D1DE" w:themeColor="accent1" w:themeTint="99"/>
        <w:right w:val="single" w:sz="4" w:space="0" w:color="96D1DE" w:themeColor="accent1" w:themeTint="99"/>
        <w:insideH w:val="single" w:sz="4" w:space="0" w:color="96D1DE" w:themeColor="accent1" w:themeTint="99"/>
        <w:insideV w:val="single" w:sz="4" w:space="0" w:color="96D1DE" w:themeColor="accent1" w:themeTint="99"/>
      </w:tblBorders>
    </w:tblPr>
    <w:tblStylePr w:type="firstRow">
      <w:rPr>
        <w:b/>
        <w:bCs/>
        <w:color w:val="FFFFFF" w:themeColor="background1"/>
      </w:rPr>
      <w:tblPr/>
      <w:tcPr>
        <w:tcBorders>
          <w:top w:val="single" w:sz="4" w:space="0" w:color="50B4C8" w:themeColor="accent1"/>
          <w:left w:val="single" w:sz="4" w:space="0" w:color="50B4C8" w:themeColor="accent1"/>
          <w:bottom w:val="single" w:sz="4" w:space="0" w:color="50B4C8" w:themeColor="accent1"/>
          <w:right w:val="single" w:sz="4" w:space="0" w:color="50B4C8" w:themeColor="accent1"/>
          <w:insideH w:val="nil"/>
          <w:insideV w:val="nil"/>
        </w:tcBorders>
        <w:shd w:val="clear" w:color="auto" w:fill="50B4C8" w:themeFill="accent1"/>
      </w:tcPr>
    </w:tblStylePr>
    <w:tblStylePr w:type="lastRow">
      <w:rPr>
        <w:b/>
        <w:bCs/>
      </w:rPr>
      <w:tblPr/>
      <w:tcPr>
        <w:tcBorders>
          <w:top w:val="double" w:sz="4" w:space="0" w:color="50B4C8" w:themeColor="accent1"/>
        </w:tcBorders>
      </w:tcPr>
    </w:tblStylePr>
    <w:tblStylePr w:type="firstCol">
      <w:rPr>
        <w:b/>
        <w:bCs/>
      </w:rPr>
    </w:tblStylePr>
    <w:tblStylePr w:type="lastCol">
      <w:rPr>
        <w:b/>
        <w:bCs/>
      </w:rPr>
    </w:tblStylePr>
    <w:tblStylePr w:type="band1Vert">
      <w:tblPr/>
      <w:tcPr>
        <w:shd w:val="clear" w:color="auto" w:fill="DCEFF4" w:themeFill="accent1" w:themeFillTint="33"/>
      </w:tcPr>
    </w:tblStylePr>
    <w:tblStylePr w:type="band1Horz">
      <w:tblPr/>
      <w:tcPr>
        <w:shd w:val="clear" w:color="auto" w:fill="DCEFF4" w:themeFill="accent1" w:themeFillTint="33"/>
      </w:tcPr>
    </w:tblStylePr>
  </w:style>
  <w:style w:type="paragraph" w:styleId="Caption">
    <w:name w:val="caption"/>
    <w:basedOn w:val="Normal"/>
    <w:next w:val="Normal"/>
    <w:uiPriority w:val="35"/>
    <w:unhideWhenUsed/>
    <w:qFormat/>
    <w:rsid w:val="00466B44"/>
    <w:pPr>
      <w:spacing w:after="200" w:line="240" w:lineRule="auto"/>
    </w:pPr>
    <w:rPr>
      <w:i/>
      <w:iCs/>
      <w:color w:val="162F33" w:themeColor="text2"/>
      <w:sz w:val="18"/>
      <w:szCs w:val="1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8160D"/>
    <w:rPr>
      <w:b/>
      <w:bCs/>
    </w:rPr>
  </w:style>
  <w:style w:type="character" w:customStyle="1" w:styleId="CommentSubjectChar">
    <w:name w:val="Comment Subject Char"/>
    <w:basedOn w:val="CommentTextChar"/>
    <w:link w:val="CommentSubject"/>
    <w:uiPriority w:val="99"/>
    <w:semiHidden/>
    <w:rsid w:val="0078160D"/>
    <w:rPr>
      <w:b/>
      <w:bCs/>
      <w:sz w:val="20"/>
      <w:szCs w:val="20"/>
      <w:lang w:val="en-GB"/>
    </w:rPr>
  </w:style>
  <w:style w:type="character" w:styleId="UnresolvedMention">
    <w:name w:val="Unresolved Mention"/>
    <w:basedOn w:val="DefaultParagraphFont"/>
    <w:uiPriority w:val="99"/>
    <w:semiHidden/>
    <w:unhideWhenUsed/>
    <w:rsid w:val="005866DD"/>
    <w:rPr>
      <w:color w:val="808080"/>
      <w:shd w:val="clear" w:color="auto" w:fill="E6E6E6"/>
    </w:rPr>
  </w:style>
  <w:style w:type="character" w:styleId="FollowedHyperlink">
    <w:name w:val="FollowedHyperlink"/>
    <w:basedOn w:val="DefaultParagraphFont"/>
    <w:uiPriority w:val="99"/>
    <w:semiHidden/>
    <w:unhideWhenUsed/>
    <w:rsid w:val="001B1003"/>
    <w:rPr>
      <w:color w:val="877589" w:themeColor="followedHyperlink"/>
      <w:u w:val="single"/>
    </w:rPr>
  </w:style>
  <w:style w:type="paragraph" w:styleId="NormalWeb">
    <w:name w:val="Normal (Web)"/>
    <w:basedOn w:val="Normal"/>
    <w:uiPriority w:val="99"/>
    <w:semiHidden/>
    <w:unhideWhenUsed/>
    <w:rsid w:val="009B4F70"/>
    <w:pPr>
      <w:spacing w:before="100" w:beforeAutospacing="1" w:after="100" w:afterAutospacing="1" w:line="240" w:lineRule="auto"/>
    </w:pPr>
    <w:rPr>
      <w:rFonts w:ascii="Calibri" w:hAnsi="Calibri" w:cs="Calibri"/>
      <w:lang w:val="nl-NL" w:eastAsia="nl-NL"/>
    </w:rPr>
  </w:style>
  <w:style w:type="paragraph" w:styleId="Revision">
    <w:name w:val="Revision"/>
    <w:hidden/>
    <w:uiPriority w:val="99"/>
    <w:semiHidden/>
    <w:rsid w:val="00DC3225"/>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619340">
      <w:bodyDiv w:val="1"/>
      <w:marLeft w:val="0"/>
      <w:marRight w:val="0"/>
      <w:marTop w:val="0"/>
      <w:marBottom w:val="0"/>
      <w:divBdr>
        <w:top w:val="none" w:sz="0" w:space="0" w:color="auto"/>
        <w:left w:val="none" w:sz="0" w:space="0" w:color="auto"/>
        <w:bottom w:val="none" w:sz="0" w:space="0" w:color="auto"/>
        <w:right w:val="none" w:sz="0" w:space="0" w:color="auto"/>
      </w:divBdr>
    </w:div>
    <w:div w:id="190385581">
      <w:bodyDiv w:val="1"/>
      <w:marLeft w:val="0"/>
      <w:marRight w:val="0"/>
      <w:marTop w:val="0"/>
      <w:marBottom w:val="0"/>
      <w:divBdr>
        <w:top w:val="none" w:sz="0" w:space="0" w:color="auto"/>
        <w:left w:val="none" w:sz="0" w:space="0" w:color="auto"/>
        <w:bottom w:val="none" w:sz="0" w:space="0" w:color="auto"/>
        <w:right w:val="none" w:sz="0" w:space="0" w:color="auto"/>
      </w:divBdr>
    </w:div>
    <w:div w:id="601569538">
      <w:bodyDiv w:val="1"/>
      <w:marLeft w:val="0"/>
      <w:marRight w:val="0"/>
      <w:marTop w:val="0"/>
      <w:marBottom w:val="0"/>
      <w:divBdr>
        <w:top w:val="none" w:sz="0" w:space="0" w:color="auto"/>
        <w:left w:val="none" w:sz="0" w:space="0" w:color="auto"/>
        <w:bottom w:val="none" w:sz="0" w:space="0" w:color="auto"/>
        <w:right w:val="none" w:sz="0" w:space="0" w:color="auto"/>
      </w:divBdr>
    </w:div>
    <w:div w:id="984967406">
      <w:bodyDiv w:val="1"/>
      <w:marLeft w:val="0"/>
      <w:marRight w:val="0"/>
      <w:marTop w:val="0"/>
      <w:marBottom w:val="0"/>
      <w:divBdr>
        <w:top w:val="none" w:sz="0" w:space="0" w:color="auto"/>
        <w:left w:val="none" w:sz="0" w:space="0" w:color="auto"/>
        <w:bottom w:val="none" w:sz="0" w:space="0" w:color="auto"/>
        <w:right w:val="none" w:sz="0" w:space="0" w:color="auto"/>
      </w:divBdr>
    </w:div>
    <w:div w:id="1035889800">
      <w:bodyDiv w:val="1"/>
      <w:marLeft w:val="0"/>
      <w:marRight w:val="0"/>
      <w:marTop w:val="0"/>
      <w:marBottom w:val="0"/>
      <w:divBdr>
        <w:top w:val="none" w:sz="0" w:space="0" w:color="auto"/>
        <w:left w:val="none" w:sz="0" w:space="0" w:color="auto"/>
        <w:bottom w:val="none" w:sz="0" w:space="0" w:color="auto"/>
        <w:right w:val="none" w:sz="0" w:space="0" w:color="auto"/>
      </w:divBdr>
    </w:div>
    <w:div w:id="1107117893">
      <w:bodyDiv w:val="1"/>
      <w:marLeft w:val="0"/>
      <w:marRight w:val="0"/>
      <w:marTop w:val="0"/>
      <w:marBottom w:val="0"/>
      <w:divBdr>
        <w:top w:val="none" w:sz="0" w:space="0" w:color="auto"/>
        <w:left w:val="none" w:sz="0" w:space="0" w:color="auto"/>
        <w:bottom w:val="none" w:sz="0" w:space="0" w:color="auto"/>
        <w:right w:val="none" w:sz="0" w:space="0" w:color="auto"/>
      </w:divBdr>
    </w:div>
    <w:div w:id="1111626540">
      <w:bodyDiv w:val="1"/>
      <w:marLeft w:val="0"/>
      <w:marRight w:val="0"/>
      <w:marTop w:val="0"/>
      <w:marBottom w:val="0"/>
      <w:divBdr>
        <w:top w:val="none" w:sz="0" w:space="0" w:color="auto"/>
        <w:left w:val="none" w:sz="0" w:space="0" w:color="auto"/>
        <w:bottom w:val="none" w:sz="0" w:space="0" w:color="auto"/>
        <w:right w:val="none" w:sz="0" w:space="0" w:color="auto"/>
      </w:divBdr>
    </w:div>
    <w:div w:id="1166941501">
      <w:bodyDiv w:val="1"/>
      <w:marLeft w:val="0"/>
      <w:marRight w:val="0"/>
      <w:marTop w:val="0"/>
      <w:marBottom w:val="0"/>
      <w:divBdr>
        <w:top w:val="none" w:sz="0" w:space="0" w:color="auto"/>
        <w:left w:val="none" w:sz="0" w:space="0" w:color="auto"/>
        <w:bottom w:val="none" w:sz="0" w:space="0" w:color="auto"/>
        <w:right w:val="none" w:sz="0" w:space="0" w:color="auto"/>
      </w:divBdr>
    </w:div>
    <w:div w:id="1199470845">
      <w:bodyDiv w:val="1"/>
      <w:marLeft w:val="0"/>
      <w:marRight w:val="0"/>
      <w:marTop w:val="0"/>
      <w:marBottom w:val="0"/>
      <w:divBdr>
        <w:top w:val="none" w:sz="0" w:space="0" w:color="auto"/>
        <w:left w:val="none" w:sz="0" w:space="0" w:color="auto"/>
        <w:bottom w:val="none" w:sz="0" w:space="0" w:color="auto"/>
        <w:right w:val="none" w:sz="0" w:space="0" w:color="auto"/>
      </w:divBdr>
    </w:div>
    <w:div w:id="1388802117">
      <w:bodyDiv w:val="1"/>
      <w:marLeft w:val="0"/>
      <w:marRight w:val="0"/>
      <w:marTop w:val="0"/>
      <w:marBottom w:val="0"/>
      <w:divBdr>
        <w:top w:val="none" w:sz="0" w:space="0" w:color="auto"/>
        <w:left w:val="none" w:sz="0" w:space="0" w:color="auto"/>
        <w:bottom w:val="none" w:sz="0" w:space="0" w:color="auto"/>
        <w:right w:val="none" w:sz="0" w:space="0" w:color="auto"/>
      </w:divBdr>
    </w:div>
    <w:div w:id="1416047821">
      <w:bodyDiv w:val="1"/>
      <w:marLeft w:val="0"/>
      <w:marRight w:val="0"/>
      <w:marTop w:val="0"/>
      <w:marBottom w:val="0"/>
      <w:divBdr>
        <w:top w:val="none" w:sz="0" w:space="0" w:color="auto"/>
        <w:left w:val="none" w:sz="0" w:space="0" w:color="auto"/>
        <w:bottom w:val="none" w:sz="0" w:space="0" w:color="auto"/>
        <w:right w:val="none" w:sz="0" w:space="0" w:color="auto"/>
      </w:divBdr>
    </w:div>
    <w:div w:id="1735083141">
      <w:bodyDiv w:val="1"/>
      <w:marLeft w:val="0"/>
      <w:marRight w:val="0"/>
      <w:marTop w:val="0"/>
      <w:marBottom w:val="0"/>
      <w:divBdr>
        <w:top w:val="none" w:sz="0" w:space="0" w:color="auto"/>
        <w:left w:val="none" w:sz="0" w:space="0" w:color="auto"/>
        <w:bottom w:val="none" w:sz="0" w:space="0" w:color="auto"/>
        <w:right w:val="none" w:sz="0" w:space="0" w:color="auto"/>
      </w:divBdr>
    </w:div>
    <w:div w:id="1981381514">
      <w:bodyDiv w:val="1"/>
      <w:marLeft w:val="0"/>
      <w:marRight w:val="0"/>
      <w:marTop w:val="0"/>
      <w:marBottom w:val="0"/>
      <w:divBdr>
        <w:top w:val="none" w:sz="0" w:space="0" w:color="auto"/>
        <w:left w:val="none" w:sz="0" w:space="0" w:color="auto"/>
        <w:bottom w:val="none" w:sz="0" w:space="0" w:color="auto"/>
        <w:right w:val="none" w:sz="0" w:space="0" w:color="auto"/>
      </w:divBdr>
    </w:div>
    <w:div w:id="212831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b1.ene.iiasa.ac.at/COMMITDB/static/download/COMMIT_akaCD-LINKS_fasttrack_template_SD_20180816.xls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Y:\Project\E555163_COMMIT\Data\Communication\Templates\COMMIT%20Template%20Minutes%20V1.dotx" TargetMode="External"/></Relationships>
</file>

<file path=word/theme/theme1.xml><?xml version="1.0" encoding="utf-8"?>
<a:theme xmlns:a="http://schemas.openxmlformats.org/drawingml/2006/main" name="Metropolitan">
  <a:themeElements>
    <a:clrScheme name="Metropolitan">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Metropolitan">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Metropolitan">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5220DF50D9C6442A4A6BC46C430B6A9" ma:contentTypeVersion="11" ma:contentTypeDescription="Ein neues Dokument erstellen." ma:contentTypeScope="" ma:versionID="89cf6c99a9a3539b9ce19382c4e92dcc">
  <xsd:schema xmlns:xsd="http://www.w3.org/2001/XMLSchema" xmlns:xs="http://www.w3.org/2001/XMLSchema" xmlns:p="http://schemas.microsoft.com/office/2006/metadata/properties" xmlns:ns3="61546f8b-c233-4c32-8907-372d352e774d" xmlns:ns4="bb96e7e5-7f66-4f94-bb93-e847a94f75ae" targetNamespace="http://schemas.microsoft.com/office/2006/metadata/properties" ma:root="true" ma:fieldsID="e9fe61ad2ed5930e030129b2468a36ef" ns3:_="" ns4:_="">
    <xsd:import namespace="61546f8b-c233-4c32-8907-372d352e774d"/>
    <xsd:import namespace="bb96e7e5-7f66-4f94-bb93-e847a94f75a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46f8b-c233-4c32-8907-372d352e774d"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6e7e5-7f66-4f94-bb93-e847a94f75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357ED-2A26-4A8C-935B-10FF2D8A99BE}">
  <ds:schemaRefs>
    <ds:schemaRef ds:uri="http://schemas.openxmlformats.org/package/2006/metadata/core-properties"/>
    <ds:schemaRef ds:uri="http://schemas.microsoft.com/office/infopath/2007/PartnerControls"/>
    <ds:schemaRef ds:uri="http://schemas.microsoft.com/office/2006/documentManagement/types"/>
    <ds:schemaRef ds:uri="61546f8b-c233-4c32-8907-372d352e774d"/>
    <ds:schemaRef ds:uri="http://purl.org/dc/elements/1.1/"/>
    <ds:schemaRef ds:uri="bb96e7e5-7f66-4f94-bb93-e847a94f75ae"/>
    <ds:schemaRef ds:uri="http://www.w3.org/XML/1998/namespace"/>
    <ds:schemaRef ds:uri="http://schemas.microsoft.com/office/2006/metadata/properties"/>
    <ds:schemaRef ds:uri="http://purl.org/dc/terms/"/>
    <ds:schemaRef ds:uri="http://purl.org/dc/dcmitype/"/>
  </ds:schemaRefs>
</ds:datastoreItem>
</file>

<file path=customXml/itemProps2.xml><?xml version="1.0" encoding="utf-8"?>
<ds:datastoreItem xmlns:ds="http://schemas.openxmlformats.org/officeDocument/2006/customXml" ds:itemID="{B005685E-EF07-4E52-873E-7F8731C18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46f8b-c233-4c32-8907-372d352e774d"/>
    <ds:schemaRef ds:uri="bb96e7e5-7f66-4f94-bb93-e847a94f7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CDFB71-BD0C-4EEF-80A4-6693B0591614}">
  <ds:schemaRefs>
    <ds:schemaRef ds:uri="http://schemas.microsoft.com/sharepoint/v3/contenttype/forms"/>
  </ds:schemaRefs>
</ds:datastoreItem>
</file>

<file path=customXml/itemProps4.xml><?xml version="1.0" encoding="utf-8"?>
<ds:datastoreItem xmlns:ds="http://schemas.openxmlformats.org/officeDocument/2006/customXml" ds:itemID="{D0CEA1E7-CE25-4EB1-ADF3-2846C5F2D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 Template Minutes V1.dotx</Template>
  <TotalTime>3</TotalTime>
  <Pages>10</Pages>
  <Words>2900</Words>
  <Characters>15950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18813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Esmeijer, Kendall</dc:creator>
  <cp:keywords/>
  <dc:description/>
  <cp:lastModifiedBy>Heleen Soest</cp:lastModifiedBy>
  <cp:revision>3</cp:revision>
  <cp:lastPrinted>2019-09-03T07:05:00Z</cp:lastPrinted>
  <dcterms:created xsi:type="dcterms:W3CDTF">2020-12-17T15:41:00Z</dcterms:created>
  <dcterms:modified xsi:type="dcterms:W3CDTF">2020-12-18T12:51:00Z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0x010100E5220DF50D9C6442A4A6BC46C430B6A9</vt:lpwstr>
  </property>
</Properties>
</file>