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E8D0C" w14:textId="3213F355" w:rsidR="0002631A" w:rsidRPr="00932E24" w:rsidRDefault="006D0A51" w:rsidP="006D0A51">
      <w:pPr>
        <w:keepNext/>
        <w:keepLines/>
        <w:spacing w:before="400" w:after="40" w:line="240" w:lineRule="auto"/>
        <w:outlineLvl w:val="0"/>
        <w:rPr>
          <w:rFonts w:ascii="Calibri Light" w:eastAsia="Times New Roman" w:hAnsi="Calibri Light" w:cs="Times New Roman"/>
          <w:color w:val="215E6A"/>
          <w:sz w:val="36"/>
          <w:szCs w:val="36"/>
          <w:lang w:val="en-GB" w:eastAsia="nl-NL"/>
        </w:rPr>
      </w:pPr>
      <w:r w:rsidRPr="00932E24">
        <w:rPr>
          <w:rFonts w:ascii="Calibri Light" w:eastAsia="Times New Roman" w:hAnsi="Calibri Light" w:cs="Times New Roman"/>
          <w:color w:val="215E6A"/>
          <w:sz w:val="36"/>
          <w:szCs w:val="36"/>
          <w:lang w:val="en-GB" w:eastAsia="nl-NL"/>
        </w:rPr>
        <w:t xml:space="preserve">Supplementary </w:t>
      </w:r>
      <w:r w:rsidR="00C565F0" w:rsidRPr="00932E24">
        <w:rPr>
          <w:rFonts w:ascii="Calibri Light" w:eastAsia="Times New Roman" w:hAnsi="Calibri Light" w:cs="Times New Roman"/>
          <w:color w:val="215E6A"/>
          <w:sz w:val="36"/>
          <w:szCs w:val="36"/>
          <w:lang w:val="en-GB" w:eastAsia="nl-NL"/>
        </w:rPr>
        <w:t>I</w:t>
      </w:r>
      <w:r w:rsidRPr="00932E24">
        <w:rPr>
          <w:rFonts w:ascii="Calibri Light" w:eastAsia="Times New Roman" w:hAnsi="Calibri Light" w:cs="Times New Roman"/>
          <w:color w:val="215E6A"/>
          <w:sz w:val="36"/>
          <w:szCs w:val="36"/>
          <w:lang w:val="en-GB" w:eastAsia="nl-NL"/>
        </w:rPr>
        <w:t>nformation</w:t>
      </w:r>
      <w:r w:rsidR="00FB033E" w:rsidRPr="00932E24">
        <w:rPr>
          <w:rFonts w:ascii="Calibri Light" w:eastAsia="Times New Roman" w:hAnsi="Calibri Light" w:cs="Times New Roman"/>
          <w:color w:val="215E6A"/>
          <w:sz w:val="36"/>
          <w:szCs w:val="36"/>
          <w:lang w:val="en-GB" w:eastAsia="nl-NL"/>
        </w:rPr>
        <w:t>: Parts A and B</w:t>
      </w:r>
    </w:p>
    <w:p w14:paraId="187A728E" w14:textId="476A588E" w:rsidR="009B170D" w:rsidRPr="00932E24" w:rsidRDefault="009B170D" w:rsidP="009B170D">
      <w:pPr>
        <w:pStyle w:val="Title"/>
      </w:pPr>
      <w:bookmarkStart w:id="0" w:name="_a3ym76mpdtub" w:colFirst="0" w:colLast="0"/>
      <w:bookmarkEnd w:id="0"/>
      <w:r w:rsidRPr="00932E24">
        <w:t>A global roll-out of nationally relevant policies bridge</w:t>
      </w:r>
      <w:r w:rsidR="00177382" w:rsidRPr="00932E24">
        <w:t>s</w:t>
      </w:r>
      <w:r w:rsidRPr="00932E24">
        <w:t xml:space="preserve"> the emissions gap </w:t>
      </w:r>
    </w:p>
    <w:p w14:paraId="33D21428" w14:textId="4678FA97" w:rsidR="00AF59C4" w:rsidRPr="00932E24" w:rsidRDefault="00AF59C4" w:rsidP="00AF59C4">
      <w:pPr>
        <w:spacing w:after="240" w:line="240" w:lineRule="auto"/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</w:pP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Heleen L. van Soest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1,2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Lara Aleluia Reis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3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Luiz Bernardo Baptista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4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Christoph Bertram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5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Jacques Després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6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Laurent Drouet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3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 xml:space="preserve"> 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Michel den Elzen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Panagiotis Fragkos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7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Oliver Fricko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8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Shinichiro Fujimori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9,10,8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Neil Grant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11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Mathijs Harmsen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1,2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Gokul Iyer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12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 xml:space="preserve">, </w:t>
      </w:r>
      <w:r w:rsidR="00AB70B8"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Kimon Keramidas</w:t>
      </w:r>
      <w:r w:rsidR="00AB70B8"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6</w:t>
      </w:r>
      <w:r w:rsidR="00AB70B8"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 xml:space="preserve">, 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Alexandre C. Köberle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11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Elmar Kriegler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5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Aman Malik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5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Shivika Mittal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11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Ken Oshiro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9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Keywan Riahi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8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Mark Roelfsema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2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Bas van Ruijven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8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Roberto Schaeffer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4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Diego Silva Herran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10,13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Massimo Tavoni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3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Gamze Unlu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8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Toon Vandyck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6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lang w:val="en-GB" w:eastAsia="nl-NL"/>
        </w:rPr>
        <w:t>, Detlef P. van Vuuren</w:t>
      </w:r>
      <w:r w:rsidRPr="00932E24">
        <w:rPr>
          <w:rFonts w:ascii="Calibri Light" w:eastAsia="MS PGothic" w:hAnsi="Calibri Light" w:cs="Times New Roman"/>
          <w:color w:val="50B4C8" w:themeColor="accent1"/>
          <w:sz w:val="28"/>
          <w:szCs w:val="28"/>
          <w:vertAlign w:val="superscript"/>
          <w:lang w:val="en-GB" w:eastAsia="nl-NL"/>
        </w:rPr>
        <w:t>1,2</w:t>
      </w:r>
    </w:p>
    <w:p w14:paraId="1D5C1674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1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 PBL Netherlands Environmental Assessment Agency, PO Box 30314, 2500 GH The Hague, the Netherlands</w:t>
      </w:r>
    </w:p>
    <w:p w14:paraId="70D62466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2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 Copernicus Institute of Sustainable Development, Utrecht University,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Princetonlaan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 xml:space="preserve"> 8a, 3584 CB Utrecht, the Netherlands</w:t>
      </w:r>
    </w:p>
    <w:p w14:paraId="623F4919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3</w:t>
      </w:r>
      <w:r w:rsidRPr="00932E24">
        <w:rPr>
          <w:rFonts w:ascii="Calibri Light" w:eastAsia="MS PGothic" w:hAnsi="Calibri Light" w:cs="Times New Roman"/>
          <w:lang w:val="en-GB" w:eastAsia="nl-NL"/>
        </w:rPr>
        <w:t>RFF-CMCC European Institute on Economics and the Environment, Milan 20144, Italy</w:t>
      </w:r>
    </w:p>
    <w:p w14:paraId="30E44197" w14:textId="77777777" w:rsidR="00AF59C4" w:rsidRPr="004E117D" w:rsidRDefault="00AF59C4" w:rsidP="00AF59C4">
      <w:pPr>
        <w:spacing w:line="256" w:lineRule="auto"/>
        <w:rPr>
          <w:rFonts w:eastAsia="MS PGothic" w:cstheme="minorHAnsi"/>
          <w:lang w:val="en-GB" w:eastAsia="nl-NL"/>
        </w:rPr>
      </w:pPr>
      <w:bookmarkStart w:id="1" w:name="_GoBack"/>
      <w:r w:rsidRPr="004E117D">
        <w:rPr>
          <w:rFonts w:eastAsia="MS PGothic" w:cstheme="minorHAnsi"/>
          <w:vertAlign w:val="superscript"/>
          <w:lang w:val="en-GB" w:eastAsia="nl-NL"/>
        </w:rPr>
        <w:t>4</w:t>
      </w:r>
      <w:r w:rsidRPr="004E117D">
        <w:rPr>
          <w:rFonts w:eastAsia="MS PGothic" w:cstheme="minorHAnsi"/>
          <w:lang w:val="en-GB" w:eastAsia="nl-NL"/>
        </w:rPr>
        <w:t xml:space="preserve"> Centre for Energy and Environmental Economics, </w:t>
      </w:r>
      <w:proofErr w:type="spellStart"/>
      <w:r w:rsidRPr="004E117D">
        <w:rPr>
          <w:rFonts w:eastAsia="MS PGothic" w:cstheme="minorHAnsi"/>
          <w:lang w:val="en-GB" w:eastAsia="nl-NL"/>
        </w:rPr>
        <w:t>Universidade</w:t>
      </w:r>
      <w:proofErr w:type="spellEnd"/>
      <w:r w:rsidRPr="004E117D">
        <w:rPr>
          <w:rFonts w:eastAsia="MS PGothic" w:cstheme="minorHAnsi"/>
          <w:lang w:val="en-GB" w:eastAsia="nl-NL"/>
        </w:rPr>
        <w:t xml:space="preserve"> Federal do Rio de Janeiro (CENERGIA/COPPE/UFRJ), 21941-914 Rio de Janeiro, Brazil</w:t>
      </w:r>
    </w:p>
    <w:bookmarkEnd w:id="1"/>
    <w:p w14:paraId="3FB4FAD9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5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 Potsdam Institute for Climate Impact Research, Member of the Leibniz Association, P.O. Box 601203 , 14412, Potsdam, Germany</w:t>
      </w:r>
    </w:p>
    <w:p w14:paraId="1D082B21" w14:textId="1686256F" w:rsidR="00AF59C4" w:rsidRPr="004E117D" w:rsidRDefault="00AF59C4" w:rsidP="004E117D">
      <w:pPr>
        <w:rPr>
          <w:vertAlign w:val="superscript"/>
          <w:lang w:val="en-US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6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 </w:t>
      </w:r>
      <w:r w:rsidR="004E117D" w:rsidRPr="004E117D">
        <w:rPr>
          <w:lang w:val="en-US"/>
        </w:rPr>
        <w:t>European Commission, Joint Research Centre (JRC), Seville, Spain</w:t>
      </w:r>
    </w:p>
    <w:p w14:paraId="5D6B51BA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 xml:space="preserve">7 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E3Modelling S.A.,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Panormou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 xml:space="preserve"> 70-72, Athens, Greece</w:t>
      </w:r>
    </w:p>
    <w:p w14:paraId="792B2402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8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 International Institute for Applied Systems Analysis,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Schlossplatz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 xml:space="preserve"> 1, A-2361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Laxenburg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>, Austria</w:t>
      </w:r>
    </w:p>
    <w:p w14:paraId="07115FF5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ja-JP"/>
        </w:rPr>
        <w:t>9</w:t>
      </w: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 xml:space="preserve"> 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Department of Environmental Engineering, Kyoto University, C1-3 361,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Kyotodaigaku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 xml:space="preserve">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Katsura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 xml:space="preserve">,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Nishikyoku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>, Kyoto city, Japan</w:t>
      </w:r>
    </w:p>
    <w:p w14:paraId="409AFDF7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 xml:space="preserve">10 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National Institute for Environmental Studies, 16-2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Onogawa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>, Tsukuba, Ibaraki, 305-8506 Japan</w:t>
      </w:r>
    </w:p>
    <w:p w14:paraId="150DBCE8" w14:textId="77777777" w:rsidR="00AF59C4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 xml:space="preserve">11 </w:t>
      </w:r>
      <w:r w:rsidRPr="00932E24">
        <w:rPr>
          <w:rFonts w:ascii="Calibri Light" w:eastAsia="MS PGothic" w:hAnsi="Calibri Light" w:cs="Times New Roman"/>
          <w:lang w:val="en-GB" w:eastAsia="nl-NL"/>
        </w:rPr>
        <w:t>Grantham Institute, Imperial College London, Exhibition Road, London, SW7 2AZ, United Kingdom</w:t>
      </w:r>
    </w:p>
    <w:p w14:paraId="4D2DF23D" w14:textId="77777777" w:rsidR="00A5330B" w:rsidRPr="00932E24" w:rsidRDefault="00AF59C4" w:rsidP="00A5330B">
      <w:pPr>
        <w:rPr>
          <w:lang w:val="en-GB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t>12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 </w:t>
      </w:r>
      <w:r w:rsidR="00A5330B" w:rsidRPr="00932E24">
        <w:rPr>
          <w:lang w:val="en-GB"/>
        </w:rPr>
        <w:t>Joint Global Change Research Institute, Pacific Northwest National Laboratory and University of Maryland, College Park, MD, USA, 20740</w:t>
      </w:r>
    </w:p>
    <w:p w14:paraId="5EE6F03A" w14:textId="43451B1D" w:rsidR="00FD1903" w:rsidRPr="00932E24" w:rsidRDefault="00AF59C4" w:rsidP="00AF59C4">
      <w:pPr>
        <w:spacing w:line="256" w:lineRule="auto"/>
        <w:rPr>
          <w:rFonts w:ascii="Calibri Light" w:eastAsia="MS PGothic" w:hAnsi="Calibri Light" w:cs="Times New Roman"/>
          <w:lang w:val="en-GB" w:eastAsia="nl-NL"/>
        </w:rPr>
      </w:pPr>
      <w:r w:rsidRPr="00932E24">
        <w:rPr>
          <w:rFonts w:ascii="Calibri Light" w:eastAsia="MS PGothic" w:hAnsi="Calibri Light" w:cs="Times New Roman"/>
          <w:vertAlign w:val="superscript"/>
          <w:lang w:val="en-GB" w:eastAsia="nl-NL"/>
        </w:rPr>
        <w:lastRenderedPageBreak/>
        <w:t xml:space="preserve">13 </w:t>
      </w:r>
      <w:r w:rsidRPr="00932E24">
        <w:rPr>
          <w:rFonts w:ascii="Calibri Light" w:eastAsia="MS PGothic" w:hAnsi="Calibri Light" w:cs="Times New Roman"/>
          <w:lang w:val="en-GB" w:eastAsia="nl-NL"/>
        </w:rPr>
        <w:t xml:space="preserve">Institute for Global Environmental Strategies, 2108-11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Kamiyamaguchi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 xml:space="preserve">, </w:t>
      </w:r>
      <w:proofErr w:type="spellStart"/>
      <w:r w:rsidRPr="00932E24">
        <w:rPr>
          <w:rFonts w:ascii="Calibri Light" w:eastAsia="MS PGothic" w:hAnsi="Calibri Light" w:cs="Times New Roman"/>
          <w:lang w:val="en-GB" w:eastAsia="nl-NL"/>
        </w:rPr>
        <w:t>Hayama</w:t>
      </w:r>
      <w:proofErr w:type="spellEnd"/>
      <w:r w:rsidRPr="00932E24">
        <w:rPr>
          <w:rFonts w:ascii="Calibri Light" w:eastAsia="MS PGothic" w:hAnsi="Calibri Light" w:cs="Times New Roman"/>
          <w:lang w:val="en-GB" w:eastAsia="nl-NL"/>
        </w:rPr>
        <w:t>, Kanagawa, 240-0115 Japan</w:t>
      </w:r>
      <w:r w:rsidR="00A92441" w:rsidRPr="00932E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9C027FF" w14:textId="33019612" w:rsidR="00FD1903" w:rsidRPr="00932E24" w:rsidRDefault="00FD1903" w:rsidP="009B170D">
      <w:pPr>
        <w:rPr>
          <w:lang w:val="en-GB"/>
        </w:rPr>
        <w:sectPr w:rsidR="00FD1903" w:rsidRPr="00932E24" w:rsidSect="00262BBF">
          <w:pgSz w:w="12240" w:h="15840"/>
          <w:pgMar w:top="1417" w:right="1417" w:bottom="1417" w:left="1417" w:header="708" w:footer="708" w:gutter="0"/>
          <w:pgNumType w:start="1"/>
          <w:cols w:space="708"/>
          <w:docGrid w:linePitch="299"/>
        </w:sectPr>
      </w:pPr>
    </w:p>
    <w:p w14:paraId="34DCD0A4" w14:textId="25E830AA" w:rsidR="0002631A" w:rsidRPr="00932E24" w:rsidRDefault="0002631A" w:rsidP="0002631A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</w:pPr>
      <w:r w:rsidRPr="00932E24"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  <w:lastRenderedPageBreak/>
        <w:t>Part A: implementation of good practice policies per model</w:t>
      </w:r>
    </w:p>
    <w:p w14:paraId="579FBDFA" w14:textId="1D1B325E" w:rsidR="00823BE6" w:rsidRPr="00932E24" w:rsidRDefault="00823BE6" w:rsidP="00F004C2">
      <w:pPr>
        <w:spacing w:before="240" w:after="240"/>
        <w:rPr>
          <w:rFonts w:ascii="Calibri Light" w:eastAsia="Times New Roman" w:hAnsi="Calibri Light" w:cs="Times New Roman"/>
          <w:lang w:val="en-GB" w:eastAsia="nl-NL"/>
        </w:rPr>
      </w:pPr>
      <w:r w:rsidRPr="00932E24">
        <w:rPr>
          <w:rFonts w:ascii="Calibri Light" w:eastAsia="Times New Roman" w:hAnsi="Calibri Light" w:cs="Times New Roman"/>
          <w:lang w:val="en-GB" w:eastAsia="nl-NL"/>
        </w:rPr>
        <w:t>The set of good practice policies was defined in dialogue with national model teams. In some cases, this process led to higher ambition than initially defined: for example, the target for the share of electric and hydrogen vehicles</w:t>
      </w:r>
      <w:r w:rsidR="008B5779" w:rsidRPr="00932E24">
        <w:rPr>
          <w:rFonts w:ascii="Calibri Light" w:eastAsia="Times New Roman" w:hAnsi="Calibri Light" w:cs="Times New Roman"/>
          <w:lang w:val="en-GB" w:eastAsia="nl-NL"/>
        </w:rPr>
        <w:t xml:space="preserve"> in new sales</w:t>
      </w:r>
      <w:r w:rsidRPr="00932E24">
        <w:rPr>
          <w:rFonts w:ascii="Calibri Light" w:eastAsia="Times New Roman" w:hAnsi="Calibri Light" w:cs="Times New Roman"/>
          <w:lang w:val="en-GB" w:eastAsia="nl-NL"/>
        </w:rPr>
        <w:t xml:space="preserve"> was brought forward by five years for China, and China was placed in the group of countries with highest assumed afforestation rates. In other cases, it led to a</w:t>
      </w:r>
      <w:r w:rsidR="00173D30" w:rsidRPr="00932E24">
        <w:rPr>
          <w:rFonts w:ascii="Calibri Light" w:eastAsia="Times New Roman" w:hAnsi="Calibri Light" w:cs="Times New Roman"/>
          <w:lang w:val="en-GB" w:eastAsia="nl-NL"/>
        </w:rPr>
        <w:t xml:space="preserve"> delay</w:t>
      </w:r>
      <w:r w:rsidRPr="00932E24">
        <w:rPr>
          <w:rFonts w:ascii="Calibri Light" w:eastAsia="Times New Roman" w:hAnsi="Calibri Light" w:cs="Times New Roman"/>
          <w:lang w:val="en-GB" w:eastAsia="nl-NL"/>
        </w:rPr>
        <w:t>: for example, the target</w:t>
      </w:r>
      <w:r w:rsidR="007307C2" w:rsidRPr="00932E24">
        <w:rPr>
          <w:rFonts w:ascii="Calibri Light" w:eastAsia="Times New Roman" w:hAnsi="Calibri Light" w:cs="Times New Roman"/>
          <w:lang w:val="en-GB" w:eastAsia="nl-NL"/>
        </w:rPr>
        <w:t xml:space="preserve"> level</w:t>
      </w:r>
      <w:r w:rsidRPr="00932E24">
        <w:rPr>
          <w:rFonts w:ascii="Calibri Light" w:eastAsia="Times New Roman" w:hAnsi="Calibri Light" w:cs="Times New Roman"/>
          <w:lang w:val="en-GB" w:eastAsia="nl-NL"/>
        </w:rPr>
        <w:t xml:space="preserve"> for final energy intensity of buildings in the EU was adjusted, and for the USA, the carbon price was assumed to be introduced in 2025 rather than 2020. </w:t>
      </w:r>
    </w:p>
    <w:p w14:paraId="190FE6FA" w14:textId="6E838151" w:rsidR="006A00C2" w:rsidRPr="00932E24" w:rsidRDefault="006A00C2" w:rsidP="006A00C2">
      <w:pPr>
        <w:pStyle w:val="Caption"/>
        <w:keepNext/>
        <w:rPr>
          <w:lang w:val="en-GB"/>
        </w:rPr>
      </w:pPr>
      <w:r w:rsidRPr="00932E24">
        <w:rPr>
          <w:lang w:val="en-GB"/>
        </w:rPr>
        <w:t xml:space="preserve">Table A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Table_A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1</w:t>
      </w:r>
      <w:r w:rsidRPr="00932E24">
        <w:rPr>
          <w:lang w:val="en-GB"/>
        </w:rPr>
        <w:fldChar w:fldCharType="end"/>
      </w:r>
      <w:r w:rsidR="00F004C2" w:rsidRPr="00932E24">
        <w:rPr>
          <w:lang w:val="en-GB"/>
        </w:rPr>
        <w:t>: All good practice policies measures and their target values per country group</w:t>
      </w:r>
      <w:r w:rsidR="00541BB1" w:rsidRPr="00932E24">
        <w:rPr>
          <w:lang w:val="en-GB"/>
        </w:rPr>
        <w:t>. 2050 values only apply to the GPP scenario.</w:t>
      </w:r>
    </w:p>
    <w:p w14:paraId="5B40B396" w14:textId="6FC1EAD4" w:rsidR="00244D57" w:rsidRPr="00932E24" w:rsidRDefault="003E1E2C" w:rsidP="00552F17">
      <w:pPr>
        <w:rPr>
          <w:lang w:val="en-GB" w:eastAsia="nl-NL"/>
        </w:rPr>
      </w:pPr>
      <w:r w:rsidRPr="00932E24">
        <w:rPr>
          <w:lang w:val="en-GB" w:eastAsia="nl-NL"/>
        </w:rPr>
        <w:t xml:space="preserve">See </w:t>
      </w:r>
      <w:r w:rsidR="007053C9" w:rsidRPr="00932E24">
        <w:rPr>
          <w:lang w:val="en-GB" w:eastAsia="nl-NL"/>
        </w:rPr>
        <w:t>“Supplementary Information Table A 1.xlsx”.</w:t>
      </w:r>
    </w:p>
    <w:p w14:paraId="491FA373" w14:textId="77777777" w:rsidR="003E1E2C" w:rsidRPr="00932E24" w:rsidRDefault="003E1E2C">
      <w:pPr>
        <w:rPr>
          <w:i/>
          <w:iCs/>
          <w:color w:val="162F33" w:themeColor="text2"/>
          <w:sz w:val="18"/>
          <w:szCs w:val="18"/>
          <w:lang w:val="en-GB"/>
        </w:rPr>
      </w:pPr>
      <w:r w:rsidRPr="00932E24">
        <w:rPr>
          <w:lang w:val="en-GB"/>
        </w:rPr>
        <w:br w:type="page"/>
      </w:r>
    </w:p>
    <w:p w14:paraId="65F05072" w14:textId="26DB60DC" w:rsidR="00244D57" w:rsidRPr="00932E24" w:rsidRDefault="00244D57" w:rsidP="00244D57">
      <w:pPr>
        <w:pStyle w:val="Caption"/>
        <w:keepNext/>
        <w:rPr>
          <w:lang w:val="en-GB"/>
        </w:rPr>
      </w:pPr>
      <w:r w:rsidRPr="00932E24">
        <w:rPr>
          <w:lang w:val="en-GB"/>
        </w:rPr>
        <w:lastRenderedPageBreak/>
        <w:t xml:space="preserve">Table A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Table_A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2</w:t>
      </w:r>
      <w:r w:rsidRPr="00932E24">
        <w:rPr>
          <w:lang w:val="en-GB"/>
        </w:rPr>
        <w:fldChar w:fldCharType="end"/>
      </w:r>
      <w:r w:rsidRPr="00932E24">
        <w:rPr>
          <w:lang w:val="en-GB"/>
        </w:rPr>
        <w:t xml:space="preserve">: </w:t>
      </w:r>
      <w:r w:rsidR="00F004C2" w:rsidRPr="00932E24">
        <w:rPr>
          <w:lang w:val="en-GB"/>
        </w:rPr>
        <w:t>I</w:t>
      </w:r>
      <w:r w:rsidRPr="00932E24">
        <w:rPr>
          <w:lang w:val="en-GB"/>
        </w:rPr>
        <w:t xml:space="preserve">mplementation </w:t>
      </w:r>
      <w:r w:rsidR="00F004C2" w:rsidRPr="00932E24">
        <w:rPr>
          <w:lang w:val="en-GB"/>
        </w:rPr>
        <w:t>of the good practice policies listed in Table A 1, per model</w:t>
      </w:r>
      <w:r w:rsidR="006A10CA" w:rsidRPr="00932E24">
        <w:rPr>
          <w:lang w:val="en-GB"/>
        </w:rPr>
        <w:t xml:space="preserve"> (percentages behind the model name indicate the share of the policies implemented, counting the orange and green cells, and excluding the proxy indicators)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418"/>
        <w:gridCol w:w="1559"/>
        <w:gridCol w:w="1985"/>
        <w:gridCol w:w="1559"/>
        <w:gridCol w:w="1579"/>
        <w:gridCol w:w="1443"/>
        <w:gridCol w:w="1443"/>
        <w:gridCol w:w="1443"/>
      </w:tblGrid>
      <w:tr w:rsidR="00932E24" w:rsidRPr="00932E24" w14:paraId="6B9FCE56" w14:textId="61F77106" w:rsidTr="00932E24">
        <w:trPr>
          <w:trHeight w:val="315"/>
          <w:tblHeader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12DDB3C1" w14:textId="77777777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ID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000000" w:fill="5B9BD5"/>
            <w:noWrap/>
            <w:hideMark/>
          </w:tcPr>
          <w:p w14:paraId="5E45C05D" w14:textId="4F8A8E53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AIM (56%)</w:t>
            </w:r>
          </w:p>
        </w:tc>
        <w:tc>
          <w:tcPr>
            <w:tcW w:w="1559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34F1940A" w14:textId="7C18002D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IMAGE (94%)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32C91ED2" w14:textId="796CC6DE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proofErr w:type="spellStart"/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MESSAGEix_GLOBIOM</w:t>
            </w:r>
            <w:proofErr w:type="spellEnd"/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 xml:space="preserve"> (74%)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68B03A4D" w14:textId="49456F97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POLES (62%)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4BB977E9" w14:textId="2C363B64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PROMETHEUS (53%)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2539FA9D" w14:textId="2E1CAEFC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REMIND-</w:t>
            </w:r>
            <w:proofErr w:type="spellStart"/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MAgPIE</w:t>
            </w:r>
            <w:proofErr w:type="spellEnd"/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 xml:space="preserve"> (71%)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5B9BD5"/>
            <w:noWrap/>
            <w:hideMark/>
          </w:tcPr>
          <w:p w14:paraId="3C503220" w14:textId="6A9A2B57" w:rsidR="0064729A" w:rsidRPr="00932E24" w:rsidRDefault="0064729A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WITCH (68%)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5B9BD5"/>
          </w:tcPr>
          <w:p w14:paraId="6CB7D914" w14:textId="53BD9610" w:rsidR="0064729A" w:rsidRPr="00932E24" w:rsidRDefault="00932E24" w:rsidP="00244D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TIAM-Grantham_v3.2 (4</w:t>
            </w:r>
            <w:r w:rsidR="00CE10D8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4</w:t>
            </w:r>
            <w:r w:rsidRPr="00932E24">
              <w:rPr>
                <w:rFonts w:ascii="Calibri" w:eastAsia="Times New Roman" w:hAnsi="Calibri" w:cs="Calibri"/>
                <w:b/>
                <w:bCs/>
                <w:color w:val="FFFFFF"/>
                <w:lang w:val="en-GB" w:eastAsia="nl-NL"/>
              </w:rPr>
              <w:t>%)</w:t>
            </w:r>
          </w:p>
        </w:tc>
      </w:tr>
      <w:tr w:rsidR="00932E24" w:rsidRPr="00932E24" w14:paraId="155BFEA3" w14:textId="640FD5AA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CBBBBD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9221805" w14:textId="2932361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C006DD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7823B27" w14:textId="491BE58C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A24188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5CE4A03" w14:textId="7B35982C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35FA33CD" w14:textId="37680C3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(exact numbers as in Kriegler et al. 2018)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5AA209BA" w14:textId="61995B50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E84CF45" w14:textId="148839BE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Agricultural policies not implemented</w:t>
            </w:r>
          </w:p>
        </w:tc>
      </w:tr>
      <w:tr w:rsidR="00932E24" w:rsidRPr="004E117D" w14:paraId="64283986" w14:textId="58107536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544736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E0D0FF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62B2C4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14DC788" w14:textId="617284A9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FEC60E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A4F70F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64AD854A" w14:textId="2DA8E86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(exact numbers as in Kriegler et al. 2018)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6FDF4A09" w14:textId="2C48029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A6D8F1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4E117D" w14:paraId="69DAF07C" w14:textId="2816D2C6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633A61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676B29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2AE319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FB0FC17" w14:textId="538E7078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73C3EBD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E3AFCF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78070DDB" w14:textId="43E7A1A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(exact numbers as in Kriegler et al. 2018)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41AB760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EA0CDF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4E117D" w14:paraId="46A69811" w14:textId="4A0A8D57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F48A30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0A2550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EA4A41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D37E930" w14:textId="5DBF561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4F9A05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788210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0C6744EA" w14:textId="2830C03C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(exact numbers as in Kriegler et al. 2018)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70CB69C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11DD322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5ABFE33D" w14:textId="6DDAAD94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0249FD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22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CCCCCC"/>
            </w:tcBorders>
            <w:shd w:val="clear" w:color="000000" w:fill="FF0000"/>
            <w:hideMark/>
          </w:tcPr>
          <w:p w14:paraId="1813CE0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AD37F6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ECB04EA" w14:textId="14A4961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D884C0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0D9FCF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35CA67B2" w14:textId="714B855A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30F8FAF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94200A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204ABDB3" w14:textId="7420B4B3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E7D866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24a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09934A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086608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E3133A5" w14:textId="77F00F0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0970CC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DD3247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782A174B" w14:textId="7947B970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01CC93B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25C13EB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1A322D0E" w14:textId="01901740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E5C520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24b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6C474E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9C63E3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54D1AC5" w14:textId="78F40EAA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A08D52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FE60DF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57B36E10" w14:textId="4FA205A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19923CC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FD8B62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71629027" w14:textId="07D025ED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1F7439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24c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5E9832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A58391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59318B9" w14:textId="46643EB2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agriculture policies 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728444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7ED128A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39121B23" w14:textId="15C0D82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06A7E0A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574B9F7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6EB3C17F" w14:textId="0B31A0CA" w:rsidTr="00932E24">
        <w:trPr>
          <w:trHeight w:val="30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D41236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3a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6F8DEC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Adjusted the AEEI of </w:t>
            </w:r>
            <w:proofErr w:type="spellStart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builings</w:t>
            </w:r>
            <w:proofErr w:type="spellEnd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 sector to match protocol value.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487F5A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(Make appliance Unit Energy Consumption (kWh per appliance) improve according to the rate of the protocol)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2EE6D9E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94290D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39BC6A9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proxy implementation finalised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0C5209CF" w14:textId="22301D6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proxy values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</w:tcPr>
          <w:p w14:paraId="424F13B4" w14:textId="5B56918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09F22D9E" w14:textId="2A5506A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75F41DF1" w14:textId="2ACCBDC6" w:rsidTr="00932E24">
        <w:trPr>
          <w:trHeight w:val="30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1130E9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3b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32273A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Adjusted the AEEI of </w:t>
            </w:r>
            <w:proofErr w:type="spellStart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builings</w:t>
            </w:r>
            <w:proofErr w:type="spellEnd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 sector to match protocol value.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BBC3A4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(Make appliance Unit Energy Consumption (kWh per appliance) improve according to the rate of the protocol)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2F15260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960281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58EFD75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proxy implementation finalised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04263480" w14:textId="2AE45009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proxy values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48B8D5E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0B991153" w14:textId="1AEC956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4E117D" w14:paraId="0AA13489" w14:textId="0A3A6011" w:rsidTr="00932E24">
        <w:trPr>
          <w:trHeight w:val="57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12DAAE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4a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00124D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6EE772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(through the previous measure + transitioned to fully-LED lighting + Reduce heating and cooling intensity (kJ/m2/HDD or CDD) according to the protocol (This is an exogenous variable in the version of TIMER which was used) + the next measure)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055D544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877FEF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E7D204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014BEF68" w14:textId="13DF206B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proxy values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592C115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C84278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4E117D" w14:paraId="77FFDBD1" w14:textId="74ECEDC2" w:rsidTr="00932E24">
        <w:trPr>
          <w:trHeight w:val="57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5691E1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4b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CB5678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65063F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(through the previous measure + transitioned to fully-LED lighting + Reduce heating and cooling intensity (kJ/m2/HDD or CDD) according to the protocol (This is an exogenous variable in the version of TIMER which was used) + the next measure)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75185CC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2AC8B9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0743AB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35FE0315" w14:textId="71EB76B8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proxy values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6CC90CE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06A209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5EF64908" w14:textId="42711719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DA0D73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4c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E6E11C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FADF31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3F53785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03DA52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7F4F44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6B4C02FC" w14:textId="7136667A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5E1B78C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078FF68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00E5F8A9" w14:textId="38F211E1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95C9BB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4d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0CE6CD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A33024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41EBF74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47B08B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F09E96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4A4B4871" w14:textId="4F065D6A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4526E9D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9A4C75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</w:p>
        </w:tc>
      </w:tr>
      <w:tr w:rsidR="00932E24" w:rsidRPr="00932E24" w14:paraId="186AA1E1" w14:textId="0180564F" w:rsidTr="0026400C">
        <w:trPr>
          <w:trHeight w:val="33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181222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5a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2089CF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F7BABA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(Deactivate coal and oil boilers for households. Only marginal capacity (existing capacity remains for their technical lifetime).)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0675130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467BE2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AF7748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723E3103" w14:textId="423A988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56EB355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337BD849" w14:textId="012D33E5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6342E440" w14:textId="31253C38" w:rsidTr="0026400C">
        <w:trPr>
          <w:trHeight w:val="33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DD0E29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5b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191C15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FB3754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(Deactivate coal and oil boilers for households. Only marginal capacity (existing capacity remains for their technical lifetime).)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12A63D7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E90EBE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8B7B9F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6B651A08" w14:textId="5CFA57E5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20A489B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7C83EB32" w14:textId="3E2C7BA2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DF7238D" w14:textId="6BE2E438" w:rsidTr="00932E24">
        <w:trPr>
          <w:trHeight w:val="66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83B57C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6a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7A214D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005C5B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(through the appliance energy consumption improvement + transitioned to fully-LED lighting + Reduce heating and cooling intensity (kJ/m2/HDD or CDD) according to the protocol (This is an exogenous variable in the version of TIMER which was used) + deactivation of coal and oil boilers for households)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587E8F8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A55725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B10E30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21E15DF4" w14:textId="0B0AD8C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proxy values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5DDE232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A5A3519" w14:textId="4B8FCC78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Not Implemented </w:t>
            </w:r>
          </w:p>
        </w:tc>
      </w:tr>
      <w:tr w:rsidR="00932E24" w:rsidRPr="00932E24" w14:paraId="5A1BDE41" w14:textId="71B3EA8D" w:rsidTr="00932E24">
        <w:trPr>
          <w:trHeight w:val="66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1B9B4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6b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72108C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95B6CD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(through the appliance energy consumption improvement + transitioned to fully-LED lighting + Reduce heating and cooling intensity (kJ/m2/HDD or CDD) according to the protocol (This is an exogenous variable in the version of TIMER which was used) + deactivation of coal and oil boilers for households)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036AB80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022315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ACCBAA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0B21EB98" w14:textId="3A2A923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proxy values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2F57E5E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1E3A27C6" w14:textId="66A3FBF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1F1252B5" w14:textId="381496D8" w:rsidTr="0026400C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A2A4FC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25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4449D2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74CC83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77AAB06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proxy values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A3EADB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hideMark/>
          </w:tcPr>
          <w:p w14:paraId="019A61C1" w14:textId="0E3959D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1AA4E5A8" w14:textId="4937AC7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430B2EE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08EBB3FD" w14:textId="3C074EC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7C855773" w14:textId="5564AA61" w:rsidTr="00932E24">
        <w:trPr>
          <w:trHeight w:val="3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CFBA73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7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D4A00E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B1192A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C3410E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implemented.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4780CA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C8B6EF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1C2CC7F5" w14:textId="77DF857A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7CFFCDC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11E9314B" w14:textId="7F65629B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19699CC" w14:textId="3A14CCDC" w:rsidTr="00932E24">
        <w:trPr>
          <w:trHeight w:val="12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278DE2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1F0208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41C3C5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(as no coal-fired power plant; 420 gCO2/kWh)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A4303D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7F7E23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BAF3DC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5CE1487D" w14:textId="55108105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49A6DDC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4B03D9C1" w14:textId="6F84D75B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6ABA6E9F" w14:textId="6DC5A60A" w:rsidTr="00932E24">
        <w:trPr>
          <w:trHeight w:val="15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996E8A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9a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D68E5D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Adjusted the preference for renewables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C46AE1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(premium factors and forced capacity shares)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E9196A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24D468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9979C4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48535DEF" w14:textId="753285A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4147635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527FC12C" w14:textId="5646B26C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0F589122" w14:textId="0A22926C" w:rsidTr="00932E24">
        <w:trPr>
          <w:trHeight w:val="15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D32B33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9b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D1101B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Adjusted the preference for renewables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07BBC0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(premium factors and forced capacity shares)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5E9E7D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970B20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36B490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55DC929D" w14:textId="2E3DC2D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09F1766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6B58001D" w14:textId="7137B68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4E117D" w14:paraId="464A9BDC" w14:textId="2A09524C" w:rsidTr="0026400C">
        <w:trPr>
          <w:trHeight w:val="6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C489E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10a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5EB913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92E3E6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(F-gas specific tax)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E1CA5F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C180FE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227180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50D11809" w14:textId="1268791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0093EF2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2A6E787" w14:textId="0161EBA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 (</w:t>
            </w:r>
            <w:proofErr w:type="spellStart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TIAM_Grantham</w:t>
            </w:r>
            <w:proofErr w:type="spellEnd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 not covering F-Gases in this analysis)</w:t>
            </w:r>
          </w:p>
        </w:tc>
      </w:tr>
      <w:tr w:rsidR="00932E24" w:rsidRPr="004E117D" w14:paraId="3F4D6CE3" w14:textId="180D0F8B" w:rsidTr="0026400C">
        <w:trPr>
          <w:trHeight w:val="6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74A27F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10b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2EBA99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5D4BEB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(F-gas specific tax)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DA4942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DD4355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10F4C0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22E3B6CE" w14:textId="4CF9352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14E8BAA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81A17BE" w14:textId="249934C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 (</w:t>
            </w:r>
            <w:proofErr w:type="spellStart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TIAM_Grantham</w:t>
            </w:r>
            <w:proofErr w:type="spellEnd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 not covering F-Gases in this analysis)</w:t>
            </w:r>
          </w:p>
        </w:tc>
      </w:tr>
      <w:tr w:rsidR="00932E24" w:rsidRPr="00932E24" w14:paraId="2D2A5A48" w14:textId="2C0DC278" w:rsidTr="0026400C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857209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11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18A692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5F088E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7C2002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88CD55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DE28B5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070906FE" w14:textId="0F79DB70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005DE51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26EA4565" w14:textId="2489FC4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Not implemented </w:t>
            </w:r>
          </w:p>
        </w:tc>
      </w:tr>
      <w:tr w:rsidR="00932E24" w:rsidRPr="00932E24" w14:paraId="6B217927" w14:textId="0474F854" w:rsidTr="0026400C">
        <w:trPr>
          <w:trHeight w:val="12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CD6351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12a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0C0107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344A64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BAB039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 due to model restriction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AB4F0E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A8A80D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5E7EB244" w14:textId="50E4143B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3D89D0F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166770AE" w14:textId="5CA0E4A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Not implemented </w:t>
            </w:r>
          </w:p>
        </w:tc>
      </w:tr>
      <w:tr w:rsidR="00932E24" w:rsidRPr="00932E24" w14:paraId="71617D11" w14:textId="195A859A" w:rsidTr="0026400C">
        <w:trPr>
          <w:trHeight w:val="12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E31B19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12b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376172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4637A1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7501B1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 due to model restriction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72C7E6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0F9F39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6003785E" w14:textId="58E8EC48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002DA00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0C415E0" w14:textId="2371F371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33C184D0" w14:textId="3D87FD4E" w:rsidTr="0026400C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07E26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26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7D862B0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F2D13D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1F5FF63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F74F87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56CC35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388E15AE" w14:textId="7ABD5F9E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3DE2757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250D6564" w14:textId="6594FA62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A74929D" w14:textId="0DF76ED2" w:rsidTr="00932E24">
        <w:trPr>
          <w:trHeight w:val="3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21101F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13a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184675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F7D914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F3B49B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088505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87E14E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27F4EE2F" w14:textId="03B0A09E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(Approx. 200 MtCO</w:t>
            </w:r>
            <w:r w:rsidRPr="00932E24">
              <w:rPr>
                <w:rFonts w:ascii="Calibri" w:hAnsi="Calibri" w:cs="Calibri"/>
                <w:color w:val="000000"/>
                <w:vertAlign w:val="subscript"/>
                <w:lang w:val="en-GB"/>
              </w:rPr>
              <w:t>2</w:t>
            </w:r>
            <w:r w:rsidRPr="00932E24">
              <w:rPr>
                <w:rFonts w:ascii="Calibri" w:hAnsi="Calibri" w:cs="Calibri"/>
                <w:color w:val="000000"/>
                <w:lang w:val="en-GB"/>
              </w:rPr>
              <w:t xml:space="preserve"> /year CCS in industry.)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7A625C1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68631852" w14:textId="1F56749E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CB5C229" w14:textId="3CA8FE2C" w:rsidTr="00932E24">
        <w:trPr>
          <w:trHeight w:val="3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5294F0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13b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CC8952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60EF76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736C68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B6BBA4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ED72D2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4FED3ED0" w14:textId="77451DB5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5B8F8A3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3A2BA58B" w14:textId="52C4A445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F56ABED" w14:textId="377A8AE1" w:rsidTr="00932E24">
        <w:trPr>
          <w:trHeight w:val="15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E66D7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14a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A03695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Adjusted the AEEI of industry sector to match protocol value.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FEE18E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(added efficiency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6C3D78D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the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D5252F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A4656E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6780AF16" w14:textId="3191A270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4EC9D0A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732EBB38" w14:textId="5CDEC0DC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5B12D927" w14:textId="62D1393F" w:rsidTr="00932E24">
        <w:trPr>
          <w:trHeight w:val="15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B0E765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14b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4DEE03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Adjusted the AEEI of industry sector to match protocol value.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54D6EE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(added efficiency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16A59A7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A22D62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57EDF6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7F4E2E16" w14:textId="3B117BE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the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754B0BD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0F8E00EE" w14:textId="689990E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0692E73F" w14:textId="55C6522C" w:rsidTr="0026400C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218C1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15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B08A09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506282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83F7C2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68B5E3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BA9CFE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1C9990AF" w14:textId="28CC19C0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4A50532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344B462A" w14:textId="665A18E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38633CFB" w14:textId="46CF8D7A" w:rsidTr="0026400C">
        <w:trPr>
          <w:trHeight w:val="15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CBE1AD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16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41800A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17DE8F2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Included (approximation, by reduced </w:t>
            </w:r>
            <w:proofErr w:type="spellStart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addtinal</w:t>
            </w:r>
            <w:proofErr w:type="spellEnd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 deforestation)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0271F7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7EDFC1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FEC76C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3D95EFF6" w14:textId="3623CEF2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(10 million ha/year</w:t>
            </w:r>
            <w:r w:rsidRPr="00932E24">
              <w:rPr>
                <w:rFonts w:ascii="Calibri" w:hAnsi="Calibri" w:cs="Calibri"/>
                <w:color w:val="000000"/>
                <w:lang w:val="en-GB"/>
              </w:rPr>
              <w:br/>
              <w:t>afforestation)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3C237C4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23736175" w14:textId="297B692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3DDCEEA3" w14:textId="1C6E7AB5" w:rsidTr="0026400C">
        <w:trPr>
          <w:trHeight w:val="15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22741D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17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71510E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E36FC5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Included (approximation, by reduced </w:t>
            </w:r>
            <w:proofErr w:type="spellStart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addtinal</w:t>
            </w:r>
            <w:proofErr w:type="spellEnd"/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 xml:space="preserve"> deforestation)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6E7B377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80BFAB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4E9D3B2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00F2513C" w14:textId="16C6E6CB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(End natural forest loss;)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6B23220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556623E1" w14:textId="7E7EFA2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7740C6B8" w14:textId="4A7B5C6F" w:rsidTr="00932E24">
        <w:trPr>
          <w:trHeight w:val="6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FBBB9E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27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FD7D93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6B3F37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08FB45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406F3A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9BD48E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vAlign w:val="center"/>
            <w:hideMark/>
          </w:tcPr>
          <w:p w14:paraId="3DA25820" w14:textId="6790BB28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  <w:noWrap/>
            <w:hideMark/>
          </w:tcPr>
          <w:p w14:paraId="181BA2C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7995E52A" w14:textId="685082D6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655A44D2" w14:textId="06856A1B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B14688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18a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8FB855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436790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(added efficiency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48CEAE8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C0A63D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5A4C6B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4D67EFE9" w14:textId="3668DD5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276B95B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47444C60" w14:textId="73B83A8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115EC88D" w14:textId="2232CC0E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0F1BD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lastRenderedPageBreak/>
              <w:t>18b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05AC8C2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789AE1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(added efficiency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07E7FD0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9E38FA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A0AA86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65EC1E42" w14:textId="6FFF934A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2E51C0D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11CAEC03" w14:textId="7DAB7296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436B2C17" w14:textId="30CCE809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C408CA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19a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360F52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49A9B73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(added efficiency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0EE61E2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D1FBD5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9900"/>
            <w:hideMark/>
          </w:tcPr>
          <w:p w14:paraId="35AED5FF" w14:textId="2945B36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proxies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0F545DFF" w14:textId="3AC26B6E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32A6C89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3FEE7CE8" w14:textId="3557E166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E3A5E62" w14:textId="3B3AAFBE" w:rsidTr="00932E24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1874E4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19b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ED24D5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4EEA74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72942076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7AE4E9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50AF81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00DB508A" w14:textId="4FA02404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78AD5F9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5574CF3C" w14:textId="076ED81B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5EFCC336" w14:textId="7D3F0803" w:rsidTr="00932E24">
        <w:trPr>
          <w:trHeight w:val="21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043B22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19c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1015CF1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Adjusted AEEI in passenger transport to match final energy proxy values from IMAGE.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2FB59DA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-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656E381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06B4A3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hideMark/>
          </w:tcPr>
          <w:p w14:paraId="3F0BC540" w14:textId="4D928B1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9900"/>
            <w:noWrap/>
            <w:vAlign w:val="center"/>
            <w:hideMark/>
          </w:tcPr>
          <w:p w14:paraId="419AFFD7" w14:textId="09EFB353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 by using proxies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7255C1E8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76234569" w14:textId="42653350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204F23D4" w14:textId="422AC3C2" w:rsidTr="00932E24">
        <w:trPr>
          <w:trHeight w:val="115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1D9D80B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20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3D41E747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24525AFF" w14:textId="77777777" w:rsidR="00932E24" w:rsidRPr="00932E24" w:rsidRDefault="00932E24" w:rsidP="00932E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GB" w:eastAsia="nl-NL"/>
              </w:rPr>
            </w:pPr>
            <w:r w:rsidRPr="00932E24">
              <w:rPr>
                <w:rFonts w:ascii="Arial" w:eastAsia="Times New Roman" w:hAnsi="Arial" w:cs="Arial"/>
                <w:color w:val="000000"/>
                <w:lang w:val="en-GB" w:eastAsia="nl-NL"/>
              </w:rPr>
              <w:t>Included (by premium factors on vehicles)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9900"/>
            <w:hideMark/>
          </w:tcPr>
          <w:p w14:paraId="0679B81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 by using proxies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069705F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ACCD1DC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FF00"/>
            <w:noWrap/>
            <w:vAlign w:val="center"/>
            <w:hideMark/>
          </w:tcPr>
          <w:p w14:paraId="4E9BCBCC" w14:textId="4BBF3E2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implemented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49E63A1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7DA4B1A1" w14:textId="3F6E640C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</w:tr>
      <w:tr w:rsidR="00932E24" w:rsidRPr="00932E24" w14:paraId="19A5C6E5" w14:textId="323F6A9F" w:rsidTr="0026400C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71E3A9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21a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DBA334D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B4F149F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3D6F725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78D4291E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7E3A6C90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2263DC81" w14:textId="02C17269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6C0F1501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45EA166D" w14:textId="0900EDFD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  <w:tr w:rsidR="00932E24" w:rsidRPr="00932E24" w14:paraId="198979CC" w14:textId="406B2412" w:rsidTr="0026400C">
        <w:trPr>
          <w:trHeight w:val="915"/>
        </w:trPr>
        <w:tc>
          <w:tcPr>
            <w:tcW w:w="55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7CBF8AA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21b</w:t>
            </w:r>
          </w:p>
        </w:tc>
        <w:tc>
          <w:tcPr>
            <w:tcW w:w="141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370F517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1B46B63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Included (non-CO2 abatement factor)</w:t>
            </w:r>
          </w:p>
        </w:tc>
        <w:tc>
          <w:tcPr>
            <w:tcW w:w="198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6188A12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5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00FF00"/>
            <w:hideMark/>
          </w:tcPr>
          <w:p w14:paraId="519B86D2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Implemented</w:t>
            </w:r>
          </w:p>
        </w:tc>
        <w:tc>
          <w:tcPr>
            <w:tcW w:w="1579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FF0000"/>
            <w:hideMark/>
          </w:tcPr>
          <w:p w14:paraId="569019D4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713BB74C" w14:textId="524ED7BF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hAnsi="Calibri" w:cs="Calibri"/>
                <w:color w:val="000000"/>
                <w:lang w:val="en-GB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0FF00"/>
            <w:noWrap/>
            <w:hideMark/>
          </w:tcPr>
          <w:p w14:paraId="1AF3E449" w14:textId="77777777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 </w:t>
            </w:r>
          </w:p>
        </w:tc>
        <w:tc>
          <w:tcPr>
            <w:tcW w:w="1443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14:paraId="6953A386" w14:textId="03B6BD49" w:rsidR="00932E24" w:rsidRPr="00932E24" w:rsidRDefault="00932E24" w:rsidP="00932E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nl-NL"/>
              </w:rPr>
            </w:pPr>
            <w:r w:rsidRPr="00932E24">
              <w:rPr>
                <w:rFonts w:ascii="Calibri" w:eastAsia="Times New Roman" w:hAnsi="Calibri" w:cs="Calibri"/>
                <w:color w:val="000000"/>
                <w:lang w:val="en-GB" w:eastAsia="nl-NL"/>
              </w:rPr>
              <w:t>Not implemented</w:t>
            </w:r>
          </w:p>
        </w:tc>
      </w:tr>
    </w:tbl>
    <w:p w14:paraId="2A2716E1" w14:textId="3FBE1124" w:rsidR="003E6EED" w:rsidRPr="00932E24" w:rsidRDefault="003E6EED" w:rsidP="0002631A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  <w:sectPr w:rsidR="003E6EED" w:rsidRPr="00932E24" w:rsidSect="0002631A">
          <w:pgSz w:w="15840" w:h="12240" w:orient="landscape"/>
          <w:pgMar w:top="1417" w:right="1417" w:bottom="1417" w:left="1417" w:header="708" w:footer="708" w:gutter="0"/>
          <w:pgNumType w:start="1"/>
          <w:cols w:space="708"/>
          <w:docGrid w:linePitch="299"/>
        </w:sectPr>
      </w:pPr>
    </w:p>
    <w:p w14:paraId="4B9782EB" w14:textId="3C43BCE2" w:rsidR="006D0A51" w:rsidRPr="00932E24" w:rsidRDefault="003E6EED" w:rsidP="006D0A51">
      <w:pPr>
        <w:keepNext/>
        <w:keepLines/>
        <w:spacing w:before="40" w:after="0" w:line="240" w:lineRule="auto"/>
        <w:outlineLvl w:val="1"/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</w:pPr>
      <w:bookmarkStart w:id="2" w:name="_kz20ee7sn2hu" w:colFirst="0" w:colLast="0"/>
      <w:bookmarkEnd w:id="2"/>
      <w:r w:rsidRPr="00932E24"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  <w:lastRenderedPageBreak/>
        <w:t>Part B:</w:t>
      </w:r>
      <w:r w:rsidR="00437050" w:rsidRPr="00932E24"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  <w:t xml:space="preserve"> Additional figures</w:t>
      </w:r>
    </w:p>
    <w:p w14:paraId="0509E47D" w14:textId="77777777" w:rsidR="009E5593" w:rsidRPr="00932E24" w:rsidRDefault="009E5593" w:rsidP="009E5593">
      <w:pPr>
        <w:keepNext/>
        <w:keepLines/>
        <w:spacing w:before="40" w:after="0" w:line="240" w:lineRule="auto"/>
        <w:outlineLvl w:val="1"/>
        <w:rPr>
          <w:lang w:val="en-GB"/>
        </w:rPr>
      </w:pPr>
      <w:r w:rsidRPr="00932E24">
        <w:rPr>
          <w:rFonts w:ascii="Calibri Light" w:eastAsia="Times New Roman" w:hAnsi="Calibri Light" w:cs="Times New Roman"/>
          <w:noProof/>
          <w:color w:val="328D9F"/>
          <w:sz w:val="32"/>
          <w:szCs w:val="32"/>
          <w:lang w:val="en-GB" w:eastAsia="en-GB"/>
        </w:rPr>
        <w:drawing>
          <wp:inline distT="0" distB="0" distL="0" distR="0" wp14:anchorId="6373395F" wp14:editId="49B770E0">
            <wp:extent cx="5972809" cy="398187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bextra_Bio-transport_ba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9" cy="398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1088" w14:textId="6A0AAA96" w:rsidR="009E5593" w:rsidRPr="00932E24" w:rsidRDefault="009E5593" w:rsidP="009E5593">
      <w:pPr>
        <w:pStyle w:val="Caption"/>
        <w:rPr>
          <w:rFonts w:ascii="Calibri Light" w:eastAsia="Times New Roman" w:hAnsi="Calibri Light" w:cs="Times New Roman"/>
          <w:color w:val="328D9F"/>
          <w:sz w:val="32"/>
          <w:szCs w:val="32"/>
          <w:lang w:val="en-GB" w:eastAsia="nl-NL"/>
        </w:rPr>
      </w:pPr>
      <w:r w:rsidRPr="00932E24">
        <w:rPr>
          <w:lang w:val="en-GB"/>
        </w:rPr>
        <w:t xml:space="preserve">Figure B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Figure_B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1</w:t>
      </w:r>
      <w:r w:rsidRPr="00932E24">
        <w:rPr>
          <w:lang w:val="en-GB"/>
        </w:rPr>
        <w:fldChar w:fldCharType="end"/>
      </w:r>
      <w:r w:rsidR="004C4724" w:rsidRPr="00932E24">
        <w:rPr>
          <w:lang w:val="en-GB"/>
        </w:rPr>
        <w:t xml:space="preserve">: Projected changes in the share of liquid biomass in </w:t>
      </w:r>
      <w:r w:rsidR="00DF3BBD" w:rsidRPr="00932E24">
        <w:rPr>
          <w:lang w:val="en-GB"/>
        </w:rPr>
        <w:t xml:space="preserve">final energy demand of transportation (%), for 2030 and 2050, for the </w:t>
      </w:r>
      <w:proofErr w:type="spellStart"/>
      <w:r w:rsidR="00DF3BBD" w:rsidRPr="00932E24">
        <w:rPr>
          <w:lang w:val="en-GB"/>
        </w:rPr>
        <w:t>CurPol</w:t>
      </w:r>
      <w:proofErr w:type="spellEnd"/>
      <w:r w:rsidR="00DF3BBD" w:rsidRPr="00932E24">
        <w:rPr>
          <w:lang w:val="en-GB"/>
        </w:rPr>
        <w:t xml:space="preserve">, </w:t>
      </w:r>
      <w:proofErr w:type="spellStart"/>
      <w:r w:rsidR="00DF3BBD" w:rsidRPr="00932E24">
        <w:rPr>
          <w:lang w:val="en-GB"/>
        </w:rPr>
        <w:t>NDCplus</w:t>
      </w:r>
      <w:proofErr w:type="spellEnd"/>
      <w:r w:rsidR="00DF3BBD" w:rsidRPr="00932E24">
        <w:rPr>
          <w:lang w:val="en-GB"/>
        </w:rPr>
        <w:t>, Bridge</w:t>
      </w:r>
      <w:r w:rsidR="00D66841">
        <w:rPr>
          <w:lang w:val="en-GB"/>
        </w:rPr>
        <w:t>,</w:t>
      </w:r>
      <w:r w:rsidR="00DF3BBD" w:rsidRPr="00932E24">
        <w:rPr>
          <w:lang w:val="en-GB"/>
        </w:rPr>
        <w:t xml:space="preserve"> 2Deg2020</w:t>
      </w:r>
      <w:r w:rsidR="00D66841">
        <w:rPr>
          <w:lang w:val="en-GB"/>
        </w:rPr>
        <w:t>, and 2Deg2030</w:t>
      </w:r>
      <w:r w:rsidR="00DF3BBD" w:rsidRPr="00932E24">
        <w:rPr>
          <w:lang w:val="en-GB"/>
        </w:rPr>
        <w:t xml:space="preserve"> scenarios. Bars show model median, error bars show the full range, and symbols show individual model results. </w:t>
      </w:r>
    </w:p>
    <w:p w14:paraId="67A15C60" w14:textId="77777777" w:rsidR="00984B8D" w:rsidRPr="00932E24" w:rsidRDefault="00984B8D" w:rsidP="00984B8D">
      <w:pPr>
        <w:keepNext/>
        <w:spacing w:after="200" w:line="240" w:lineRule="auto"/>
        <w:rPr>
          <w:lang w:val="en-GB"/>
        </w:rPr>
      </w:pPr>
      <w:r w:rsidRPr="00932E24">
        <w:rPr>
          <w:rFonts w:ascii="Calibri Light" w:eastAsia="Times New Roman" w:hAnsi="Calibri Light" w:cs="Times New Roman"/>
          <w:i/>
          <w:noProof/>
          <w:color w:val="44546A"/>
          <w:sz w:val="18"/>
          <w:szCs w:val="18"/>
          <w:lang w:val="en-GB" w:eastAsia="en-GB"/>
        </w:rPr>
        <w:lastRenderedPageBreak/>
        <w:drawing>
          <wp:inline distT="114300" distB="114300" distL="114300" distR="114300" wp14:anchorId="2577B947" wp14:editId="324A92DF">
            <wp:extent cx="5965370" cy="3479798"/>
            <wp:effectExtent l="0" t="0" r="0" b="6985"/>
            <wp:docPr id="2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70" cy="3479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1C2B7" w14:textId="391580E1" w:rsidR="00984B8D" w:rsidRPr="00932E24" w:rsidRDefault="00984B8D" w:rsidP="00984B8D">
      <w:pPr>
        <w:pStyle w:val="Caption"/>
        <w:rPr>
          <w:rFonts w:ascii="Calibri Light" w:eastAsia="Times New Roman" w:hAnsi="Calibri Light" w:cs="Times New Roman"/>
          <w:i w:val="0"/>
          <w:color w:val="44546A"/>
          <w:lang w:val="en-GB" w:eastAsia="nl-NL"/>
        </w:rPr>
      </w:pPr>
      <w:r w:rsidRPr="00932E24">
        <w:rPr>
          <w:lang w:val="en-GB"/>
        </w:rPr>
        <w:t xml:space="preserve">Figure B </w:t>
      </w:r>
      <w:r w:rsidR="00A17570" w:rsidRPr="00932E24">
        <w:rPr>
          <w:lang w:val="en-GB"/>
        </w:rPr>
        <w:fldChar w:fldCharType="begin"/>
      </w:r>
      <w:r w:rsidR="00A17570" w:rsidRPr="00932E24">
        <w:rPr>
          <w:lang w:val="en-GB"/>
        </w:rPr>
        <w:instrText xml:space="preserve"> SEQ Figure_B \* ARABIC </w:instrText>
      </w:r>
      <w:r w:rsidR="00A17570"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2</w:t>
      </w:r>
      <w:r w:rsidR="00A17570" w:rsidRPr="00932E24">
        <w:rPr>
          <w:noProof/>
          <w:lang w:val="en-GB"/>
        </w:rPr>
        <w:fldChar w:fldCharType="end"/>
      </w:r>
      <w:r w:rsidR="006E3188" w:rsidRPr="00932E24">
        <w:rPr>
          <w:noProof/>
          <w:lang w:val="en-GB"/>
        </w:rPr>
        <w:t xml:space="preserve">: </w:t>
      </w:r>
      <w:r w:rsidR="006E3188" w:rsidRPr="00932E24">
        <w:rPr>
          <w:color w:val="44546A"/>
          <w:lang w:val="en-GB"/>
        </w:rPr>
        <w:t xml:space="preserve">Projected changes in various indicators, for 2030 and 2050, for the </w:t>
      </w:r>
      <w:proofErr w:type="spellStart"/>
      <w:r w:rsidR="006E3188" w:rsidRPr="00932E24">
        <w:rPr>
          <w:color w:val="44546A"/>
          <w:lang w:val="en-GB"/>
        </w:rPr>
        <w:t>CurPol</w:t>
      </w:r>
      <w:proofErr w:type="spellEnd"/>
      <w:r w:rsidR="006E3188" w:rsidRPr="00932E24">
        <w:rPr>
          <w:color w:val="44546A"/>
          <w:lang w:val="en-GB"/>
        </w:rPr>
        <w:t xml:space="preserve">, </w:t>
      </w:r>
      <w:proofErr w:type="spellStart"/>
      <w:r w:rsidR="006E3188" w:rsidRPr="00932E24">
        <w:rPr>
          <w:color w:val="44546A"/>
          <w:lang w:val="en-GB"/>
        </w:rPr>
        <w:t>NDCplus</w:t>
      </w:r>
      <w:proofErr w:type="spellEnd"/>
      <w:r w:rsidR="006E3188" w:rsidRPr="00932E24">
        <w:rPr>
          <w:color w:val="44546A"/>
          <w:lang w:val="en-GB"/>
        </w:rPr>
        <w:t>-convergence, Bridge</w:t>
      </w:r>
      <w:r w:rsidR="00D66841">
        <w:rPr>
          <w:color w:val="44546A"/>
          <w:lang w:val="en-GB"/>
        </w:rPr>
        <w:t>,</w:t>
      </w:r>
      <w:r w:rsidR="006E3188" w:rsidRPr="00932E24">
        <w:rPr>
          <w:color w:val="44546A"/>
          <w:lang w:val="en-GB"/>
        </w:rPr>
        <w:t xml:space="preserve"> 2Deg2020</w:t>
      </w:r>
      <w:r w:rsidR="00D66841">
        <w:rPr>
          <w:color w:val="44546A"/>
          <w:lang w:val="en-GB"/>
        </w:rPr>
        <w:t>, and 2Deg2030</w:t>
      </w:r>
      <w:r w:rsidR="006E3188" w:rsidRPr="00932E24">
        <w:rPr>
          <w:color w:val="44546A"/>
          <w:lang w:val="en-GB"/>
        </w:rPr>
        <w:t xml:space="preserve"> scenarios. Bars show model median, error bars show the full range, and symbols show individual model results. Panel a) share of renewables in electricity production (%), panel b) share of electricity in final energy demand of transportation (%), panel c) Emissions of F-gases and industrial process CO</w:t>
      </w:r>
      <w:r w:rsidR="006E3188" w:rsidRPr="00932E24">
        <w:rPr>
          <w:color w:val="44546A"/>
          <w:vertAlign w:val="subscript"/>
          <w:lang w:val="en-GB"/>
        </w:rPr>
        <w:t>2</w:t>
      </w:r>
      <w:r w:rsidR="006E3188" w:rsidRPr="00932E24">
        <w:rPr>
          <w:color w:val="44546A"/>
          <w:lang w:val="en-GB"/>
        </w:rPr>
        <w:t xml:space="preserve"> emissions, relative to 2015 levels (%), panel d) share of electricity in final energy demand of buildings (%), panel e) total afforestation and reforestation (million ha).</w:t>
      </w:r>
    </w:p>
    <w:p w14:paraId="46EF5BCB" w14:textId="77777777" w:rsidR="00984B8D" w:rsidRPr="00932E24" w:rsidRDefault="00984B8D" w:rsidP="009118B2">
      <w:pPr>
        <w:rPr>
          <w:lang w:val="en-GB" w:eastAsia="nl-NL"/>
        </w:rPr>
      </w:pPr>
    </w:p>
    <w:p w14:paraId="5C3B7163" w14:textId="77777777" w:rsidR="00437050" w:rsidRPr="00932E24" w:rsidRDefault="006D0A51" w:rsidP="00437050">
      <w:pPr>
        <w:keepNext/>
        <w:spacing w:after="0" w:line="240" w:lineRule="auto"/>
        <w:rPr>
          <w:lang w:val="en-GB"/>
        </w:rPr>
      </w:pPr>
      <w:r w:rsidRPr="00932E24">
        <w:rPr>
          <w:rFonts w:ascii="Calibri Light" w:eastAsia="Times New Roman" w:hAnsi="Calibri Light" w:cs="Times New Roman"/>
          <w:noProof/>
          <w:lang w:val="en-GB" w:eastAsia="en-GB"/>
        </w:rPr>
        <w:lastRenderedPageBreak/>
        <w:drawing>
          <wp:inline distT="114300" distB="114300" distL="114300" distR="114300" wp14:anchorId="481D440C" wp14:editId="13012E74">
            <wp:extent cx="5972808" cy="3981872"/>
            <wp:effectExtent l="0" t="0" r="9525" b="0"/>
            <wp:docPr id="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8" cy="3981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64AD7" w14:textId="4F575C55" w:rsidR="006D0A51" w:rsidRPr="00932E24" w:rsidRDefault="00437050" w:rsidP="00437050">
      <w:pPr>
        <w:pStyle w:val="Caption"/>
        <w:rPr>
          <w:rFonts w:ascii="Calibri Light" w:eastAsia="Times New Roman" w:hAnsi="Calibri Light" w:cs="Times New Roman"/>
          <w:lang w:val="en-GB" w:eastAsia="nl-NL"/>
        </w:rPr>
      </w:pPr>
      <w:r w:rsidRPr="00932E24">
        <w:rPr>
          <w:lang w:val="en-GB"/>
        </w:rPr>
        <w:t xml:space="preserve">Figure B </w:t>
      </w:r>
      <w:r w:rsidR="00A17570" w:rsidRPr="00932E24">
        <w:rPr>
          <w:lang w:val="en-GB"/>
        </w:rPr>
        <w:fldChar w:fldCharType="begin"/>
      </w:r>
      <w:r w:rsidR="00A17570" w:rsidRPr="00932E24">
        <w:rPr>
          <w:lang w:val="en-GB"/>
        </w:rPr>
        <w:instrText xml:space="preserve"> SEQ Figure_B \* ARABIC </w:instrText>
      </w:r>
      <w:r w:rsidR="00A17570"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3</w:t>
      </w:r>
      <w:r w:rsidR="00A17570" w:rsidRPr="00932E24">
        <w:rPr>
          <w:noProof/>
          <w:lang w:val="en-GB"/>
        </w:rPr>
        <w:fldChar w:fldCharType="end"/>
      </w:r>
      <w:r w:rsidR="006E3188" w:rsidRPr="00932E24">
        <w:rPr>
          <w:noProof/>
          <w:lang w:val="en-GB"/>
        </w:rPr>
        <w:t xml:space="preserve">: Primary energy production </w:t>
      </w:r>
      <w:r w:rsidR="00BE58FD" w:rsidRPr="00932E24">
        <w:rPr>
          <w:noProof/>
          <w:lang w:val="en-GB"/>
        </w:rPr>
        <w:t xml:space="preserve">in 2030 </w:t>
      </w:r>
      <w:r w:rsidR="006E3188" w:rsidRPr="00932E24">
        <w:rPr>
          <w:noProof/>
          <w:lang w:val="en-GB"/>
        </w:rPr>
        <w:t xml:space="preserve">by source, </w:t>
      </w:r>
      <w:r w:rsidR="002B15D3" w:rsidRPr="00932E24">
        <w:rPr>
          <w:noProof/>
          <w:lang w:val="en-GB"/>
        </w:rPr>
        <w:t>per model, for the CurPol, NDCplus, Bridge</w:t>
      </w:r>
      <w:r w:rsidR="00D66841">
        <w:rPr>
          <w:noProof/>
          <w:lang w:val="en-GB"/>
        </w:rPr>
        <w:t xml:space="preserve">, </w:t>
      </w:r>
      <w:r w:rsidR="002B15D3" w:rsidRPr="00932E24">
        <w:rPr>
          <w:noProof/>
          <w:lang w:val="en-GB"/>
        </w:rPr>
        <w:t>2Deg2020</w:t>
      </w:r>
      <w:r w:rsidR="00D66841">
        <w:rPr>
          <w:noProof/>
          <w:lang w:val="en-GB"/>
        </w:rPr>
        <w:t>, and 2Deg2030</w:t>
      </w:r>
      <w:r w:rsidR="002B15D3" w:rsidRPr="00932E24">
        <w:rPr>
          <w:noProof/>
          <w:lang w:val="en-GB"/>
        </w:rPr>
        <w:t xml:space="preserve"> scenarios.</w:t>
      </w:r>
    </w:p>
    <w:p w14:paraId="66B666D1" w14:textId="77777777" w:rsidR="006D0A51" w:rsidRPr="00932E24" w:rsidRDefault="006D0A51" w:rsidP="006D0A51">
      <w:pPr>
        <w:spacing w:after="0" w:line="240" w:lineRule="auto"/>
        <w:rPr>
          <w:rFonts w:ascii="Calibri Light" w:eastAsia="Times New Roman" w:hAnsi="Calibri Light" w:cs="Times New Roman"/>
          <w:lang w:val="en-GB" w:eastAsia="nl-NL"/>
        </w:rPr>
      </w:pPr>
    </w:p>
    <w:p w14:paraId="5DFFB112" w14:textId="71A28D77" w:rsidR="002F33E3" w:rsidRPr="00932E24" w:rsidRDefault="007725F9" w:rsidP="00437050">
      <w:pPr>
        <w:keepNext/>
        <w:rPr>
          <w:lang w:val="en-GB"/>
        </w:rPr>
      </w:pPr>
      <w:r w:rsidRPr="00932E24">
        <w:rPr>
          <w:noProof/>
          <w:lang w:val="en-GB" w:eastAsia="en-GB"/>
        </w:rPr>
        <w:lastRenderedPageBreak/>
        <w:drawing>
          <wp:inline distT="0" distB="0" distL="0" distR="0" wp14:anchorId="0419F9FB" wp14:editId="5A3EF3D0">
            <wp:extent cx="5883320" cy="3099992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fall sectors 2030_layou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20" cy="309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81B1" w14:textId="4F5A807A" w:rsidR="00437050" w:rsidRPr="00932E24" w:rsidRDefault="006D0A51" w:rsidP="00437050">
      <w:pPr>
        <w:keepNext/>
        <w:rPr>
          <w:lang w:val="en-GB"/>
        </w:rPr>
      </w:pPr>
      <w:r w:rsidRPr="00932E24">
        <w:rPr>
          <w:rFonts w:ascii="Calibri Light" w:eastAsia="Times New Roman" w:hAnsi="Calibri Light" w:cs="Times New Roman"/>
          <w:noProof/>
          <w:lang w:val="en-GB" w:eastAsia="en-GB"/>
        </w:rPr>
        <w:drawing>
          <wp:inline distT="114300" distB="114300" distL="114300" distR="114300" wp14:anchorId="121F495E" wp14:editId="2601EDB4">
            <wp:extent cx="6257202" cy="3399224"/>
            <wp:effectExtent l="0" t="0" r="0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02" cy="3399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7A7878" w14:textId="13DA2B36" w:rsidR="00437050" w:rsidRPr="00932E24" w:rsidRDefault="00437050" w:rsidP="00437050">
      <w:pPr>
        <w:pStyle w:val="Caption"/>
        <w:rPr>
          <w:lang w:val="en-GB"/>
        </w:rPr>
      </w:pPr>
      <w:r w:rsidRPr="00932E24">
        <w:rPr>
          <w:lang w:val="en-GB"/>
        </w:rPr>
        <w:t xml:space="preserve">Figure B </w:t>
      </w:r>
      <w:r w:rsidR="00A17570" w:rsidRPr="00932E24">
        <w:rPr>
          <w:lang w:val="en-GB"/>
        </w:rPr>
        <w:fldChar w:fldCharType="begin"/>
      </w:r>
      <w:r w:rsidR="00A17570" w:rsidRPr="00932E24">
        <w:rPr>
          <w:lang w:val="en-GB"/>
        </w:rPr>
        <w:instrText xml:space="preserve"> SEQ Figure_B \* ARABIC </w:instrText>
      </w:r>
      <w:r w:rsidR="00A17570"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4</w:t>
      </w:r>
      <w:r w:rsidR="00A17570" w:rsidRPr="00932E24">
        <w:rPr>
          <w:noProof/>
          <w:lang w:val="en-GB"/>
        </w:rPr>
        <w:fldChar w:fldCharType="end"/>
      </w:r>
      <w:r w:rsidR="002B15D3" w:rsidRPr="00932E24">
        <w:rPr>
          <w:noProof/>
          <w:lang w:val="en-GB"/>
        </w:rPr>
        <w:t xml:space="preserve">: </w:t>
      </w:r>
      <w:r w:rsidR="002B15D3" w:rsidRPr="00932E24">
        <w:rPr>
          <w:color w:val="44546A"/>
          <w:lang w:val="en-GB"/>
        </w:rPr>
        <w:t xml:space="preserve">Contribution of each sector to emission reductions between the </w:t>
      </w:r>
      <w:proofErr w:type="spellStart"/>
      <w:r w:rsidR="002B15D3" w:rsidRPr="00932E24">
        <w:rPr>
          <w:color w:val="44546A"/>
          <w:lang w:val="en-GB"/>
        </w:rPr>
        <w:t>NDCplus</w:t>
      </w:r>
      <w:proofErr w:type="spellEnd"/>
      <w:r w:rsidR="002B15D3" w:rsidRPr="00932E24">
        <w:rPr>
          <w:color w:val="44546A"/>
          <w:lang w:val="en-GB"/>
        </w:rPr>
        <w:t xml:space="preserve"> and Bridge scenario (negative values denote an increase in emissions between </w:t>
      </w:r>
      <w:proofErr w:type="spellStart"/>
      <w:r w:rsidR="002B15D3" w:rsidRPr="00932E24">
        <w:rPr>
          <w:color w:val="44546A"/>
          <w:lang w:val="en-GB"/>
        </w:rPr>
        <w:t>NDCplus</w:t>
      </w:r>
      <w:proofErr w:type="spellEnd"/>
      <w:r w:rsidR="002B15D3" w:rsidRPr="00932E24">
        <w:rPr>
          <w:color w:val="44546A"/>
          <w:lang w:val="en-GB"/>
        </w:rPr>
        <w:t xml:space="preserve"> and Bridge). First bar: Emissions by sector in 2015. Second bar: emissions by sector in </w:t>
      </w:r>
      <w:r w:rsidR="007725F9" w:rsidRPr="00932E24">
        <w:rPr>
          <w:color w:val="44546A"/>
          <w:lang w:val="en-GB"/>
        </w:rPr>
        <w:t xml:space="preserve">2030 (upper graph) or </w:t>
      </w:r>
      <w:r w:rsidR="002B15D3" w:rsidRPr="00932E24">
        <w:rPr>
          <w:color w:val="44546A"/>
          <w:lang w:val="en-GB"/>
        </w:rPr>
        <w:t>2050</w:t>
      </w:r>
      <w:r w:rsidR="007725F9" w:rsidRPr="00932E24">
        <w:rPr>
          <w:color w:val="44546A"/>
          <w:lang w:val="en-GB"/>
        </w:rPr>
        <w:t xml:space="preserve"> (lower graph)</w:t>
      </w:r>
      <w:r w:rsidR="002B15D3" w:rsidRPr="00932E24">
        <w:rPr>
          <w:color w:val="44546A"/>
          <w:lang w:val="en-GB"/>
        </w:rPr>
        <w:t xml:space="preserve">, under </w:t>
      </w:r>
      <w:proofErr w:type="spellStart"/>
      <w:r w:rsidR="002B15D3" w:rsidRPr="00932E24">
        <w:rPr>
          <w:color w:val="44546A"/>
          <w:lang w:val="en-GB"/>
        </w:rPr>
        <w:t>NDCplus</w:t>
      </w:r>
      <w:proofErr w:type="spellEnd"/>
      <w:r w:rsidR="002B15D3" w:rsidRPr="00932E24">
        <w:rPr>
          <w:color w:val="44546A"/>
          <w:lang w:val="en-GB"/>
        </w:rPr>
        <w:t>. Third - ninth bar: emission reduction in energy supply, industry, buildings, transport, industrial processes, AFOLU, non-CO</w:t>
      </w:r>
      <w:r w:rsidR="002B15D3" w:rsidRPr="00932E24">
        <w:rPr>
          <w:color w:val="44546A"/>
          <w:vertAlign w:val="subscript"/>
          <w:lang w:val="en-GB"/>
        </w:rPr>
        <w:t>2</w:t>
      </w:r>
      <w:r w:rsidR="002B15D3" w:rsidRPr="00932E24">
        <w:rPr>
          <w:color w:val="44546A"/>
          <w:lang w:val="en-GB"/>
        </w:rPr>
        <w:t xml:space="preserve"> emissions. Last bar: emissions by sector in </w:t>
      </w:r>
      <w:r w:rsidR="007725F9" w:rsidRPr="00932E24">
        <w:rPr>
          <w:color w:val="44546A"/>
          <w:lang w:val="en-GB"/>
        </w:rPr>
        <w:t xml:space="preserve">2030 (upper graph) or </w:t>
      </w:r>
      <w:r w:rsidR="002B15D3" w:rsidRPr="00932E24">
        <w:rPr>
          <w:color w:val="44546A"/>
          <w:lang w:val="en-GB"/>
        </w:rPr>
        <w:t>2050</w:t>
      </w:r>
      <w:r w:rsidR="007725F9" w:rsidRPr="00932E24">
        <w:rPr>
          <w:color w:val="44546A"/>
          <w:lang w:val="en-GB"/>
        </w:rPr>
        <w:t xml:space="preserve"> (lower graph)</w:t>
      </w:r>
      <w:r w:rsidR="002B15D3" w:rsidRPr="00932E24">
        <w:rPr>
          <w:color w:val="44546A"/>
          <w:lang w:val="en-GB"/>
        </w:rPr>
        <w:t>, under Bridge. For TIAM and PROMETHEUS, only CO</w:t>
      </w:r>
      <w:r w:rsidR="002B15D3" w:rsidRPr="00932E24">
        <w:rPr>
          <w:color w:val="44546A"/>
          <w:vertAlign w:val="subscript"/>
          <w:lang w:val="en-GB"/>
        </w:rPr>
        <w:t>2</w:t>
      </w:r>
      <w:r w:rsidR="002B15D3" w:rsidRPr="00932E24">
        <w:rPr>
          <w:color w:val="44546A"/>
          <w:lang w:val="en-GB"/>
        </w:rPr>
        <w:t xml:space="preserve"> emissions are shown.</w:t>
      </w:r>
    </w:p>
    <w:p w14:paraId="7E9352A3" w14:textId="2FFE10DC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226B55E0" w14:textId="1D9291B8" w:rsidR="006D0A51" w:rsidRPr="00932E24" w:rsidRDefault="006D0A51" w:rsidP="004435A4">
      <w:pPr>
        <w:spacing w:after="0" w:line="240" w:lineRule="auto"/>
        <w:rPr>
          <w:rFonts w:ascii="Calibri Light" w:eastAsia="Times New Roman" w:hAnsi="Calibri Light" w:cs="Times New Roman"/>
          <w:lang w:val="en-GB" w:eastAsia="nl-NL"/>
        </w:rPr>
      </w:pPr>
    </w:p>
    <w:p w14:paraId="40819DD8" w14:textId="77777777" w:rsidR="00437050" w:rsidRPr="00932E24" w:rsidRDefault="006D0A51" w:rsidP="00437050">
      <w:pPr>
        <w:keepNext/>
        <w:rPr>
          <w:lang w:val="en-GB"/>
        </w:rPr>
      </w:pPr>
      <w:r w:rsidRPr="00932E24">
        <w:rPr>
          <w:rFonts w:ascii="Calibri Light" w:eastAsia="Times New Roman" w:hAnsi="Calibri Light" w:cs="Times New Roman"/>
          <w:noProof/>
          <w:lang w:val="en-GB" w:eastAsia="en-GB"/>
        </w:rPr>
        <w:lastRenderedPageBreak/>
        <w:drawing>
          <wp:inline distT="114300" distB="114300" distL="114300" distR="114300" wp14:anchorId="30269010" wp14:editId="13503CB4">
            <wp:extent cx="6156947" cy="3466750"/>
            <wp:effectExtent l="0" t="0" r="0" b="635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47" cy="34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1304D" w14:textId="1F0D6802" w:rsidR="00437050" w:rsidRPr="00932E24" w:rsidRDefault="00437050" w:rsidP="00437050">
      <w:pPr>
        <w:pStyle w:val="Caption"/>
        <w:rPr>
          <w:lang w:val="en-GB"/>
        </w:rPr>
      </w:pPr>
      <w:r w:rsidRPr="00932E24">
        <w:rPr>
          <w:lang w:val="en-GB"/>
        </w:rPr>
        <w:t xml:space="preserve">Figure B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Figure_B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5</w:t>
      </w:r>
      <w:r w:rsidRPr="00932E24">
        <w:rPr>
          <w:lang w:val="en-GB"/>
        </w:rPr>
        <w:fldChar w:fldCharType="end"/>
      </w:r>
      <w:r w:rsidR="005168F2" w:rsidRPr="00932E24">
        <w:rPr>
          <w:lang w:val="en-GB"/>
        </w:rPr>
        <w:t xml:space="preserve">: </w:t>
      </w:r>
      <w:r w:rsidR="004F18D7" w:rsidRPr="00932E24">
        <w:rPr>
          <w:color w:val="44546A"/>
          <w:lang w:val="en-GB"/>
        </w:rPr>
        <w:t>Contribution of each sector to emission reductions between the Bridge and 2Deg2020 scenarios (negative values denote an increase in emissions between Bridge and 2Deg2020). First bar: Emissions by sector in 2015. Second bar: emissions by sector in 2030, under Bridge. Third - ninth bar: emission reduction in energy supply, industry, buildings, transport, industrial processes, AFOLU, non-CO</w:t>
      </w:r>
      <w:r w:rsidR="004F18D7" w:rsidRPr="00932E24">
        <w:rPr>
          <w:color w:val="44546A"/>
          <w:vertAlign w:val="subscript"/>
          <w:lang w:val="en-GB"/>
        </w:rPr>
        <w:t>2</w:t>
      </w:r>
      <w:r w:rsidR="004F18D7" w:rsidRPr="00932E24">
        <w:rPr>
          <w:color w:val="44546A"/>
          <w:lang w:val="en-GB"/>
        </w:rPr>
        <w:t xml:space="preserve"> emissions. Last bar: emissions by sector in 2030, under 2Deg2020. For TIAM and PROMETHEUS, only CO</w:t>
      </w:r>
      <w:r w:rsidR="004F18D7" w:rsidRPr="00932E24">
        <w:rPr>
          <w:color w:val="44546A"/>
          <w:vertAlign w:val="subscript"/>
          <w:lang w:val="en-GB"/>
        </w:rPr>
        <w:t>2</w:t>
      </w:r>
      <w:r w:rsidR="004F18D7" w:rsidRPr="00932E24">
        <w:rPr>
          <w:color w:val="44546A"/>
          <w:lang w:val="en-GB"/>
        </w:rPr>
        <w:t xml:space="preserve"> emissions are shown.</w:t>
      </w:r>
    </w:p>
    <w:p w14:paraId="0ACA2EB2" w14:textId="088063CE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096E1E9C" w14:textId="095EA712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1D5342A2" w14:textId="77777777" w:rsidR="00437050" w:rsidRPr="00932E24" w:rsidRDefault="006D0A51" w:rsidP="00437050">
      <w:pPr>
        <w:keepNext/>
        <w:spacing w:after="200" w:line="240" w:lineRule="auto"/>
        <w:rPr>
          <w:lang w:val="en-GB"/>
        </w:rPr>
      </w:pPr>
      <w:r w:rsidRPr="00932E24">
        <w:rPr>
          <w:rFonts w:ascii="Calibri Light" w:eastAsia="Times New Roman" w:hAnsi="Calibri Light" w:cs="Times New Roman"/>
          <w:i/>
          <w:noProof/>
          <w:color w:val="44546A"/>
          <w:sz w:val="18"/>
          <w:szCs w:val="18"/>
          <w:lang w:val="en-GB" w:eastAsia="en-GB"/>
        </w:rPr>
        <w:lastRenderedPageBreak/>
        <w:drawing>
          <wp:inline distT="114300" distB="114300" distL="114300" distR="114300" wp14:anchorId="682847C8" wp14:editId="18385963">
            <wp:extent cx="5972809" cy="4479606"/>
            <wp:effectExtent l="0" t="0" r="9525" b="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9" cy="4479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293C4" w14:textId="42CE629B" w:rsidR="00437050" w:rsidRPr="00932E24" w:rsidRDefault="00437050" w:rsidP="00437050">
      <w:pPr>
        <w:pStyle w:val="Caption"/>
        <w:rPr>
          <w:lang w:val="en-GB"/>
        </w:rPr>
      </w:pPr>
      <w:r w:rsidRPr="00932E24">
        <w:rPr>
          <w:lang w:val="en-GB"/>
        </w:rPr>
        <w:t xml:space="preserve">Figure B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Figure_B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6</w:t>
      </w:r>
      <w:r w:rsidRPr="00932E24">
        <w:rPr>
          <w:lang w:val="en-GB"/>
        </w:rPr>
        <w:fldChar w:fldCharType="end"/>
      </w:r>
      <w:r w:rsidR="00164163" w:rsidRPr="00932E24">
        <w:rPr>
          <w:lang w:val="en-GB"/>
        </w:rPr>
        <w:t xml:space="preserve">: </w:t>
      </w:r>
      <w:r w:rsidR="00755828" w:rsidRPr="00932E24">
        <w:rPr>
          <w:lang w:val="en-GB"/>
        </w:rPr>
        <w:t>Global greenhouse</w:t>
      </w:r>
      <w:r w:rsidR="00164163" w:rsidRPr="00932E24">
        <w:rPr>
          <w:lang w:val="en-GB"/>
        </w:rPr>
        <w:t xml:space="preserve"> gas emissions for the sensitivity cases of GPP and Bridge without the carbon tax measure</w:t>
      </w:r>
      <w:r w:rsidR="00755828" w:rsidRPr="00932E24">
        <w:rPr>
          <w:lang w:val="en-GB"/>
        </w:rPr>
        <w:t xml:space="preserve"> (measure 7)</w:t>
      </w:r>
    </w:p>
    <w:p w14:paraId="60990622" w14:textId="54E2D6B2" w:rsidR="006D0A51" w:rsidRPr="00932E24" w:rsidRDefault="006D0A51" w:rsidP="006D0A51">
      <w:pPr>
        <w:spacing w:after="200" w:line="240" w:lineRule="auto"/>
        <w:rPr>
          <w:rFonts w:ascii="Calibri Light" w:eastAsia="Times New Roman" w:hAnsi="Calibri Light" w:cs="Times New Roman"/>
          <w:i/>
          <w:color w:val="44546A"/>
          <w:sz w:val="18"/>
          <w:szCs w:val="18"/>
          <w:lang w:val="en-GB" w:eastAsia="nl-NL"/>
        </w:rPr>
      </w:pPr>
    </w:p>
    <w:p w14:paraId="2CD64C2B" w14:textId="4F893499" w:rsidR="003E6EED" w:rsidRPr="00932E24" w:rsidRDefault="003E6EED" w:rsidP="003E6EED">
      <w:pPr>
        <w:spacing w:before="240" w:after="240"/>
        <w:rPr>
          <w:rFonts w:ascii="Calibri Light" w:eastAsia="Times New Roman" w:hAnsi="Calibri Light" w:cs="Times New Roman"/>
          <w:lang w:val="en-GB" w:eastAsia="nl-NL"/>
        </w:rPr>
      </w:pPr>
    </w:p>
    <w:p w14:paraId="1D1795B0" w14:textId="77777777" w:rsidR="003E6EED" w:rsidRPr="00932E24" w:rsidRDefault="003E6EED" w:rsidP="006D0A51">
      <w:pPr>
        <w:spacing w:after="200" w:line="240" w:lineRule="auto"/>
        <w:rPr>
          <w:rFonts w:ascii="Calibri Light" w:eastAsia="Times New Roman" w:hAnsi="Calibri Light" w:cs="Times New Roman"/>
          <w:i/>
          <w:color w:val="44546A"/>
          <w:sz w:val="18"/>
          <w:szCs w:val="18"/>
          <w:lang w:val="en-GB" w:eastAsia="nl-NL"/>
        </w:rPr>
      </w:pPr>
    </w:p>
    <w:p w14:paraId="383D3CBC" w14:textId="77777777" w:rsidR="00437050" w:rsidRPr="00932E24" w:rsidRDefault="006D0A51" w:rsidP="00437050">
      <w:pPr>
        <w:keepNext/>
        <w:spacing w:after="200" w:line="240" w:lineRule="auto"/>
        <w:rPr>
          <w:lang w:val="en-GB"/>
        </w:rPr>
      </w:pPr>
      <w:r w:rsidRPr="00932E24">
        <w:rPr>
          <w:rFonts w:ascii="Calibri Light" w:eastAsia="Times New Roman" w:hAnsi="Calibri Light" w:cs="Times New Roman"/>
          <w:i/>
          <w:noProof/>
          <w:color w:val="44546A"/>
          <w:sz w:val="18"/>
          <w:szCs w:val="18"/>
          <w:lang w:val="en-GB" w:eastAsia="en-GB"/>
        </w:rPr>
        <w:lastRenderedPageBreak/>
        <w:drawing>
          <wp:inline distT="114300" distB="114300" distL="114300" distR="114300" wp14:anchorId="54716573" wp14:editId="481867CC">
            <wp:extent cx="5972809" cy="4479607"/>
            <wp:effectExtent l="0" t="0" r="9525" b="0"/>
            <wp:docPr id="3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9" cy="4479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B3137" w14:textId="3D79585E" w:rsidR="006D0A51" w:rsidRPr="00932E24" w:rsidRDefault="00437050" w:rsidP="00437050">
      <w:pPr>
        <w:pStyle w:val="Caption"/>
        <w:rPr>
          <w:rFonts w:ascii="Calibri Light" w:eastAsia="Times New Roman" w:hAnsi="Calibri Light" w:cs="Times New Roman"/>
          <w:i w:val="0"/>
          <w:color w:val="44546A"/>
          <w:lang w:val="en-GB" w:eastAsia="nl-NL"/>
        </w:rPr>
      </w:pPr>
      <w:r w:rsidRPr="00932E24">
        <w:rPr>
          <w:lang w:val="en-GB"/>
        </w:rPr>
        <w:t xml:space="preserve">Figure B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Figure_B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7</w:t>
      </w:r>
      <w:r w:rsidRPr="00932E24">
        <w:rPr>
          <w:lang w:val="en-GB"/>
        </w:rPr>
        <w:fldChar w:fldCharType="end"/>
      </w:r>
      <w:r w:rsidR="00755828" w:rsidRPr="00932E24">
        <w:rPr>
          <w:lang w:val="en-GB"/>
        </w:rPr>
        <w:t xml:space="preserve">: Global greenhouse gas emissions for the NDC variant NDC_2050convergence, as compared to the default </w:t>
      </w:r>
      <w:proofErr w:type="spellStart"/>
      <w:r w:rsidR="00755828" w:rsidRPr="00932E24">
        <w:rPr>
          <w:lang w:val="en-GB"/>
        </w:rPr>
        <w:t>NDCplus</w:t>
      </w:r>
      <w:proofErr w:type="spellEnd"/>
      <w:r w:rsidR="00755828" w:rsidRPr="00932E24">
        <w:rPr>
          <w:lang w:val="en-GB"/>
        </w:rPr>
        <w:t xml:space="preserve"> scenario</w:t>
      </w:r>
    </w:p>
    <w:p w14:paraId="0CB6156E" w14:textId="42CE113D" w:rsidR="003E6EED" w:rsidRPr="00932E24" w:rsidRDefault="003E6EED" w:rsidP="003E6EED">
      <w:pPr>
        <w:spacing w:before="240" w:after="240"/>
        <w:rPr>
          <w:rFonts w:ascii="Calibri Light" w:eastAsia="Times New Roman" w:hAnsi="Calibri Light" w:cs="Times New Roman"/>
          <w:lang w:val="en-GB" w:eastAsia="nl-NL"/>
        </w:rPr>
      </w:pPr>
    </w:p>
    <w:p w14:paraId="7974B0F8" w14:textId="77777777" w:rsidR="003E6EED" w:rsidRPr="00932E24" w:rsidRDefault="003E6EED" w:rsidP="006D0A51">
      <w:pPr>
        <w:spacing w:after="200" w:line="240" w:lineRule="auto"/>
        <w:rPr>
          <w:rFonts w:ascii="Calibri Light" w:eastAsia="Times New Roman" w:hAnsi="Calibri Light" w:cs="Times New Roman"/>
          <w:i/>
          <w:color w:val="44546A"/>
          <w:sz w:val="18"/>
          <w:szCs w:val="18"/>
          <w:lang w:val="en-GB" w:eastAsia="nl-NL"/>
        </w:rPr>
      </w:pPr>
    </w:p>
    <w:p w14:paraId="10B86EAC" w14:textId="77777777" w:rsidR="006D0A51" w:rsidRPr="00932E24" w:rsidRDefault="006D0A51" w:rsidP="006D0A51">
      <w:pPr>
        <w:spacing w:after="200" w:line="240" w:lineRule="auto"/>
        <w:rPr>
          <w:rFonts w:ascii="Calibri Light" w:eastAsia="Times New Roman" w:hAnsi="Calibri Light" w:cs="Times New Roman"/>
          <w:i/>
          <w:color w:val="44546A"/>
          <w:sz w:val="18"/>
          <w:szCs w:val="18"/>
          <w:lang w:val="en-GB" w:eastAsia="nl-NL"/>
        </w:rPr>
      </w:pPr>
    </w:p>
    <w:p w14:paraId="6378F66D" w14:textId="77777777" w:rsidR="005168F2" w:rsidRPr="00932E24" w:rsidRDefault="006D0A51" w:rsidP="005168F2">
      <w:pPr>
        <w:keepNext/>
        <w:rPr>
          <w:lang w:val="en-GB"/>
        </w:rPr>
      </w:pPr>
      <w:bookmarkStart w:id="3" w:name="_a7xir3j5vjuh" w:colFirst="0" w:colLast="0"/>
      <w:bookmarkEnd w:id="3"/>
      <w:r w:rsidRPr="00932E24">
        <w:rPr>
          <w:rFonts w:ascii="Calibri Light" w:eastAsia="Times New Roman" w:hAnsi="Calibri Light" w:cs="Times New Roman"/>
          <w:i/>
          <w:noProof/>
          <w:color w:val="44546A"/>
          <w:sz w:val="18"/>
          <w:szCs w:val="18"/>
          <w:lang w:val="en-GB" w:eastAsia="en-GB"/>
        </w:rPr>
        <w:lastRenderedPageBreak/>
        <w:drawing>
          <wp:inline distT="114300" distB="114300" distL="114300" distR="114300" wp14:anchorId="4680AB8B" wp14:editId="7F9C01BE">
            <wp:extent cx="5972807" cy="4479606"/>
            <wp:effectExtent l="0" t="0" r="9525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7" cy="4479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5C5FB" w14:textId="5CA46588" w:rsidR="006D0A51" w:rsidRPr="00932E24" w:rsidRDefault="005168F2" w:rsidP="005168F2">
      <w:pPr>
        <w:pStyle w:val="Caption"/>
        <w:rPr>
          <w:rFonts w:ascii="Calibri Light" w:eastAsia="Times New Roman" w:hAnsi="Calibri Light" w:cs="Times New Roman"/>
          <w:i w:val="0"/>
          <w:color w:val="44546A"/>
          <w:lang w:val="en-GB" w:eastAsia="nl-NL"/>
        </w:rPr>
      </w:pPr>
      <w:r w:rsidRPr="00932E24">
        <w:rPr>
          <w:lang w:val="en-GB"/>
        </w:rPr>
        <w:t xml:space="preserve">Figure B </w:t>
      </w:r>
      <w:r w:rsidR="00A17570" w:rsidRPr="00932E24">
        <w:rPr>
          <w:lang w:val="en-GB"/>
        </w:rPr>
        <w:fldChar w:fldCharType="begin"/>
      </w:r>
      <w:r w:rsidR="00A17570" w:rsidRPr="00932E24">
        <w:rPr>
          <w:lang w:val="en-GB"/>
        </w:rPr>
        <w:instrText xml:space="preserve"> SEQ Figure_B \* ARABIC </w:instrText>
      </w:r>
      <w:r w:rsidR="00A17570"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8</w:t>
      </w:r>
      <w:r w:rsidR="00A17570" w:rsidRPr="00932E24">
        <w:rPr>
          <w:noProof/>
          <w:lang w:val="en-GB"/>
        </w:rPr>
        <w:fldChar w:fldCharType="end"/>
      </w:r>
      <w:r w:rsidR="00755828" w:rsidRPr="00932E24">
        <w:rPr>
          <w:noProof/>
          <w:lang w:val="en-GB"/>
        </w:rPr>
        <w:t>: Global greenhouse gas emissions (</w:t>
      </w:r>
      <w:r w:rsidR="00EB1FCE">
        <w:rPr>
          <w:noProof/>
          <w:lang w:val="en-GB"/>
        </w:rPr>
        <w:t>G</w:t>
      </w:r>
      <w:r w:rsidR="00755828" w:rsidRPr="00932E24">
        <w:rPr>
          <w:noProof/>
          <w:lang w:val="en-GB"/>
        </w:rPr>
        <w:t>t CO</w:t>
      </w:r>
      <w:r w:rsidR="00755828" w:rsidRPr="00932E24">
        <w:rPr>
          <w:noProof/>
          <w:vertAlign w:val="subscript"/>
          <w:lang w:val="en-GB"/>
        </w:rPr>
        <w:t>2</w:t>
      </w:r>
      <w:r w:rsidR="00755828" w:rsidRPr="00932E24">
        <w:rPr>
          <w:noProof/>
          <w:lang w:val="en-GB"/>
        </w:rPr>
        <w:t>eq/year) between 2050 and 2100. Vertical bars: model range in 2100. Circles: model median in 2100.</w:t>
      </w:r>
    </w:p>
    <w:p w14:paraId="0BA79B8B" w14:textId="77777777" w:rsidR="00FE78AB" w:rsidRPr="00932E24" w:rsidRDefault="00616A85" w:rsidP="00FE78AB">
      <w:pPr>
        <w:keepNext/>
        <w:spacing w:after="200" w:line="240" w:lineRule="auto"/>
        <w:rPr>
          <w:lang w:val="en-GB"/>
        </w:rPr>
      </w:pPr>
      <w:r w:rsidRPr="00932E24">
        <w:rPr>
          <w:rFonts w:ascii="Calibri Light" w:eastAsia="Times New Roman" w:hAnsi="Calibri Light" w:cs="Times New Roman"/>
          <w:i/>
          <w:noProof/>
          <w:color w:val="44546A"/>
          <w:sz w:val="18"/>
          <w:szCs w:val="18"/>
          <w:lang w:val="en-GB" w:eastAsia="en-GB"/>
        </w:rPr>
        <w:lastRenderedPageBreak/>
        <w:drawing>
          <wp:inline distT="0" distB="0" distL="0" distR="0" wp14:anchorId="6B023B7B" wp14:editId="0654D1E8">
            <wp:extent cx="5972808" cy="398187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4a1_Carbon_price_bar_countr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8" cy="39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D54B" w14:textId="7738CAAE" w:rsidR="006D0A51" w:rsidRPr="00932E24" w:rsidRDefault="00FE78AB" w:rsidP="00FE78AB">
      <w:pPr>
        <w:pStyle w:val="Caption"/>
        <w:rPr>
          <w:rFonts w:ascii="Calibri Light" w:eastAsia="Times New Roman" w:hAnsi="Calibri Light" w:cs="Times New Roman"/>
          <w:i w:val="0"/>
          <w:color w:val="44546A"/>
          <w:lang w:val="en-GB" w:eastAsia="nl-NL"/>
        </w:rPr>
      </w:pPr>
      <w:r w:rsidRPr="00932E24">
        <w:rPr>
          <w:lang w:val="en-GB"/>
        </w:rPr>
        <w:t xml:space="preserve">Figure B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Figure_B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9</w:t>
      </w:r>
      <w:r w:rsidRPr="00932E24">
        <w:rPr>
          <w:lang w:val="en-GB"/>
        </w:rPr>
        <w:fldChar w:fldCharType="end"/>
      </w:r>
      <w:r w:rsidRPr="00932E24">
        <w:rPr>
          <w:lang w:val="en-GB"/>
        </w:rPr>
        <w:t>: Regional carbon prices (US$2010/tCO</w:t>
      </w:r>
      <w:r w:rsidRPr="00932E24">
        <w:rPr>
          <w:vertAlign w:val="subscript"/>
          <w:lang w:val="en-GB"/>
        </w:rPr>
        <w:t>2</w:t>
      </w:r>
      <w:r w:rsidRPr="00932E24">
        <w:rPr>
          <w:lang w:val="en-GB"/>
        </w:rPr>
        <w:t xml:space="preserve">) in 2030 and 2050, in the </w:t>
      </w:r>
      <w:proofErr w:type="spellStart"/>
      <w:r w:rsidRPr="00932E24">
        <w:rPr>
          <w:lang w:val="en-GB"/>
        </w:rPr>
        <w:t>CurPol</w:t>
      </w:r>
      <w:proofErr w:type="spellEnd"/>
      <w:r w:rsidRPr="00932E24">
        <w:rPr>
          <w:lang w:val="en-GB"/>
        </w:rPr>
        <w:t xml:space="preserve">, </w:t>
      </w:r>
      <w:proofErr w:type="spellStart"/>
      <w:r w:rsidRPr="00932E24">
        <w:rPr>
          <w:lang w:val="en-GB"/>
        </w:rPr>
        <w:t>NDCplus</w:t>
      </w:r>
      <w:proofErr w:type="spellEnd"/>
      <w:r w:rsidRPr="00932E24">
        <w:rPr>
          <w:lang w:val="en-GB"/>
        </w:rPr>
        <w:t>, Bridge</w:t>
      </w:r>
      <w:r w:rsidR="00F10D58">
        <w:rPr>
          <w:lang w:val="en-GB"/>
        </w:rPr>
        <w:t>, 2Deg2020,</w:t>
      </w:r>
      <w:r w:rsidRPr="00932E24">
        <w:rPr>
          <w:lang w:val="en-GB"/>
        </w:rPr>
        <w:t xml:space="preserve"> and 2Deg20</w:t>
      </w:r>
      <w:r w:rsidR="00F10D58">
        <w:rPr>
          <w:lang w:val="en-GB"/>
        </w:rPr>
        <w:t>3</w:t>
      </w:r>
      <w:r w:rsidRPr="00932E24">
        <w:rPr>
          <w:lang w:val="en-GB"/>
        </w:rPr>
        <w:t>0 scenarios. Bars: model median, symbols: individual models.</w:t>
      </w:r>
    </w:p>
    <w:p w14:paraId="617B9767" w14:textId="77777777" w:rsidR="006D0A51" w:rsidRPr="00932E24" w:rsidRDefault="006D0A51" w:rsidP="006D0A51">
      <w:pPr>
        <w:keepNext/>
        <w:rPr>
          <w:rFonts w:ascii="Calibri Light" w:eastAsia="Times New Roman" w:hAnsi="Calibri Light" w:cs="Times New Roman"/>
          <w:lang w:val="en-GB" w:eastAsia="nl-NL"/>
        </w:rPr>
      </w:pPr>
    </w:p>
    <w:p w14:paraId="5D6C3F9B" w14:textId="77777777" w:rsidR="006D0A51" w:rsidRPr="00932E24" w:rsidRDefault="006D0A51" w:rsidP="006D0A51">
      <w:pPr>
        <w:keepNext/>
        <w:rPr>
          <w:rFonts w:ascii="Calibri Light" w:eastAsia="Times New Roman" w:hAnsi="Calibri Light" w:cs="Times New Roman"/>
          <w:lang w:val="en-GB" w:eastAsia="nl-NL"/>
        </w:rPr>
      </w:pPr>
    </w:p>
    <w:p w14:paraId="1CD0FA72" w14:textId="77777777" w:rsidR="006D0A51" w:rsidRPr="00932E24" w:rsidRDefault="006D0A51" w:rsidP="006D0A51">
      <w:pPr>
        <w:keepNext/>
        <w:rPr>
          <w:rFonts w:ascii="Calibri Light" w:eastAsia="Times New Roman" w:hAnsi="Calibri Light" w:cs="Times New Roman"/>
          <w:lang w:val="en-GB" w:eastAsia="nl-NL"/>
        </w:rPr>
      </w:pPr>
    </w:p>
    <w:p w14:paraId="1824B8CA" w14:textId="77777777" w:rsidR="006D0A51" w:rsidRPr="00932E24" w:rsidRDefault="006D0A51" w:rsidP="006D0A51">
      <w:pPr>
        <w:keepNext/>
        <w:rPr>
          <w:rFonts w:ascii="Calibri Light" w:eastAsia="Times New Roman" w:hAnsi="Calibri Light" w:cs="Times New Roman"/>
          <w:lang w:val="en-GB" w:eastAsia="nl-NL"/>
        </w:rPr>
      </w:pPr>
    </w:p>
    <w:p w14:paraId="53D1DAE6" w14:textId="77777777" w:rsidR="006D0A51" w:rsidRPr="00932E24" w:rsidRDefault="006D0A51" w:rsidP="006D0A51">
      <w:pPr>
        <w:keepNext/>
        <w:rPr>
          <w:rFonts w:ascii="Calibri Light" w:eastAsia="Times New Roman" w:hAnsi="Calibri Light" w:cs="Times New Roman"/>
          <w:lang w:val="en-GB" w:eastAsia="nl-NL"/>
        </w:rPr>
      </w:pPr>
    </w:p>
    <w:p w14:paraId="34C78844" w14:textId="77777777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65C362F5" w14:textId="77777777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13B82B12" w14:textId="77777777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1B5911C1" w14:textId="77777777" w:rsidR="006D0A51" w:rsidRPr="00932E24" w:rsidRDefault="006D0A51" w:rsidP="006D0A51">
      <w:pPr>
        <w:rPr>
          <w:rFonts w:ascii="Calibri Light" w:eastAsia="Times New Roman" w:hAnsi="Calibri Light" w:cs="Times New Roman"/>
          <w:lang w:val="en-GB" w:eastAsia="nl-NL"/>
        </w:rPr>
      </w:pPr>
    </w:p>
    <w:p w14:paraId="766BCAD1" w14:textId="77777777" w:rsidR="009118B2" w:rsidRPr="00932E24" w:rsidRDefault="009118B2" w:rsidP="009118B2">
      <w:pPr>
        <w:keepNext/>
        <w:rPr>
          <w:lang w:val="en-GB"/>
        </w:rPr>
      </w:pPr>
      <w:r w:rsidRPr="00932E24">
        <w:rPr>
          <w:noProof/>
          <w:lang w:val="en-GB" w:eastAsia="en-GB"/>
        </w:rPr>
        <w:lastRenderedPageBreak/>
        <w:drawing>
          <wp:inline distT="114300" distB="114300" distL="114300" distR="114300" wp14:anchorId="58AC7189" wp14:editId="046D6D1B">
            <wp:extent cx="5972808" cy="3981872"/>
            <wp:effectExtent l="0" t="0" r="9525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8" cy="3981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E24">
        <w:rPr>
          <w:noProof/>
          <w:lang w:val="en-GB" w:eastAsia="en-GB"/>
        </w:rPr>
        <w:drawing>
          <wp:inline distT="114300" distB="114300" distL="114300" distR="114300" wp14:anchorId="2C339D8A" wp14:editId="021BC382">
            <wp:extent cx="5972808" cy="3981872"/>
            <wp:effectExtent l="0" t="0" r="9525" b="0"/>
            <wp:docPr id="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08" cy="3981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EB725" w14:textId="2F3ADDB9" w:rsidR="005544FC" w:rsidRPr="00932E24" w:rsidRDefault="009118B2" w:rsidP="009118B2">
      <w:pPr>
        <w:pStyle w:val="Caption"/>
        <w:rPr>
          <w:rFonts w:ascii="Calibri Light" w:eastAsia="Times New Roman" w:hAnsi="Calibri Light" w:cs="Times New Roman"/>
          <w:color w:val="44546A"/>
          <w:lang w:val="en-GB" w:eastAsia="nl-NL"/>
        </w:rPr>
      </w:pPr>
      <w:r w:rsidRPr="00932E24">
        <w:rPr>
          <w:lang w:val="en-GB"/>
        </w:rPr>
        <w:lastRenderedPageBreak/>
        <w:t xml:space="preserve">Figure B </w:t>
      </w:r>
      <w:r w:rsidRPr="00932E24">
        <w:rPr>
          <w:lang w:val="en-GB"/>
        </w:rPr>
        <w:fldChar w:fldCharType="begin"/>
      </w:r>
      <w:r w:rsidRPr="00932E24">
        <w:rPr>
          <w:lang w:val="en-GB"/>
        </w:rPr>
        <w:instrText xml:space="preserve"> SEQ Figure_B \* ARABIC </w:instrText>
      </w:r>
      <w:r w:rsidRPr="00932E24">
        <w:rPr>
          <w:lang w:val="en-GB"/>
        </w:rPr>
        <w:fldChar w:fldCharType="separate"/>
      </w:r>
      <w:r w:rsidR="004C4724" w:rsidRPr="00932E24">
        <w:rPr>
          <w:noProof/>
          <w:lang w:val="en-GB"/>
        </w:rPr>
        <w:t>10</w:t>
      </w:r>
      <w:r w:rsidRPr="00932E24">
        <w:rPr>
          <w:lang w:val="en-GB"/>
        </w:rPr>
        <w:fldChar w:fldCharType="end"/>
      </w:r>
      <w:r w:rsidRPr="00932E24">
        <w:rPr>
          <w:lang w:val="en-GB"/>
        </w:rPr>
        <w:t>:</w:t>
      </w:r>
      <w:r w:rsidRPr="00932E24">
        <w:rPr>
          <w:i w:val="0"/>
          <w:color w:val="44546A"/>
          <w:lang w:val="en-GB"/>
        </w:rPr>
        <w:t xml:space="preserve"> </w:t>
      </w:r>
      <w:r w:rsidRPr="00932E24">
        <w:rPr>
          <w:color w:val="44546A"/>
          <w:lang w:val="en-GB"/>
        </w:rPr>
        <w:t>Investments in energy supply – electricity (billion US$2010 per year). Upper graph: non-biomass renewables, lower graph: fossil fuels. Bars show model median, error bars show the full range, and symbols show individual model results.</w:t>
      </w:r>
      <w:r w:rsidRPr="00932E24">
        <w:rPr>
          <w:rFonts w:ascii="Calibri Light" w:eastAsia="Times New Roman" w:hAnsi="Calibri Light" w:cs="Times New Roman"/>
          <w:i w:val="0"/>
          <w:color w:val="44546A"/>
          <w:lang w:val="en-GB" w:eastAsia="nl-NL"/>
        </w:rPr>
        <w:t xml:space="preserve"> </w:t>
      </w:r>
    </w:p>
    <w:sectPr w:rsidR="005544FC" w:rsidRPr="00932E24"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A51"/>
    <w:rsid w:val="00025676"/>
    <w:rsid w:val="0002631A"/>
    <w:rsid w:val="00034A65"/>
    <w:rsid w:val="00046525"/>
    <w:rsid w:val="0009428E"/>
    <w:rsid w:val="000C25FC"/>
    <w:rsid w:val="00114FDB"/>
    <w:rsid w:val="00164163"/>
    <w:rsid w:val="00173D30"/>
    <w:rsid w:val="00177382"/>
    <w:rsid w:val="00180581"/>
    <w:rsid w:val="001856E0"/>
    <w:rsid w:val="001D032E"/>
    <w:rsid w:val="001D5D6A"/>
    <w:rsid w:val="00203663"/>
    <w:rsid w:val="0024038B"/>
    <w:rsid w:val="0024189E"/>
    <w:rsid w:val="00244D57"/>
    <w:rsid w:val="00262BBF"/>
    <w:rsid w:val="00280F90"/>
    <w:rsid w:val="00292C89"/>
    <w:rsid w:val="00293A61"/>
    <w:rsid w:val="002B15D3"/>
    <w:rsid w:val="002B7EE3"/>
    <w:rsid w:val="002C2FBE"/>
    <w:rsid w:val="002F33E3"/>
    <w:rsid w:val="0030282C"/>
    <w:rsid w:val="00327AB5"/>
    <w:rsid w:val="00360F74"/>
    <w:rsid w:val="003E1E2C"/>
    <w:rsid w:val="003E6EED"/>
    <w:rsid w:val="00412BC1"/>
    <w:rsid w:val="00437050"/>
    <w:rsid w:val="004435A4"/>
    <w:rsid w:val="00483D58"/>
    <w:rsid w:val="004C4724"/>
    <w:rsid w:val="004E117D"/>
    <w:rsid w:val="004F14DB"/>
    <w:rsid w:val="004F18D7"/>
    <w:rsid w:val="00514490"/>
    <w:rsid w:val="005168F2"/>
    <w:rsid w:val="00541BB1"/>
    <w:rsid w:val="00544189"/>
    <w:rsid w:val="00552F17"/>
    <w:rsid w:val="005544FC"/>
    <w:rsid w:val="005708D7"/>
    <w:rsid w:val="0058142E"/>
    <w:rsid w:val="00606400"/>
    <w:rsid w:val="00616A85"/>
    <w:rsid w:val="006371B2"/>
    <w:rsid w:val="0064729A"/>
    <w:rsid w:val="0067410D"/>
    <w:rsid w:val="00683921"/>
    <w:rsid w:val="006A00C2"/>
    <w:rsid w:val="006A10CA"/>
    <w:rsid w:val="006A2A72"/>
    <w:rsid w:val="006B272D"/>
    <w:rsid w:val="006B79E4"/>
    <w:rsid w:val="006C271F"/>
    <w:rsid w:val="006D0A51"/>
    <w:rsid w:val="006E3188"/>
    <w:rsid w:val="007049F1"/>
    <w:rsid w:val="00704D6D"/>
    <w:rsid w:val="007053C9"/>
    <w:rsid w:val="00722421"/>
    <w:rsid w:val="007307C2"/>
    <w:rsid w:val="00743DC4"/>
    <w:rsid w:val="00744A6D"/>
    <w:rsid w:val="007550ED"/>
    <w:rsid w:val="00755828"/>
    <w:rsid w:val="00760F9F"/>
    <w:rsid w:val="007725F9"/>
    <w:rsid w:val="00823BE6"/>
    <w:rsid w:val="00841804"/>
    <w:rsid w:val="008B5779"/>
    <w:rsid w:val="008B6CA7"/>
    <w:rsid w:val="008F7AE7"/>
    <w:rsid w:val="009118B2"/>
    <w:rsid w:val="009325DB"/>
    <w:rsid w:val="00932E24"/>
    <w:rsid w:val="0095780D"/>
    <w:rsid w:val="009752CA"/>
    <w:rsid w:val="00984B8D"/>
    <w:rsid w:val="009B170D"/>
    <w:rsid w:val="009D76ED"/>
    <w:rsid w:val="009E5593"/>
    <w:rsid w:val="00A17570"/>
    <w:rsid w:val="00A20DBD"/>
    <w:rsid w:val="00A353F2"/>
    <w:rsid w:val="00A5330B"/>
    <w:rsid w:val="00A92441"/>
    <w:rsid w:val="00AA2EDC"/>
    <w:rsid w:val="00AB70B8"/>
    <w:rsid w:val="00AD2F9C"/>
    <w:rsid w:val="00AF4251"/>
    <w:rsid w:val="00AF59C4"/>
    <w:rsid w:val="00B118E6"/>
    <w:rsid w:val="00B20FD6"/>
    <w:rsid w:val="00B22B06"/>
    <w:rsid w:val="00B35D89"/>
    <w:rsid w:val="00BE58FD"/>
    <w:rsid w:val="00C20279"/>
    <w:rsid w:val="00C565F0"/>
    <w:rsid w:val="00C619C1"/>
    <w:rsid w:val="00C7105E"/>
    <w:rsid w:val="00C758EA"/>
    <w:rsid w:val="00C83518"/>
    <w:rsid w:val="00CA323B"/>
    <w:rsid w:val="00CE10D8"/>
    <w:rsid w:val="00CE2C62"/>
    <w:rsid w:val="00D13510"/>
    <w:rsid w:val="00D15C1C"/>
    <w:rsid w:val="00D2530F"/>
    <w:rsid w:val="00D65042"/>
    <w:rsid w:val="00D66841"/>
    <w:rsid w:val="00D91FE0"/>
    <w:rsid w:val="00DD1AA3"/>
    <w:rsid w:val="00DF3BBD"/>
    <w:rsid w:val="00E513F1"/>
    <w:rsid w:val="00EA4C5D"/>
    <w:rsid w:val="00EB1FCE"/>
    <w:rsid w:val="00F004C2"/>
    <w:rsid w:val="00F10D58"/>
    <w:rsid w:val="00F54972"/>
    <w:rsid w:val="00F61657"/>
    <w:rsid w:val="00F633F2"/>
    <w:rsid w:val="00F833E0"/>
    <w:rsid w:val="00FA72B6"/>
    <w:rsid w:val="00FB033E"/>
    <w:rsid w:val="00FD1903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D4D7B9"/>
  <w15:chartTrackingRefBased/>
  <w15:docId w15:val="{F21A61C6-3977-45CE-B13B-DFDAF142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A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A51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244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44D57"/>
    <w:pPr>
      <w:spacing w:after="200" w:line="240" w:lineRule="auto"/>
    </w:pPr>
    <w:rPr>
      <w:i/>
      <w:iCs/>
      <w:color w:val="162F33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E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EED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B170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62F33" w:themeColor="text2"/>
      <w:spacing w:val="-15"/>
      <w:sz w:val="72"/>
      <w:szCs w:val="72"/>
      <w:lang w:val="en-GB" w:eastAsia="nl-NL"/>
    </w:rPr>
  </w:style>
  <w:style w:type="character" w:customStyle="1" w:styleId="TitleChar">
    <w:name w:val="Title Char"/>
    <w:basedOn w:val="DefaultParagraphFont"/>
    <w:link w:val="Title"/>
    <w:uiPriority w:val="10"/>
    <w:rsid w:val="009B170D"/>
    <w:rPr>
      <w:rFonts w:asciiTheme="majorHAnsi" w:eastAsiaTheme="majorEastAsia" w:hAnsiTheme="majorHAnsi" w:cstheme="majorBidi"/>
      <w:caps/>
      <w:color w:val="162F33" w:themeColor="text2"/>
      <w:spacing w:val="-15"/>
      <w:sz w:val="72"/>
      <w:szCs w:val="72"/>
      <w:lang w:val="en-GB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70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0B4C8" w:themeColor="accent1"/>
      <w:sz w:val="28"/>
      <w:szCs w:val="28"/>
      <w:lang w:val="en-GB" w:eastAsia="nl-NL"/>
    </w:rPr>
  </w:style>
  <w:style w:type="character" w:customStyle="1" w:styleId="SubtitleChar">
    <w:name w:val="Subtitle Char"/>
    <w:basedOn w:val="DefaultParagraphFont"/>
    <w:link w:val="Subtitle"/>
    <w:uiPriority w:val="11"/>
    <w:rsid w:val="009B170D"/>
    <w:rPr>
      <w:rFonts w:asciiTheme="majorHAnsi" w:eastAsiaTheme="majorEastAsia" w:hAnsiTheme="majorHAnsi" w:cstheme="majorBidi"/>
      <w:color w:val="50B4C8" w:themeColor="accent1"/>
      <w:sz w:val="28"/>
      <w:szCs w:val="28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9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4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66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8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689F960C.dotm</Template>
  <TotalTime>54</TotalTime>
  <Pages>25</Pages>
  <Words>2120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PBL</Company>
  <LinksUpToDate>false</LinksUpToDate>
  <CharactersWithSpaces>13755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Heleen van Soest</dc:creator>
  <cp:keywords/>
  <dc:description/>
  <cp:lastModifiedBy>Heleen Soest</cp:lastModifiedBy>
  <cp:revision>11</cp:revision>
  <dcterms:created xsi:type="dcterms:W3CDTF">2020-12-17T15:41:00Z</dcterms:created>
  <dcterms:modified xsi:type="dcterms:W3CDTF">2020-12-18T12:51:00Z</dcterms:modified>
</cp:coreProperties>
</file>