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Cs w:val="21"/>
          <w:lang w:val="en-GB"/>
        </w:rPr>
      </w:pPr>
      <w:r>
        <w:rPr>
          <w:rFonts w:ascii="Times New Roman" w:hAnsi="Times New Roman"/>
          <w:b/>
          <w:szCs w:val="21"/>
          <w:lang w:val="en-GB"/>
        </w:rPr>
        <w:t xml:space="preserve">Risk factor analysis for failure of high-flow nasal cannula oxygen therapy within </w:t>
      </w:r>
    </w:p>
    <w:p>
      <w:pPr>
        <w:spacing w:line="360" w:lineRule="auto"/>
        <w:jc w:val="center"/>
        <w:rPr>
          <w:rFonts w:ascii="Times New Roman" w:hAnsi="Times New Roman"/>
          <w:b/>
          <w:szCs w:val="21"/>
          <w:lang w:val="en-GB"/>
        </w:rPr>
      </w:pPr>
      <w:r>
        <w:rPr>
          <w:rFonts w:ascii="Times New Roman" w:hAnsi="Times New Roman"/>
          <w:b/>
          <w:szCs w:val="21"/>
          <w:lang w:val="en-GB"/>
        </w:rPr>
        <w:t>24 h and 2 h</w:t>
      </w:r>
    </w:p>
    <w:p>
      <w:pPr>
        <w:spacing w:line="360" w:lineRule="auto"/>
        <w:jc w:val="left"/>
        <w:rPr>
          <w:rFonts w:ascii="Times New Roman" w:hAnsi="Times New Roman"/>
          <w:szCs w:val="21"/>
          <w:lang w:val="en-GB"/>
        </w:rPr>
      </w:pPr>
      <w:r>
        <w:rPr>
          <w:rFonts w:ascii="宋体" w:hAnsi="宋体" w:cs="宋体"/>
          <w:szCs w:val="21"/>
          <w:lang w:val="en-GB"/>
        </w:rPr>
        <w:t xml:space="preserve">1 </w:t>
      </w:r>
      <w:r>
        <w:rPr>
          <w:rFonts w:ascii="Times New Roman" w:hAnsi="Times New Roman"/>
          <w:szCs w:val="21"/>
          <w:lang w:val="en-GB"/>
        </w:rPr>
        <w:t>HFNC 24 h failure risk factor analysis</w:t>
      </w:r>
    </w:p>
    <w:p>
      <w:pPr>
        <w:spacing w:line="360" w:lineRule="auto"/>
        <w:jc w:val="left"/>
        <w:rPr>
          <w:rFonts w:ascii="Times New Roman" w:hAnsi="Times New Roman"/>
          <w:szCs w:val="21"/>
          <w:lang w:val="en-GB"/>
        </w:rPr>
      </w:pPr>
      <w:r>
        <w:rPr>
          <w:rFonts w:ascii="Times New Roman" w:hAnsi="Times New Roman"/>
          <w:szCs w:val="21"/>
          <w:lang w:val="en-GB"/>
        </w:rPr>
        <w:t xml:space="preserve"> </w:t>
      </w:r>
      <w:r>
        <w:rPr>
          <w:rFonts w:ascii="宋体" w:hAnsi="宋体"/>
          <w:szCs w:val="21"/>
          <w:lang w:val="en-GB"/>
        </w:rPr>
        <w:t>(1)</w:t>
      </w:r>
      <w:r>
        <w:rPr>
          <w:rFonts w:ascii="Times New Roman" w:hAnsi="Times New Roman"/>
          <w:szCs w:val="21"/>
          <w:lang w:val="en-GB"/>
        </w:rPr>
        <w:t xml:space="preserve"> Comparisons of General Clinical Data</w:t>
      </w:r>
    </w:p>
    <w:p>
      <w:pPr>
        <w:spacing w:line="360" w:lineRule="auto"/>
        <w:jc w:val="left"/>
        <w:rPr>
          <w:rFonts w:ascii="Times New Roman" w:hAnsi="Times New Roman"/>
          <w:szCs w:val="21"/>
          <w:lang w:val="en-GB"/>
        </w:rPr>
      </w:pPr>
      <w:r>
        <w:rPr>
          <w:rFonts w:hint="eastAsia" w:ascii="Times New Roman" w:hAnsi="Times New Roman"/>
          <w:kern w:val="0"/>
          <w:lang w:val="en-GB"/>
        </w:rPr>
        <w:t>T</w:t>
      </w:r>
      <w:r>
        <w:rPr>
          <w:rFonts w:ascii="Times New Roman" w:hAnsi="Times New Roman"/>
          <w:kern w:val="0"/>
          <w:lang w:val="en-GB"/>
        </w:rPr>
        <w:t xml:space="preserve">he distributions of disease types were no significant differences between the HFNC success group and the </w:t>
      </w:r>
      <w:r>
        <w:rPr>
          <w:rFonts w:hint="eastAsia" w:ascii="Times New Roman" w:hAnsi="Times New Roman"/>
          <w:kern w:val="0"/>
          <w:lang w:val="en-GB"/>
        </w:rPr>
        <w:t>24</w:t>
      </w:r>
      <w:r>
        <w:rPr>
          <w:rFonts w:ascii="Times New Roman" w:hAnsi="Times New Roman"/>
          <w:kern w:val="0"/>
          <w:lang w:val="en-GB"/>
        </w:rPr>
        <w:t xml:space="preserve"> h failure group(</w:t>
      </w:r>
      <w:r>
        <w:rPr>
          <w:rFonts w:ascii="Times New Roman" w:hAnsi="Times New Roman"/>
          <w:i/>
          <w:kern w:val="0"/>
          <w:lang w:val="en-GB"/>
        </w:rPr>
        <w:t>P</w:t>
      </w:r>
      <w:r>
        <w:rPr>
          <w:rFonts w:ascii="Times New Roman" w:hAnsi="Times New Roman"/>
          <w:kern w:val="0"/>
          <w:lang w:val="en-GB"/>
        </w:rPr>
        <w:t>&gt;0.05)</w:t>
      </w:r>
      <w:r>
        <w:rPr>
          <w:rFonts w:hint="eastAsia" w:ascii="Times New Roman" w:hAnsi="Times New Roman"/>
          <w:kern w:val="0"/>
          <w:lang w:val="en-GB"/>
        </w:rPr>
        <w:t>.And</w:t>
      </w:r>
      <w:r>
        <w:rPr>
          <w:rFonts w:ascii="Times New Roman" w:hAnsi="Times New Roman"/>
          <w:kern w:val="0"/>
          <w:lang w:val="en-GB"/>
        </w:rPr>
        <w:t xml:space="preserve"> there </w:t>
      </w:r>
      <w:r>
        <w:rPr>
          <w:rFonts w:hint="eastAsia" w:ascii="Times New Roman" w:hAnsi="Times New Roman"/>
          <w:kern w:val="0"/>
          <w:lang w:val="en-GB"/>
        </w:rPr>
        <w:t xml:space="preserve">also </w:t>
      </w:r>
      <w:r>
        <w:rPr>
          <w:rFonts w:ascii="Times New Roman" w:hAnsi="Times New Roman"/>
          <w:kern w:val="0"/>
          <w:lang w:val="en-GB"/>
        </w:rPr>
        <w:t xml:space="preserve">were no significant difference in age,sex or weight between the </w:t>
      </w:r>
      <w:r>
        <w:rPr>
          <w:rFonts w:hint="eastAsia" w:ascii="Times New Roman" w:hAnsi="Times New Roman"/>
          <w:kern w:val="0"/>
          <w:lang w:val="en-GB"/>
        </w:rPr>
        <w:t>two</w:t>
      </w:r>
      <w:r>
        <w:rPr>
          <w:rFonts w:ascii="Times New Roman" w:hAnsi="Times New Roman"/>
          <w:kern w:val="0"/>
          <w:lang w:val="en-GB"/>
        </w:rPr>
        <w:t xml:space="preserve"> groups</w:t>
      </w:r>
      <w:r>
        <w:rPr>
          <w:rFonts w:ascii="Times New Roman" w:hAnsi="Times New Roman"/>
          <w:szCs w:val="21"/>
          <w:lang w:val="en-GB"/>
        </w:rPr>
        <w:t>(</w:t>
      </w:r>
      <w:r>
        <w:rPr>
          <w:rFonts w:ascii="Times New Roman" w:hAnsi="Times New Roman"/>
          <w:i/>
          <w:szCs w:val="21"/>
          <w:lang w:val="en-GB"/>
        </w:rPr>
        <w:t>P</w:t>
      </w:r>
      <w:r>
        <w:rPr>
          <w:rFonts w:ascii="Times New Roman" w:hAnsi="Times New Roman"/>
          <w:szCs w:val="21"/>
          <w:lang w:val="en-GB"/>
        </w:rPr>
        <w:t>&gt;0.05) (Table 1).</w:t>
      </w:r>
    </w:p>
    <w:p>
      <w:pPr>
        <w:spacing w:line="360" w:lineRule="auto"/>
        <w:jc w:val="left"/>
        <w:rPr>
          <w:rFonts w:ascii="Arial" w:hAnsi="Arial" w:cs="Arial"/>
          <w:sz w:val="18"/>
          <w:szCs w:val="18"/>
          <w:lang w:val="en-GB"/>
        </w:rPr>
      </w:pPr>
      <w:r>
        <w:rPr>
          <w:rFonts w:ascii="Arial" w:hAnsi="Arial" w:cs="Arial"/>
          <w:sz w:val="18"/>
          <w:szCs w:val="18"/>
          <w:lang w:val="en-GB"/>
        </w:rPr>
        <w:t>Table 1 Comparisons between the high-flow nasal cannula oxygen therapy Success Group and the 24 h Failure Group</w:t>
      </w:r>
    </w:p>
    <w:tbl>
      <w:tblPr>
        <w:tblStyle w:val="4"/>
        <w:tblW w:w="8297" w:type="dxa"/>
        <w:tblInd w:w="-1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66"/>
        <w:gridCol w:w="767"/>
        <w:gridCol w:w="2288"/>
        <w:gridCol w:w="1652"/>
        <w:gridCol w:w="242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166"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Group</w:t>
            </w:r>
          </w:p>
        </w:tc>
        <w:tc>
          <w:tcPr>
            <w:tcW w:w="767"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No.</w:t>
            </w:r>
          </w:p>
        </w:tc>
        <w:tc>
          <w:tcPr>
            <w:tcW w:w="2288"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Age</w:t>
            </w:r>
          </w:p>
          <w:p>
            <w:pPr>
              <w:spacing w:line="360" w:lineRule="auto"/>
              <w:jc w:val="center"/>
              <w:rPr>
                <w:rFonts w:ascii="Arial" w:hAnsi="Arial" w:cs="Arial"/>
                <w:sz w:val="18"/>
                <w:szCs w:val="18"/>
                <w:lang w:val="en-GB"/>
              </w:rPr>
            </w:pPr>
            <w:r>
              <w:rPr>
                <w:rFonts w:ascii="Arial" w:hAnsi="Arial" w:cs="Arial"/>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50</w:t>
            </w:r>
            <w:r>
              <w:rPr>
                <w:rFonts w:hint="eastAsia" w:ascii="Arial" w:hAnsi="Arial" w:cs="Arial"/>
                <w:kern w:val="0"/>
                <w:sz w:val="18"/>
                <w:szCs w:val="18"/>
                <w:lang w:val="en-GB"/>
              </w:rPr>
              <w:t>（</w:t>
            </w:r>
            <w:r>
              <w:rPr>
                <w:rFonts w:ascii="Arial" w:hAnsi="Arial" w:cs="Arial"/>
                <w:i/>
                <w:iCs/>
                <w:kern w:val="0"/>
                <w:sz w:val="18"/>
                <w:szCs w:val="18"/>
                <w:lang w:val="en-GB"/>
              </w:rPr>
              <w:t>P</w:t>
            </w:r>
            <w:r>
              <w:rPr>
                <w:rFonts w:ascii="Arial" w:hAnsi="Arial" w:cs="Arial"/>
                <w:kern w:val="0"/>
                <w:sz w:val="18"/>
                <w:szCs w:val="18"/>
                <w:vertAlign w:val="subscript"/>
                <w:lang w:val="en-GB"/>
              </w:rPr>
              <w:t>25</w:t>
            </w:r>
            <w:r>
              <w:rPr>
                <w:rFonts w:ascii="Arial" w:hAnsi="Arial" w:cs="Arial"/>
                <w:kern w:val="0"/>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75</w:t>
            </w:r>
            <w:r>
              <w:rPr>
                <w:rFonts w:hint="eastAsia" w:ascii="Arial" w:hAnsi="Arial" w:cs="Arial"/>
                <w:kern w:val="0"/>
                <w:sz w:val="18"/>
                <w:szCs w:val="18"/>
                <w:lang w:val="en-GB"/>
              </w:rPr>
              <w:t>）</w:t>
            </w:r>
            <w:r>
              <w:rPr>
                <w:rFonts w:ascii="Arial" w:hAnsi="Arial" w:cs="Arial"/>
                <w:kern w:val="0"/>
                <w:sz w:val="18"/>
                <w:szCs w:val="18"/>
                <w:lang w:val="en-GB"/>
              </w:rPr>
              <w:t>, month</w:t>
            </w:r>
            <w:r>
              <w:rPr>
                <w:rFonts w:ascii="Arial" w:hAnsi="Arial" w:cs="Arial"/>
                <w:sz w:val="18"/>
                <w:szCs w:val="18"/>
                <w:lang w:val="en-GB"/>
              </w:rPr>
              <w:t>]</w:t>
            </w:r>
          </w:p>
        </w:tc>
        <w:tc>
          <w:tcPr>
            <w:tcW w:w="1652"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Male/Female (patients)</w:t>
            </w:r>
          </w:p>
        </w:tc>
        <w:tc>
          <w:tcPr>
            <w:tcW w:w="2424"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Weight </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kern w:val="0"/>
                <w:sz w:val="18"/>
                <w:szCs w:val="18"/>
                <w:lang w:val="en-GB"/>
              </w:rPr>
              <w:t>P</w:t>
            </w:r>
            <w:r>
              <w:rPr>
                <w:rFonts w:ascii="Arial" w:hAnsi="Arial" w:cs="Arial"/>
                <w:kern w:val="0"/>
                <w:sz w:val="18"/>
                <w:szCs w:val="18"/>
                <w:vertAlign w:val="subscript"/>
                <w:lang w:val="en-GB"/>
              </w:rPr>
              <w:t>50</w:t>
            </w:r>
            <w:r>
              <w:rPr>
                <w:rFonts w:hint="eastAsia" w:ascii="Arial" w:hAnsi="Arial" w:cs="Arial"/>
                <w:kern w:val="0"/>
                <w:sz w:val="18"/>
                <w:szCs w:val="18"/>
                <w:lang w:val="en-GB"/>
              </w:rPr>
              <w:t>（</w:t>
            </w:r>
            <w:r>
              <w:rPr>
                <w:rFonts w:ascii="Arial" w:hAnsi="Arial" w:cs="Arial"/>
                <w:i/>
                <w:iCs/>
                <w:kern w:val="0"/>
                <w:sz w:val="18"/>
                <w:szCs w:val="18"/>
                <w:lang w:val="en-GB"/>
              </w:rPr>
              <w:t>P</w:t>
            </w:r>
            <w:r>
              <w:rPr>
                <w:rFonts w:ascii="Arial" w:hAnsi="Arial" w:cs="Arial"/>
                <w:kern w:val="0"/>
                <w:sz w:val="18"/>
                <w:szCs w:val="18"/>
                <w:vertAlign w:val="subscript"/>
                <w:lang w:val="en-GB"/>
              </w:rPr>
              <w:t>25</w:t>
            </w:r>
            <w:r>
              <w:rPr>
                <w:rFonts w:ascii="Arial" w:hAnsi="Arial" w:cs="Arial"/>
                <w:kern w:val="0"/>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75</w:t>
            </w:r>
            <w:r>
              <w:rPr>
                <w:rFonts w:hint="eastAsia" w:ascii="Arial" w:hAnsi="Arial" w:cs="Arial"/>
                <w:kern w:val="0"/>
                <w:sz w:val="18"/>
                <w:szCs w:val="18"/>
                <w:lang w:val="en-GB"/>
              </w:rPr>
              <w:t>）</w:t>
            </w:r>
            <w:r>
              <w:rPr>
                <w:rFonts w:ascii="Arial" w:hAnsi="Arial" w:cs="Arial"/>
                <w:kern w:val="0"/>
                <w:sz w:val="18"/>
                <w:szCs w:val="18"/>
                <w:lang w:val="en-GB"/>
              </w:rPr>
              <w:t>, kg]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166"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HFNC success group</w:t>
            </w:r>
          </w:p>
        </w:tc>
        <w:tc>
          <w:tcPr>
            <w:tcW w:w="767"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237</w:t>
            </w:r>
          </w:p>
        </w:tc>
        <w:tc>
          <w:tcPr>
            <w:tcW w:w="2288"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6</w:t>
            </w:r>
            <w:r>
              <w:rPr>
                <w:rFonts w:hint="eastAsia" w:ascii="Arial" w:hAnsi="Arial" w:cs="Arial"/>
                <w:sz w:val="18"/>
                <w:szCs w:val="18"/>
                <w:lang w:val="en-GB"/>
              </w:rPr>
              <w:t>（</w:t>
            </w:r>
            <w:r>
              <w:rPr>
                <w:rFonts w:ascii="Arial" w:hAnsi="Arial" w:cs="Arial"/>
                <w:sz w:val="18"/>
                <w:szCs w:val="18"/>
                <w:lang w:val="en-GB"/>
              </w:rPr>
              <w:t>2, 18</w:t>
            </w:r>
            <w:r>
              <w:rPr>
                <w:rFonts w:hint="eastAsia" w:ascii="Arial" w:hAnsi="Arial" w:cs="Arial"/>
                <w:sz w:val="18"/>
                <w:szCs w:val="18"/>
                <w:lang w:val="en-GB"/>
              </w:rPr>
              <w:t>）</w:t>
            </w:r>
          </w:p>
        </w:tc>
        <w:tc>
          <w:tcPr>
            <w:tcW w:w="1652"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132/105</w:t>
            </w:r>
          </w:p>
        </w:tc>
        <w:tc>
          <w:tcPr>
            <w:tcW w:w="2424"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7.00</w:t>
            </w:r>
            <w:r>
              <w:rPr>
                <w:rFonts w:hint="eastAsia" w:ascii="Arial" w:hAnsi="Arial" w:cs="Arial"/>
                <w:sz w:val="18"/>
                <w:szCs w:val="18"/>
                <w:lang w:val="en-GB"/>
              </w:rPr>
              <w:t>（</w:t>
            </w:r>
            <w:r>
              <w:rPr>
                <w:rFonts w:ascii="Arial" w:hAnsi="Arial" w:cs="Arial"/>
                <w:sz w:val="18"/>
                <w:szCs w:val="18"/>
                <w:lang w:val="en-GB"/>
              </w:rPr>
              <w:t>4.95, 10.60</w:t>
            </w:r>
            <w:r>
              <w:rPr>
                <w:rFonts w:hint="eastAsia" w:ascii="Arial" w:hAnsi="Arial" w:cs="Arial"/>
                <w:sz w:val="18"/>
                <w:szCs w:val="18"/>
                <w:lang w:val="en-GB"/>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1166"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24 h failure group</w:t>
            </w:r>
          </w:p>
        </w:tc>
        <w:tc>
          <w:tcPr>
            <w:tcW w:w="767"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84</w:t>
            </w:r>
          </w:p>
        </w:tc>
        <w:tc>
          <w:tcPr>
            <w:tcW w:w="2288"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11</w:t>
            </w:r>
            <w:r>
              <w:rPr>
                <w:rFonts w:hint="eastAsia" w:ascii="Arial" w:hAnsi="Arial" w:cs="Arial"/>
                <w:sz w:val="18"/>
                <w:szCs w:val="18"/>
                <w:lang w:val="en-GB"/>
              </w:rPr>
              <w:t>（</w:t>
            </w:r>
            <w:r>
              <w:rPr>
                <w:rFonts w:ascii="Arial" w:hAnsi="Arial" w:cs="Arial"/>
                <w:sz w:val="18"/>
                <w:szCs w:val="18"/>
                <w:lang w:val="en-GB"/>
              </w:rPr>
              <w:t>2,59</w:t>
            </w:r>
            <w:r>
              <w:rPr>
                <w:rFonts w:hint="eastAsia" w:ascii="Arial" w:hAnsi="Arial" w:cs="Arial"/>
                <w:sz w:val="18"/>
                <w:szCs w:val="18"/>
                <w:lang w:val="en-GB"/>
              </w:rPr>
              <w:t>）</w:t>
            </w:r>
          </w:p>
        </w:tc>
        <w:tc>
          <w:tcPr>
            <w:tcW w:w="1652"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40/44</w:t>
            </w:r>
          </w:p>
        </w:tc>
        <w:tc>
          <w:tcPr>
            <w:tcW w:w="2424"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8.10</w:t>
            </w:r>
            <w:r>
              <w:rPr>
                <w:rFonts w:hint="eastAsia" w:ascii="Arial" w:hAnsi="Arial" w:cs="Arial"/>
                <w:sz w:val="18"/>
                <w:szCs w:val="18"/>
                <w:lang w:val="en-GB"/>
              </w:rPr>
              <w:t>（</w:t>
            </w:r>
            <w:r>
              <w:rPr>
                <w:rFonts w:ascii="Arial" w:hAnsi="Arial" w:cs="Arial"/>
                <w:sz w:val="18"/>
                <w:szCs w:val="18"/>
                <w:lang w:val="en-GB"/>
              </w:rPr>
              <w:t>4.50,15.95</w:t>
            </w:r>
            <w:r>
              <w:rPr>
                <w:rFonts w:hint="eastAsia" w:ascii="Arial" w:hAnsi="Arial" w:cs="Arial"/>
                <w:sz w:val="18"/>
                <w:szCs w:val="18"/>
                <w:lang w:val="en-GB"/>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166"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i/>
                <w:sz w:val="18"/>
                <w:szCs w:val="18"/>
                <w:lang w:val="en-GB"/>
              </w:rPr>
              <w:t>U</w:t>
            </w:r>
            <w:r>
              <w:rPr>
                <w:rFonts w:hint="eastAsia" w:ascii="Arial" w:hAnsi="Arial" w:cs="Arial"/>
                <w:sz w:val="18"/>
                <w:szCs w:val="18"/>
                <w:lang w:val="en-GB"/>
              </w:rPr>
              <w:t>（</w:t>
            </w:r>
            <w:r>
              <w:rPr>
                <w:rFonts w:ascii="Arial" w:hAnsi="Arial" w:cs="Arial"/>
                <w:i/>
                <w:sz w:val="18"/>
                <w:szCs w:val="18"/>
                <w:lang w:val="en-GB"/>
              </w:rPr>
              <w:t>x</w:t>
            </w:r>
            <w:r>
              <w:rPr>
                <w:rFonts w:hint="eastAsia" w:ascii="Arial" w:hAnsi="Arial" w:cs="Arial"/>
                <w:i/>
                <w:sz w:val="18"/>
                <w:szCs w:val="18"/>
                <w:lang w:val="en-GB"/>
              </w:rPr>
              <w:t>）</w:t>
            </w:r>
            <w:r>
              <w:rPr>
                <w:rFonts w:ascii="Arial" w:hAnsi="Arial" w:cs="Arial"/>
                <w:sz w:val="18"/>
                <w:szCs w:val="18"/>
                <w:vertAlign w:val="superscript"/>
                <w:lang w:val="en-GB"/>
              </w:rPr>
              <w:t xml:space="preserve">2 </w:t>
            </w:r>
            <w:r>
              <w:rPr>
                <w:rFonts w:ascii="Arial" w:hAnsi="Arial" w:cs="Arial"/>
                <w:sz w:val="18"/>
                <w:szCs w:val="18"/>
                <w:lang w:val="en-GB"/>
              </w:rPr>
              <w:t>value</w:t>
            </w:r>
          </w:p>
        </w:tc>
        <w:tc>
          <w:tcPr>
            <w:tcW w:w="767"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p>
        </w:tc>
        <w:tc>
          <w:tcPr>
            <w:tcW w:w="2288"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-1.536</w:t>
            </w:r>
          </w:p>
        </w:tc>
        <w:tc>
          <w:tcPr>
            <w:tcW w:w="1652"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1.627</w:t>
            </w:r>
            <w:r>
              <w:rPr>
                <w:rFonts w:hint="eastAsia" w:ascii="Arial" w:hAnsi="Arial" w:cs="Arial"/>
                <w:sz w:val="18"/>
                <w:szCs w:val="18"/>
                <w:lang w:val="en-GB"/>
              </w:rPr>
              <w:t>）</w:t>
            </w:r>
          </w:p>
        </w:tc>
        <w:tc>
          <w:tcPr>
            <w:tcW w:w="2424"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-1.057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1166"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i/>
                <w:sz w:val="18"/>
                <w:szCs w:val="18"/>
                <w:lang w:val="en-GB"/>
              </w:rPr>
              <w:t>P</w:t>
            </w:r>
            <w:r>
              <w:rPr>
                <w:rFonts w:ascii="Arial" w:hAnsi="Arial" w:cs="Arial"/>
                <w:sz w:val="18"/>
                <w:szCs w:val="18"/>
                <w:lang w:val="en-GB"/>
              </w:rPr>
              <w:t xml:space="preserve"> value</w:t>
            </w:r>
          </w:p>
        </w:tc>
        <w:tc>
          <w:tcPr>
            <w:tcW w:w="767"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p>
        </w:tc>
        <w:tc>
          <w:tcPr>
            <w:tcW w:w="2288"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0.124</w:t>
            </w:r>
          </w:p>
        </w:tc>
        <w:tc>
          <w:tcPr>
            <w:tcW w:w="1652"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0.202</w:t>
            </w:r>
          </w:p>
        </w:tc>
        <w:tc>
          <w:tcPr>
            <w:tcW w:w="2424"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0.290</w:t>
            </w:r>
          </w:p>
        </w:tc>
      </w:tr>
    </w:tbl>
    <w:p>
      <w:pPr>
        <w:spacing w:line="360" w:lineRule="auto"/>
        <w:jc w:val="left"/>
        <w:rPr>
          <w:rFonts w:ascii="Times New Roman" w:hAnsi="Times New Roman"/>
          <w:szCs w:val="21"/>
          <w:lang w:val="en-GB"/>
        </w:rPr>
      </w:pPr>
      <w:r>
        <w:rPr>
          <w:rFonts w:ascii="宋体" w:hAnsi="宋体"/>
          <w:szCs w:val="21"/>
          <w:lang w:val="en-GB"/>
        </w:rPr>
        <w:t>(2)</w:t>
      </w:r>
      <w:r>
        <w:rPr>
          <w:rFonts w:ascii="Times New Roman" w:hAnsi="Times New Roman"/>
          <w:szCs w:val="21"/>
          <w:lang w:val="en-GB"/>
        </w:rPr>
        <w:t xml:space="preserve"> Common clinical indexes and blood gas analysis results affecting the respiratory support mode</w:t>
      </w:r>
    </w:p>
    <w:p>
      <w:pPr>
        <w:spacing w:line="360" w:lineRule="auto"/>
        <w:jc w:val="left"/>
        <w:rPr>
          <w:rFonts w:ascii="Times New Roman" w:hAnsi="Times New Roman"/>
          <w:szCs w:val="21"/>
          <w:lang w:val="en-GB"/>
        </w:rPr>
      </w:pPr>
      <w:r>
        <w:rPr>
          <w:rFonts w:ascii="Times New Roman" w:hAnsi="Times New Roman"/>
          <w:szCs w:val="21"/>
          <w:lang w:val="en-GB"/>
        </w:rPr>
        <w:t xml:space="preserve">The clinical indexes and blood gas analysis results of the two groups of pediatric patients are shown in Table </w:t>
      </w:r>
      <w:r>
        <w:rPr>
          <w:rFonts w:hint="eastAsia" w:ascii="Times New Roman" w:hAnsi="Times New Roman"/>
          <w:szCs w:val="21"/>
          <w:lang w:val="en-GB"/>
        </w:rPr>
        <w:t>2</w:t>
      </w:r>
      <w:r>
        <w:rPr>
          <w:rFonts w:ascii="Times New Roman" w:hAnsi="Times New Roman"/>
          <w:szCs w:val="21"/>
          <w:lang w:val="en-GB"/>
        </w:rPr>
        <w:t>. The GCS score, pH value and oxygenation index of the 24 h failure group were lower than those of the success group, while the PRISM III score, CRP, PCT, PaCO</w:t>
      </w:r>
      <w:r>
        <w:rPr>
          <w:rFonts w:ascii="Times New Roman" w:hAnsi="Times New Roman"/>
          <w:szCs w:val="21"/>
          <w:vertAlign w:val="subscript"/>
          <w:lang w:val="en-GB"/>
        </w:rPr>
        <w:t>2</w:t>
      </w:r>
      <w:r>
        <w:rPr>
          <w:rFonts w:ascii="Times New Roman" w:hAnsi="Times New Roman"/>
          <w:szCs w:val="21"/>
          <w:lang w:val="en-GB"/>
        </w:rPr>
        <w:t xml:space="preserve"> and PaCO</w:t>
      </w:r>
      <w:r>
        <w:rPr>
          <w:rFonts w:ascii="Times New Roman" w:hAnsi="Times New Roman"/>
          <w:szCs w:val="21"/>
          <w:vertAlign w:val="subscript"/>
          <w:lang w:val="en-GB"/>
        </w:rPr>
        <w:t>2</w:t>
      </w:r>
      <w:r>
        <w:rPr>
          <w:rFonts w:ascii="Times New Roman" w:hAnsi="Times New Roman"/>
          <w:szCs w:val="21"/>
          <w:lang w:val="en-GB"/>
        </w:rPr>
        <w:t>/PaO</w:t>
      </w:r>
      <w:r>
        <w:rPr>
          <w:rFonts w:ascii="Times New Roman" w:hAnsi="Times New Roman"/>
          <w:szCs w:val="21"/>
          <w:vertAlign w:val="subscript"/>
          <w:lang w:val="en-GB"/>
        </w:rPr>
        <w:t>2</w:t>
      </w:r>
      <w:r>
        <w:rPr>
          <w:rFonts w:ascii="Times New Roman" w:hAnsi="Times New Roman"/>
          <w:szCs w:val="21"/>
          <w:lang w:val="en-GB"/>
        </w:rPr>
        <w:t xml:space="preserve"> ratio were higher than those of the success group. The differences between the two groups were statistically significant (</w:t>
      </w:r>
      <w:r>
        <w:rPr>
          <w:rFonts w:ascii="Times New Roman" w:hAnsi="Times New Roman"/>
          <w:i/>
          <w:szCs w:val="21"/>
          <w:lang w:val="en-GB"/>
        </w:rPr>
        <w:t>P</w:t>
      </w:r>
      <w:r>
        <w:rPr>
          <w:rFonts w:ascii="Times New Roman" w:hAnsi="Times New Roman"/>
          <w:szCs w:val="21"/>
          <w:lang w:val="en-GB"/>
        </w:rPr>
        <w:t>&lt;0.05). However, there was no significant difference in SpO</w:t>
      </w:r>
      <w:r>
        <w:rPr>
          <w:rFonts w:ascii="Times New Roman" w:hAnsi="Times New Roman"/>
          <w:szCs w:val="21"/>
          <w:vertAlign w:val="subscript"/>
          <w:lang w:val="en-GB"/>
        </w:rPr>
        <w:t>2</w:t>
      </w:r>
      <w:r>
        <w:rPr>
          <w:rFonts w:ascii="Times New Roman" w:hAnsi="Times New Roman"/>
          <w:szCs w:val="21"/>
          <w:lang w:val="en-GB"/>
        </w:rPr>
        <w:t>, LAC or PaO</w:t>
      </w:r>
      <w:r>
        <w:rPr>
          <w:rFonts w:ascii="Times New Roman" w:hAnsi="Times New Roman"/>
          <w:szCs w:val="21"/>
          <w:vertAlign w:val="subscript"/>
          <w:lang w:val="en-GB"/>
        </w:rPr>
        <w:t>2</w:t>
      </w:r>
      <w:r>
        <w:rPr>
          <w:rFonts w:ascii="Times New Roman" w:hAnsi="Times New Roman"/>
          <w:szCs w:val="21"/>
          <w:lang w:val="en-GB"/>
        </w:rPr>
        <w:t xml:space="preserve"> between the two groups (</w:t>
      </w:r>
      <w:r>
        <w:rPr>
          <w:rFonts w:ascii="Times New Roman" w:hAnsi="Times New Roman"/>
          <w:i/>
          <w:szCs w:val="21"/>
          <w:lang w:val="en-GB"/>
        </w:rPr>
        <w:t>P</w:t>
      </w:r>
      <w:r>
        <w:rPr>
          <w:rFonts w:ascii="Times New Roman" w:hAnsi="Times New Roman"/>
          <w:szCs w:val="21"/>
          <w:lang w:val="en-GB"/>
        </w:rPr>
        <w:t>&gt;0.05).</w:t>
      </w:r>
    </w:p>
    <w:p>
      <w:pPr>
        <w:spacing w:line="360" w:lineRule="auto"/>
        <w:jc w:val="left"/>
        <w:rPr>
          <w:rFonts w:ascii="Arial" w:hAnsi="Arial" w:cs="Arial"/>
          <w:bCs/>
          <w:sz w:val="18"/>
          <w:szCs w:val="18"/>
          <w:lang w:val="en-GB"/>
        </w:rPr>
      </w:pPr>
      <w:r>
        <w:rPr>
          <w:rFonts w:ascii="Arial" w:hAnsi="Arial" w:cs="Arial"/>
          <w:bCs/>
          <w:sz w:val="18"/>
          <w:szCs w:val="18"/>
          <w:lang w:val="en-GB"/>
        </w:rPr>
        <w:t xml:space="preserve">Table </w:t>
      </w:r>
      <w:r>
        <w:rPr>
          <w:rFonts w:hint="eastAsia" w:ascii="Arial" w:hAnsi="Arial" w:cs="Arial"/>
          <w:bCs/>
          <w:sz w:val="18"/>
          <w:szCs w:val="18"/>
          <w:lang w:val="en-GB"/>
        </w:rPr>
        <w:t>2</w:t>
      </w:r>
      <w:r>
        <w:rPr>
          <w:rFonts w:ascii="Arial" w:hAnsi="Arial" w:cs="Arial"/>
          <w:bCs/>
          <w:sz w:val="18"/>
          <w:szCs w:val="18"/>
          <w:lang w:val="en-GB"/>
        </w:rPr>
        <w:t xml:space="preserve"> </w:t>
      </w:r>
      <w:r>
        <w:rPr>
          <w:rFonts w:ascii="Arial" w:hAnsi="Arial" w:cs="Arial"/>
          <w:sz w:val="18"/>
          <w:szCs w:val="18"/>
          <w:lang w:val="en-GB"/>
        </w:rPr>
        <w:t>Comparison of the Clinical Indexes and the blood gas analysis of the high-flow nasal cannula oxygen therapy Success Group and the 24 h Failure Group</w:t>
      </w:r>
    </w:p>
    <w:tbl>
      <w:tblPr>
        <w:tblStyle w:val="4"/>
        <w:tblW w:w="8078"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75"/>
        <w:gridCol w:w="1913"/>
        <w:gridCol w:w="1777"/>
        <w:gridCol w:w="1093"/>
        <w:gridCol w:w="82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jc w:val="center"/>
        </w:trPr>
        <w:tc>
          <w:tcPr>
            <w:tcW w:w="2475"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p>
        </w:tc>
        <w:tc>
          <w:tcPr>
            <w:tcW w:w="1913"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HFNC success group </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n=237</w:t>
            </w:r>
            <w:r>
              <w:rPr>
                <w:rFonts w:hint="eastAsia" w:ascii="Arial" w:hAnsi="Arial" w:cs="Arial"/>
                <w:sz w:val="18"/>
                <w:szCs w:val="18"/>
                <w:lang w:val="en-GB"/>
              </w:rPr>
              <w:t>）</w:t>
            </w:r>
          </w:p>
        </w:tc>
        <w:tc>
          <w:tcPr>
            <w:tcW w:w="1777"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24 h failure group (n=84)</w:t>
            </w:r>
          </w:p>
        </w:tc>
        <w:tc>
          <w:tcPr>
            <w:tcW w:w="1093"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i/>
                <w:sz w:val="18"/>
                <w:szCs w:val="18"/>
                <w:lang w:val="en-GB"/>
              </w:rPr>
              <w:t xml:space="preserve">U </w:t>
            </w:r>
            <w:r>
              <w:rPr>
                <w:rFonts w:ascii="Arial" w:hAnsi="Arial" w:cs="Arial"/>
                <w:iCs/>
                <w:sz w:val="18"/>
                <w:szCs w:val="18"/>
                <w:lang w:val="en-GB"/>
              </w:rPr>
              <w:t>value</w:t>
            </w:r>
          </w:p>
        </w:tc>
        <w:tc>
          <w:tcPr>
            <w:tcW w:w="820" w:type="dxa"/>
            <w:tcBorders>
              <w:top w:val="single" w:color="auto" w:sz="4" w:space="0"/>
              <w:bottom w:val="single" w:color="auto" w:sz="4" w:space="0"/>
            </w:tcBorders>
            <w:noWrap w:val="0"/>
            <w:vAlign w:val="center"/>
          </w:tcPr>
          <w:p>
            <w:pPr>
              <w:spacing w:line="360" w:lineRule="auto"/>
              <w:jc w:val="center"/>
              <w:rPr>
                <w:rFonts w:ascii="Arial" w:hAnsi="Arial" w:cs="Arial"/>
                <w:i/>
                <w:iCs/>
                <w:sz w:val="18"/>
                <w:szCs w:val="18"/>
                <w:lang w:val="en-GB"/>
              </w:rPr>
            </w:pPr>
            <w:r>
              <w:rPr>
                <w:rFonts w:ascii="Arial" w:hAnsi="Arial" w:cs="Arial"/>
                <w:i/>
                <w:iCs/>
                <w:sz w:val="18"/>
                <w:szCs w:val="18"/>
                <w:lang w:val="en-GB"/>
              </w:rPr>
              <w:t xml:space="preserve">P </w:t>
            </w:r>
          </w:p>
          <w:p>
            <w:pPr>
              <w:spacing w:line="360" w:lineRule="auto"/>
              <w:jc w:val="center"/>
              <w:rPr>
                <w:rFonts w:ascii="Arial" w:hAnsi="Arial" w:cs="Arial"/>
                <w:iCs/>
                <w:sz w:val="18"/>
                <w:szCs w:val="18"/>
                <w:lang w:val="en-GB"/>
              </w:rPr>
            </w:pPr>
            <w:r>
              <w:rPr>
                <w:rFonts w:ascii="Arial" w:hAnsi="Arial" w:cs="Arial"/>
                <w:iCs/>
                <w:sz w:val="18"/>
                <w:szCs w:val="18"/>
                <w:lang w:val="en-GB"/>
              </w:rPr>
              <w:t>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jc w:val="center"/>
        </w:trPr>
        <w:tc>
          <w:tcPr>
            <w:tcW w:w="2475" w:type="dxa"/>
            <w:tcBorders>
              <w:top w:val="single" w:color="auto" w:sz="4" w:space="0"/>
            </w:tcBorders>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Sp0</w:t>
            </w:r>
            <w:r>
              <w:rPr>
                <w:rFonts w:ascii="Arial" w:hAnsi="Arial" w:cs="Arial"/>
                <w:sz w:val="18"/>
                <w:szCs w:val="18"/>
                <w:vertAlign w:val="subscript"/>
                <w:lang w:val="en-GB"/>
              </w:rPr>
              <w:t>2</w:t>
            </w:r>
          </w:p>
          <w:p>
            <w:pPr>
              <w:spacing w:line="360" w:lineRule="auto"/>
              <w:jc w:val="center"/>
              <w:rPr>
                <w:rFonts w:ascii="Arial" w:hAnsi="Arial" w:cs="Arial"/>
                <w:sz w:val="18"/>
                <w:szCs w:val="18"/>
                <w:vertAlign w:val="subscript"/>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w:t>
            </w:r>
          </w:p>
        </w:tc>
        <w:tc>
          <w:tcPr>
            <w:tcW w:w="1913" w:type="dxa"/>
            <w:tcBorders>
              <w:top w:val="single" w:color="auto" w:sz="4" w:space="0"/>
            </w:tcBorders>
            <w:noWrap w:val="0"/>
            <w:vAlign w:val="center"/>
          </w:tcPr>
          <w:p>
            <w:pPr>
              <w:spacing w:line="360" w:lineRule="auto"/>
              <w:ind w:firstLine="540" w:firstLineChars="300"/>
              <w:rPr>
                <w:rFonts w:ascii="Arial" w:hAnsi="Arial" w:cs="Arial"/>
                <w:sz w:val="18"/>
                <w:szCs w:val="18"/>
                <w:lang w:val="en-GB"/>
              </w:rPr>
            </w:pPr>
            <w:r>
              <w:rPr>
                <w:rFonts w:ascii="Arial" w:hAnsi="Arial" w:cs="Arial"/>
                <w:sz w:val="18"/>
                <w:szCs w:val="18"/>
                <w:lang w:val="en-GB"/>
              </w:rPr>
              <w:t>95.00</w:t>
            </w:r>
          </w:p>
          <w:p>
            <w:pPr>
              <w:spacing w:line="360" w:lineRule="auto"/>
              <w:ind w:firstLine="180" w:firstLineChars="100"/>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90.00, 97.00</w:t>
            </w:r>
            <w:r>
              <w:rPr>
                <w:rFonts w:hint="eastAsia" w:ascii="Arial" w:hAnsi="Arial" w:cs="Arial"/>
                <w:sz w:val="18"/>
                <w:szCs w:val="18"/>
                <w:lang w:val="en-GB"/>
              </w:rPr>
              <w:t>）</w:t>
            </w:r>
          </w:p>
        </w:tc>
        <w:tc>
          <w:tcPr>
            <w:tcW w:w="1777"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93.00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88.00, 97.00</w:t>
            </w:r>
            <w:r>
              <w:rPr>
                <w:rFonts w:hint="eastAsia" w:ascii="Arial" w:hAnsi="Arial" w:cs="Arial"/>
                <w:sz w:val="18"/>
                <w:szCs w:val="18"/>
                <w:lang w:val="en-GB"/>
              </w:rPr>
              <w:t>）</w:t>
            </w:r>
          </w:p>
        </w:tc>
        <w:tc>
          <w:tcPr>
            <w:tcW w:w="1093"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-1.699</w:t>
            </w:r>
          </w:p>
        </w:tc>
        <w:tc>
          <w:tcPr>
            <w:tcW w:w="820" w:type="dxa"/>
            <w:tcBorders>
              <w:top w:val="single" w:color="auto" w:sz="4" w:space="0"/>
            </w:tcBorders>
            <w:noWrap w:val="0"/>
            <w:vAlign w:val="center"/>
          </w:tcPr>
          <w:p>
            <w:pPr>
              <w:spacing w:line="360" w:lineRule="auto"/>
              <w:jc w:val="center"/>
              <w:rPr>
                <w:rFonts w:ascii="Arial" w:hAnsi="Arial" w:cs="Arial"/>
                <w:sz w:val="18"/>
                <w:szCs w:val="18"/>
                <w:lang w:val="en-GB"/>
              </w:rPr>
            </w:pPr>
            <w:r>
              <w:rPr>
                <w:rFonts w:ascii="Times New Roman" w:hAnsi="Times New Roman"/>
                <w:bCs/>
                <w:szCs w:val="21"/>
                <w:lang w:val="en-GB"/>
              </w:rPr>
              <w:t>0.089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GCS score</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,point]</w:t>
            </w:r>
          </w:p>
        </w:tc>
        <w:tc>
          <w:tcPr>
            <w:tcW w:w="191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13.00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13.00, 14.00</w:t>
            </w:r>
            <w:r>
              <w:rPr>
                <w:rFonts w:hint="eastAsia" w:ascii="Arial" w:hAnsi="Arial" w:cs="Arial"/>
                <w:sz w:val="18"/>
                <w:szCs w:val="18"/>
                <w:lang w:val="en-GB"/>
              </w:rPr>
              <w:t>）</w:t>
            </w:r>
          </w:p>
        </w:tc>
        <w:tc>
          <w:tcPr>
            <w:tcW w:w="1777"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13.00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11.00, 14.00</w:t>
            </w:r>
            <w:r>
              <w:rPr>
                <w:rFonts w:hint="eastAsia" w:ascii="Arial" w:hAnsi="Arial" w:cs="Arial"/>
                <w:sz w:val="18"/>
                <w:szCs w:val="18"/>
                <w:lang w:val="en-GB"/>
              </w:rPr>
              <w:t>）</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-4.162</w:t>
            </w:r>
          </w:p>
        </w:tc>
        <w:tc>
          <w:tcPr>
            <w:tcW w:w="820" w:type="dxa"/>
            <w:noWrap w:val="0"/>
            <w:vAlign w:val="center"/>
          </w:tcPr>
          <w:p>
            <w:pPr>
              <w:spacing w:line="360" w:lineRule="auto"/>
              <w:jc w:val="center"/>
              <w:rPr>
                <w:rFonts w:ascii="Arial" w:hAnsi="Arial" w:cs="Arial"/>
                <w:sz w:val="18"/>
                <w:szCs w:val="18"/>
                <w:lang w:val="en-GB"/>
              </w:rPr>
            </w:pPr>
            <w:r>
              <w:rPr>
                <w:rFonts w:ascii="Arial" w:hAnsi="Arial" w:cs="Arial"/>
                <w:b/>
                <w:bCs/>
                <w:sz w:val="18"/>
                <w:szCs w:val="18"/>
                <w:lang w:val="en-GB"/>
              </w:rPr>
              <w:t>0.000*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PRISM III score</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,point]</w:t>
            </w:r>
          </w:p>
        </w:tc>
        <w:tc>
          <w:tcPr>
            <w:tcW w:w="191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0.00, 3.00</w:t>
            </w:r>
            <w:r>
              <w:rPr>
                <w:rFonts w:hint="eastAsia" w:ascii="Arial" w:hAnsi="Arial" w:cs="Arial"/>
                <w:sz w:val="18"/>
                <w:szCs w:val="18"/>
                <w:lang w:val="en-GB"/>
              </w:rPr>
              <w:t>）</w:t>
            </w:r>
          </w:p>
        </w:tc>
        <w:tc>
          <w:tcPr>
            <w:tcW w:w="1777"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4.00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1.00, 9.00</w:t>
            </w:r>
            <w:r>
              <w:rPr>
                <w:rFonts w:hint="eastAsia" w:ascii="Arial" w:hAnsi="Arial" w:cs="Arial"/>
                <w:sz w:val="18"/>
                <w:szCs w:val="18"/>
                <w:lang w:val="en-GB"/>
              </w:rPr>
              <w:t>）</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-7.335</w:t>
            </w:r>
          </w:p>
        </w:tc>
        <w:tc>
          <w:tcPr>
            <w:tcW w:w="820" w:type="dxa"/>
            <w:noWrap w:val="0"/>
            <w:vAlign w:val="center"/>
          </w:tcPr>
          <w:p>
            <w:pPr>
              <w:spacing w:line="360" w:lineRule="auto"/>
              <w:jc w:val="center"/>
              <w:rPr>
                <w:rFonts w:ascii="Arial" w:hAnsi="Arial" w:cs="Arial"/>
                <w:b/>
                <w:sz w:val="18"/>
                <w:szCs w:val="18"/>
                <w:lang w:val="en-GB"/>
              </w:rPr>
            </w:pPr>
            <w:r>
              <w:rPr>
                <w:rFonts w:ascii="Arial" w:hAnsi="Arial" w:cs="Arial"/>
                <w:b/>
                <w:bCs/>
                <w:sz w:val="18"/>
                <w:szCs w:val="18"/>
                <w:lang w:val="en-GB"/>
              </w:rPr>
              <w:t>0.000*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CRP</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mg/L]</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4.60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1.00, 24.85</w:t>
            </w:r>
            <w:r>
              <w:rPr>
                <w:rFonts w:hint="eastAsia" w:ascii="Arial" w:hAnsi="Arial" w:cs="Arial"/>
                <w:sz w:val="18"/>
                <w:szCs w:val="18"/>
                <w:lang w:val="en-GB"/>
              </w:rPr>
              <w:t>）</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9.50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2.00, 46.75</w:t>
            </w:r>
            <w:r>
              <w:rPr>
                <w:rFonts w:hint="eastAsia" w:ascii="Arial" w:hAnsi="Arial" w:cs="Arial"/>
                <w:sz w:val="18"/>
                <w:szCs w:val="18"/>
                <w:lang w:val="en-GB"/>
              </w:rPr>
              <w:t>）</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-2.036</w:t>
            </w:r>
          </w:p>
        </w:tc>
        <w:tc>
          <w:tcPr>
            <w:tcW w:w="820" w:type="dxa"/>
            <w:noWrap w:val="0"/>
            <w:vAlign w:val="center"/>
          </w:tcPr>
          <w:p>
            <w:pPr>
              <w:spacing w:line="360" w:lineRule="auto"/>
              <w:jc w:val="center"/>
              <w:rPr>
                <w:rFonts w:ascii="Arial" w:hAnsi="Arial" w:cs="Arial"/>
                <w:sz w:val="18"/>
                <w:szCs w:val="18"/>
                <w:lang w:val="en-GB"/>
              </w:rPr>
            </w:pPr>
            <w:r>
              <w:rPr>
                <w:rFonts w:ascii="Times New Roman" w:hAnsi="Times New Roman"/>
                <w:b/>
                <w:szCs w:val="21"/>
                <w:lang w:val="en-GB"/>
              </w:rPr>
              <w:t>0.042*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PCT </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xml:space="preserve"> ng/mL)]</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0.35</w:t>
            </w:r>
          </w:p>
          <w:p>
            <w:pPr>
              <w:jc w:val="center"/>
              <w:rPr>
                <w:rFonts w:ascii="Arial" w:hAnsi="Arial" w:cs="Arial"/>
                <w:sz w:val="18"/>
                <w:szCs w:val="18"/>
                <w:lang w:val="en-GB"/>
              </w:rPr>
            </w:pPr>
            <w:r>
              <w:rPr>
                <w:rFonts w:ascii="Arial" w:hAnsi="Arial" w:cs="Arial"/>
                <w:sz w:val="18"/>
                <w:szCs w:val="18"/>
                <w:lang w:val="en-GB"/>
              </w:rPr>
              <w:t>(0.15, 1.51)</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0.67</w:t>
            </w:r>
          </w:p>
          <w:p>
            <w:pPr>
              <w:jc w:val="center"/>
              <w:rPr>
                <w:rFonts w:ascii="Arial" w:hAnsi="Arial" w:cs="Arial"/>
                <w:sz w:val="18"/>
                <w:szCs w:val="18"/>
                <w:lang w:val="en-GB"/>
              </w:rPr>
            </w:pPr>
            <w:r>
              <w:rPr>
                <w:rFonts w:ascii="Arial" w:hAnsi="Arial" w:cs="Arial"/>
                <w:sz w:val="18"/>
                <w:szCs w:val="18"/>
                <w:lang w:val="en-GB"/>
              </w:rPr>
              <w:t>(0.22, 4.57)</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-2.467</w:t>
            </w:r>
          </w:p>
        </w:tc>
        <w:tc>
          <w:tcPr>
            <w:tcW w:w="820" w:type="dxa"/>
            <w:noWrap w:val="0"/>
            <w:vAlign w:val="center"/>
          </w:tcPr>
          <w:p>
            <w:pPr>
              <w:spacing w:line="360" w:lineRule="auto"/>
              <w:jc w:val="center"/>
              <w:rPr>
                <w:rFonts w:ascii="Arial" w:hAnsi="Arial" w:cs="Arial"/>
                <w:b/>
                <w:bCs/>
                <w:sz w:val="18"/>
                <w:szCs w:val="18"/>
                <w:lang w:val="en-GB"/>
              </w:rPr>
            </w:pPr>
            <w:r>
              <w:rPr>
                <w:rFonts w:ascii="Arial" w:hAnsi="Arial" w:cs="Arial"/>
                <w:b/>
                <w:sz w:val="18"/>
                <w:szCs w:val="18"/>
                <w:lang w:val="en-GB"/>
              </w:rPr>
              <w:t>0.014*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LAC </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mmol/L]</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1.70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1.30, 2.60</w:t>
            </w:r>
            <w:r>
              <w:rPr>
                <w:rFonts w:hint="eastAsia" w:ascii="Arial" w:hAnsi="Arial" w:cs="Arial"/>
                <w:sz w:val="18"/>
                <w:szCs w:val="18"/>
                <w:lang w:val="en-GB"/>
              </w:rPr>
              <w:t>）</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1.80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1.30, 3.15</w:t>
            </w:r>
            <w:r>
              <w:rPr>
                <w:rFonts w:hint="eastAsia" w:ascii="Arial" w:hAnsi="Arial" w:cs="Arial"/>
                <w:sz w:val="18"/>
                <w:szCs w:val="18"/>
                <w:lang w:val="en-GB"/>
              </w:rPr>
              <w:t>）</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-0.940</w:t>
            </w:r>
          </w:p>
        </w:tc>
        <w:tc>
          <w:tcPr>
            <w:tcW w:w="820"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0.347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pH</w:t>
            </w:r>
          </w:p>
          <w:p>
            <w:pPr>
              <w:jc w:val="center"/>
              <w:rPr>
                <w:rFonts w:ascii="Arial" w:hAnsi="Arial" w:cs="Arial"/>
                <w:sz w:val="18"/>
                <w:szCs w:val="18"/>
                <w:lang w:val="en-GB"/>
              </w:rPr>
            </w:pPr>
            <w:r>
              <w:rPr>
                <w:rFonts w:ascii="Arial" w:hAnsi="Arial" w:cs="Arial"/>
                <w:i/>
                <w:iCs/>
                <w:sz w:val="18"/>
                <w:szCs w:val="18"/>
                <w:lang w:val="en-GB"/>
              </w:rPr>
              <w:t xml:space="preserve"> </w:t>
            </w: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7.40</w:t>
            </w:r>
          </w:p>
          <w:p>
            <w:pPr>
              <w:jc w:val="center"/>
              <w:rPr>
                <w:rFonts w:ascii="Arial" w:hAnsi="Arial" w:cs="Arial"/>
                <w:sz w:val="18"/>
                <w:szCs w:val="18"/>
                <w:lang w:val="en-GB"/>
              </w:rPr>
            </w:pPr>
            <w:r>
              <w:rPr>
                <w:rFonts w:ascii="Arial" w:hAnsi="Arial" w:cs="Arial"/>
                <w:sz w:val="18"/>
                <w:szCs w:val="18"/>
                <w:lang w:val="en-GB"/>
              </w:rPr>
              <w:t>(7.36, 7.43)</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7.35</w:t>
            </w:r>
          </w:p>
          <w:p>
            <w:pPr>
              <w:jc w:val="center"/>
              <w:rPr>
                <w:rFonts w:ascii="Arial" w:hAnsi="Arial" w:cs="Arial"/>
                <w:sz w:val="18"/>
                <w:szCs w:val="18"/>
                <w:lang w:val="en-GB"/>
              </w:rPr>
            </w:pPr>
            <w:r>
              <w:rPr>
                <w:rFonts w:ascii="Arial" w:hAnsi="Arial" w:cs="Arial"/>
                <w:sz w:val="18"/>
                <w:szCs w:val="18"/>
                <w:lang w:val="en-GB"/>
              </w:rPr>
              <w:t>(7.31, 7.40)</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-4.310</w:t>
            </w:r>
          </w:p>
        </w:tc>
        <w:tc>
          <w:tcPr>
            <w:tcW w:w="820" w:type="dxa"/>
            <w:noWrap w:val="0"/>
            <w:vAlign w:val="center"/>
          </w:tcPr>
          <w:p>
            <w:pPr>
              <w:spacing w:line="360" w:lineRule="auto"/>
              <w:jc w:val="center"/>
              <w:rPr>
                <w:rFonts w:ascii="Arial" w:hAnsi="Arial" w:cs="Arial"/>
                <w:sz w:val="18"/>
                <w:szCs w:val="18"/>
                <w:lang w:val="en-GB"/>
              </w:rPr>
            </w:pPr>
            <w:r>
              <w:rPr>
                <w:rFonts w:ascii="Arial" w:hAnsi="Arial" w:cs="Arial"/>
                <w:b/>
                <w:bCs/>
                <w:sz w:val="18"/>
                <w:szCs w:val="18"/>
                <w:lang w:val="en-GB"/>
              </w:rPr>
              <w:t>0.000*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Oxygen index</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215.20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169.00, 268.51</w:t>
            </w:r>
            <w:r>
              <w:rPr>
                <w:rFonts w:hint="eastAsia" w:ascii="Arial" w:hAnsi="Arial" w:cs="Arial"/>
                <w:sz w:val="18"/>
                <w:szCs w:val="18"/>
                <w:lang w:val="en-GB"/>
              </w:rPr>
              <w:t>）</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139.25</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110.18, 209.13</w:t>
            </w:r>
            <w:r>
              <w:rPr>
                <w:rFonts w:hint="eastAsia" w:ascii="Arial" w:hAnsi="Arial" w:cs="Arial"/>
                <w:sz w:val="18"/>
                <w:szCs w:val="18"/>
                <w:lang w:val="en-GB"/>
              </w:rPr>
              <w:t>）</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-6.374</w:t>
            </w:r>
          </w:p>
        </w:tc>
        <w:tc>
          <w:tcPr>
            <w:tcW w:w="820" w:type="dxa"/>
            <w:noWrap w:val="0"/>
            <w:vAlign w:val="center"/>
          </w:tcPr>
          <w:p>
            <w:pPr>
              <w:spacing w:line="360" w:lineRule="auto"/>
              <w:jc w:val="center"/>
              <w:rPr>
                <w:rFonts w:ascii="Arial" w:hAnsi="Arial" w:cs="Arial"/>
                <w:bCs/>
                <w:sz w:val="18"/>
                <w:szCs w:val="18"/>
                <w:lang w:val="en-GB"/>
              </w:rPr>
            </w:pPr>
            <w:r>
              <w:rPr>
                <w:rFonts w:ascii="Arial" w:hAnsi="Arial" w:cs="Arial"/>
                <w:b/>
                <w:bCs/>
                <w:sz w:val="18"/>
                <w:szCs w:val="18"/>
                <w:lang w:val="en-GB"/>
              </w:rPr>
              <w:t>0.000*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PaO</w:t>
            </w:r>
            <w:r>
              <w:rPr>
                <w:rFonts w:ascii="Arial" w:hAnsi="Arial" w:cs="Arial"/>
                <w:sz w:val="18"/>
                <w:szCs w:val="18"/>
                <w:vertAlign w:val="subscript"/>
                <w:lang w:val="en-GB"/>
              </w:rPr>
              <w:t>2</w:t>
            </w:r>
          </w:p>
          <w:p>
            <w:pPr>
              <w:jc w:val="center"/>
              <w:rPr>
                <w:rFonts w:ascii="Arial" w:hAnsi="Arial" w:cs="Arial"/>
                <w:sz w:val="18"/>
                <w:szCs w:val="18"/>
                <w:lang w:val="en-GB"/>
              </w:rPr>
            </w:pPr>
            <w:r>
              <w:rPr>
                <w:rFonts w:ascii="Arial" w:hAnsi="Arial" w:cs="Arial"/>
                <w:sz w:val="18"/>
                <w:szCs w:val="18"/>
                <w:vertAlign w:val="subscript"/>
                <w:lang w:val="en-GB"/>
              </w:rPr>
              <w:t xml:space="preserve"> </w:t>
            </w: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mmHg]</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81.70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66.80, 99.85</w:t>
            </w:r>
            <w:r>
              <w:rPr>
                <w:rFonts w:hint="eastAsia" w:ascii="Arial" w:hAnsi="Arial" w:cs="Arial"/>
                <w:sz w:val="18"/>
                <w:szCs w:val="18"/>
                <w:lang w:val="en-GB"/>
              </w:rPr>
              <w:t>）</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76.00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61.33, 101.03</w:t>
            </w:r>
            <w:r>
              <w:rPr>
                <w:rFonts w:hint="eastAsia" w:ascii="Arial" w:hAnsi="Arial" w:cs="Arial"/>
                <w:sz w:val="18"/>
                <w:szCs w:val="18"/>
                <w:lang w:val="en-GB"/>
              </w:rPr>
              <w:t>）</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-1.132</w:t>
            </w:r>
          </w:p>
        </w:tc>
        <w:tc>
          <w:tcPr>
            <w:tcW w:w="820" w:type="dxa"/>
            <w:noWrap w:val="0"/>
            <w:vAlign w:val="center"/>
          </w:tcPr>
          <w:p>
            <w:pPr>
              <w:spacing w:line="360" w:lineRule="auto"/>
              <w:jc w:val="center"/>
              <w:rPr>
                <w:rFonts w:ascii="Arial" w:hAnsi="Arial" w:cs="Arial"/>
                <w:b/>
                <w:sz w:val="18"/>
                <w:szCs w:val="18"/>
                <w:lang w:val="en-GB"/>
              </w:rPr>
            </w:pPr>
            <w:r>
              <w:rPr>
                <w:rFonts w:ascii="Arial" w:hAnsi="Arial" w:cs="Arial"/>
                <w:sz w:val="18"/>
                <w:szCs w:val="18"/>
                <w:lang w:val="en-GB"/>
              </w:rPr>
              <w:t>0.258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2475" w:type="dxa"/>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PaCO</w:t>
            </w:r>
            <w:r>
              <w:rPr>
                <w:rFonts w:ascii="Arial" w:hAnsi="Arial" w:cs="Arial"/>
                <w:sz w:val="18"/>
                <w:szCs w:val="18"/>
                <w:vertAlign w:val="subscript"/>
                <w:lang w:val="en-GB"/>
              </w:rPr>
              <w:t>2</w:t>
            </w:r>
          </w:p>
          <w:p>
            <w:pPr>
              <w:jc w:val="center"/>
              <w:rPr>
                <w:rFonts w:ascii="Arial" w:hAnsi="Arial" w:cs="Arial"/>
                <w:sz w:val="18"/>
                <w:szCs w:val="18"/>
                <w:lang w:val="en-GB"/>
              </w:rPr>
            </w:pPr>
            <w:r>
              <w:rPr>
                <w:rFonts w:ascii="Arial" w:hAnsi="Arial" w:cs="Arial"/>
                <w:i/>
                <w:iCs/>
                <w:sz w:val="18"/>
                <w:szCs w:val="18"/>
                <w:lang w:val="en-GB"/>
              </w:rPr>
              <w:t xml:space="preserve"> </w:t>
            </w: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mmHg]</w:t>
            </w:r>
          </w:p>
        </w:tc>
        <w:tc>
          <w:tcPr>
            <w:tcW w:w="1913" w:type="dxa"/>
            <w:noWrap w:val="0"/>
            <w:vAlign w:val="center"/>
          </w:tcPr>
          <w:p>
            <w:pPr>
              <w:jc w:val="center"/>
              <w:rPr>
                <w:rFonts w:ascii="Arial" w:hAnsi="Arial" w:cs="Arial"/>
                <w:sz w:val="18"/>
                <w:szCs w:val="18"/>
                <w:lang w:val="en-GB"/>
              </w:rPr>
            </w:pPr>
            <w:r>
              <w:rPr>
                <w:rFonts w:ascii="Arial" w:hAnsi="Arial" w:cs="Arial"/>
                <w:sz w:val="18"/>
                <w:szCs w:val="18"/>
                <w:lang w:val="en-GB"/>
              </w:rPr>
              <w:t>38.70</w:t>
            </w:r>
          </w:p>
          <w:p>
            <w:pPr>
              <w:jc w:val="center"/>
              <w:rPr>
                <w:rFonts w:ascii="Arial" w:hAnsi="Arial" w:cs="Arial"/>
                <w:sz w:val="18"/>
                <w:szCs w:val="18"/>
                <w:lang w:val="en-GB"/>
              </w:rPr>
            </w:pPr>
            <w:r>
              <w:rPr>
                <w:rFonts w:ascii="Arial" w:hAnsi="Arial" w:cs="Arial"/>
                <w:sz w:val="18"/>
                <w:szCs w:val="18"/>
                <w:lang w:val="en-GB"/>
              </w:rPr>
              <w:t>(33.35, 45.25)</w:t>
            </w:r>
          </w:p>
        </w:tc>
        <w:tc>
          <w:tcPr>
            <w:tcW w:w="1777" w:type="dxa"/>
            <w:noWrap w:val="0"/>
            <w:vAlign w:val="center"/>
          </w:tcPr>
          <w:p>
            <w:pPr>
              <w:jc w:val="center"/>
              <w:rPr>
                <w:rFonts w:ascii="Arial" w:hAnsi="Arial" w:cs="Arial"/>
                <w:sz w:val="18"/>
                <w:szCs w:val="18"/>
                <w:lang w:val="en-GB"/>
              </w:rPr>
            </w:pPr>
            <w:r>
              <w:rPr>
                <w:rFonts w:ascii="Arial" w:hAnsi="Arial" w:cs="Arial"/>
                <w:sz w:val="18"/>
                <w:szCs w:val="18"/>
                <w:lang w:val="en-GB"/>
              </w:rPr>
              <w:t>43.40</w:t>
            </w:r>
          </w:p>
          <w:p>
            <w:pPr>
              <w:jc w:val="center"/>
              <w:rPr>
                <w:rFonts w:ascii="Arial" w:hAnsi="Arial" w:cs="Arial"/>
                <w:sz w:val="18"/>
                <w:szCs w:val="18"/>
                <w:lang w:val="en-GB"/>
              </w:rPr>
            </w:pPr>
            <w:r>
              <w:rPr>
                <w:rFonts w:ascii="Arial" w:hAnsi="Arial" w:cs="Arial"/>
                <w:sz w:val="18"/>
                <w:szCs w:val="18"/>
                <w:lang w:val="en-GB"/>
              </w:rPr>
              <w:t>(32.33, 58.45)</w:t>
            </w:r>
          </w:p>
        </w:tc>
        <w:tc>
          <w:tcPr>
            <w:tcW w:w="1093"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-2.132</w:t>
            </w:r>
          </w:p>
        </w:tc>
        <w:tc>
          <w:tcPr>
            <w:tcW w:w="820" w:type="dxa"/>
            <w:noWrap w:val="0"/>
            <w:vAlign w:val="center"/>
          </w:tcPr>
          <w:p>
            <w:pPr>
              <w:spacing w:line="360" w:lineRule="auto"/>
              <w:jc w:val="center"/>
              <w:rPr>
                <w:rFonts w:ascii="Arial" w:hAnsi="Arial" w:cs="Arial"/>
                <w:b/>
                <w:sz w:val="18"/>
                <w:szCs w:val="18"/>
                <w:lang w:val="en-GB"/>
              </w:rPr>
            </w:pPr>
            <w:r>
              <w:rPr>
                <w:rFonts w:ascii="Arial" w:hAnsi="Arial" w:cs="Arial"/>
                <w:b/>
                <w:sz w:val="18"/>
                <w:szCs w:val="18"/>
                <w:lang w:val="en-GB"/>
              </w:rPr>
              <w:t>0.033*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jc w:val="center"/>
        </w:trPr>
        <w:tc>
          <w:tcPr>
            <w:tcW w:w="2475" w:type="dxa"/>
            <w:tcBorders>
              <w:bottom w:val="single" w:color="auto" w:sz="4" w:space="0"/>
            </w:tcBorders>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PaCO</w:t>
            </w:r>
            <w:r>
              <w:rPr>
                <w:rFonts w:ascii="Arial" w:hAnsi="Arial" w:cs="Arial"/>
                <w:sz w:val="18"/>
                <w:szCs w:val="18"/>
                <w:vertAlign w:val="subscript"/>
                <w:lang w:val="en-GB"/>
              </w:rPr>
              <w:t>2</w:t>
            </w:r>
            <w:r>
              <w:rPr>
                <w:rFonts w:ascii="Arial" w:hAnsi="Arial" w:cs="Arial"/>
                <w:sz w:val="18"/>
                <w:szCs w:val="18"/>
                <w:lang w:val="en-GB"/>
              </w:rPr>
              <w:t>/PaO</w:t>
            </w:r>
            <w:r>
              <w:rPr>
                <w:rFonts w:ascii="Arial" w:hAnsi="Arial" w:cs="Arial"/>
                <w:sz w:val="18"/>
                <w:szCs w:val="18"/>
                <w:vertAlign w:val="subscript"/>
                <w:lang w:val="en-GB"/>
              </w:rPr>
              <w:t xml:space="preserve">2 </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w:t>
            </w:r>
          </w:p>
        </w:tc>
        <w:tc>
          <w:tcPr>
            <w:tcW w:w="1913" w:type="dxa"/>
            <w:tcBorders>
              <w:bottom w:val="single" w:color="auto" w:sz="4" w:space="0"/>
            </w:tcBorders>
            <w:noWrap w:val="0"/>
            <w:vAlign w:val="center"/>
          </w:tcPr>
          <w:p>
            <w:pPr>
              <w:jc w:val="center"/>
              <w:rPr>
                <w:rFonts w:ascii="Arial" w:hAnsi="Arial" w:cs="Arial"/>
                <w:sz w:val="18"/>
                <w:szCs w:val="18"/>
                <w:lang w:val="en-GB"/>
              </w:rPr>
            </w:pPr>
            <w:r>
              <w:rPr>
                <w:rFonts w:ascii="Arial" w:hAnsi="Arial" w:cs="Arial"/>
                <w:sz w:val="18"/>
                <w:szCs w:val="18"/>
                <w:lang w:val="en-GB"/>
              </w:rPr>
              <w:t>0.48</w:t>
            </w:r>
          </w:p>
          <w:p>
            <w:pPr>
              <w:jc w:val="center"/>
              <w:rPr>
                <w:rFonts w:ascii="Arial" w:hAnsi="Arial" w:cs="Arial"/>
                <w:sz w:val="18"/>
                <w:szCs w:val="18"/>
                <w:lang w:val="en-GB"/>
              </w:rPr>
            </w:pPr>
            <w:r>
              <w:rPr>
                <w:rFonts w:ascii="Arial" w:hAnsi="Arial" w:cs="Arial"/>
                <w:sz w:val="18"/>
                <w:szCs w:val="18"/>
                <w:lang w:val="en-GB"/>
              </w:rPr>
              <w:t>(0.38, 0.62)</w:t>
            </w:r>
          </w:p>
        </w:tc>
        <w:tc>
          <w:tcPr>
            <w:tcW w:w="1777" w:type="dxa"/>
            <w:tcBorders>
              <w:bottom w:val="single" w:color="auto" w:sz="4" w:space="0"/>
            </w:tcBorders>
            <w:noWrap w:val="0"/>
            <w:vAlign w:val="center"/>
          </w:tcPr>
          <w:p>
            <w:pPr>
              <w:jc w:val="center"/>
              <w:rPr>
                <w:rFonts w:ascii="Arial" w:hAnsi="Arial" w:cs="Arial"/>
                <w:sz w:val="18"/>
                <w:szCs w:val="18"/>
                <w:lang w:val="en-GB"/>
              </w:rPr>
            </w:pPr>
            <w:r>
              <w:rPr>
                <w:rFonts w:ascii="Arial" w:hAnsi="Arial" w:cs="Arial"/>
                <w:sz w:val="18"/>
                <w:szCs w:val="18"/>
                <w:lang w:val="en-GB"/>
              </w:rPr>
              <w:t>0.59</w:t>
            </w:r>
          </w:p>
          <w:p>
            <w:pPr>
              <w:jc w:val="center"/>
              <w:rPr>
                <w:rFonts w:ascii="Arial" w:hAnsi="Arial" w:cs="Arial"/>
                <w:sz w:val="18"/>
                <w:szCs w:val="18"/>
                <w:lang w:val="en-GB"/>
              </w:rPr>
            </w:pPr>
            <w:r>
              <w:rPr>
                <w:rFonts w:ascii="Arial" w:hAnsi="Arial" w:cs="Arial"/>
                <w:sz w:val="18"/>
                <w:szCs w:val="18"/>
                <w:lang w:val="en-GB"/>
              </w:rPr>
              <w:t>(0.36, 0.75)</w:t>
            </w:r>
          </w:p>
        </w:tc>
        <w:tc>
          <w:tcPr>
            <w:tcW w:w="1093"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-2.646</w:t>
            </w:r>
          </w:p>
        </w:tc>
        <w:tc>
          <w:tcPr>
            <w:tcW w:w="820" w:type="dxa"/>
            <w:tcBorders>
              <w:bottom w:val="single" w:color="auto" w:sz="4" w:space="0"/>
            </w:tcBorders>
            <w:noWrap w:val="0"/>
            <w:vAlign w:val="center"/>
          </w:tcPr>
          <w:p>
            <w:pPr>
              <w:spacing w:line="360" w:lineRule="auto"/>
              <w:jc w:val="center"/>
              <w:rPr>
                <w:rFonts w:ascii="Arial" w:hAnsi="Arial" w:cs="Arial"/>
                <w:b/>
                <w:sz w:val="18"/>
                <w:szCs w:val="18"/>
                <w:lang w:val="en-GB"/>
              </w:rPr>
            </w:pPr>
            <w:r>
              <w:rPr>
                <w:rFonts w:ascii="Arial" w:hAnsi="Arial" w:cs="Arial"/>
                <w:b/>
                <w:sz w:val="18"/>
                <w:szCs w:val="18"/>
                <w:lang w:val="en-GB"/>
              </w:rPr>
              <w:t>0.008*</w:t>
            </w:r>
          </w:p>
        </w:tc>
      </w:tr>
    </w:tbl>
    <w:p>
      <w:pPr>
        <w:spacing w:line="360" w:lineRule="auto"/>
        <w:jc w:val="left"/>
        <w:rPr>
          <w:rFonts w:ascii="Arial" w:hAnsi="Arial" w:cs="Arial"/>
          <w:kern w:val="0"/>
          <w:sz w:val="18"/>
          <w:szCs w:val="18"/>
          <w:lang w:val="en-GB"/>
        </w:rPr>
      </w:pPr>
      <w:r>
        <w:rPr>
          <w:rFonts w:ascii="Arial" w:hAnsi="Arial" w:cs="Arial"/>
          <w:sz w:val="18"/>
          <w:szCs w:val="18"/>
          <w:lang w:val="en-GB"/>
        </w:rPr>
        <w:t>Note:Sp0</w:t>
      </w:r>
      <w:r>
        <w:rPr>
          <w:rFonts w:ascii="Arial" w:hAnsi="Arial" w:cs="Arial"/>
          <w:sz w:val="18"/>
          <w:szCs w:val="18"/>
          <w:vertAlign w:val="subscript"/>
          <w:lang w:val="en-GB"/>
        </w:rPr>
        <w:t>2</w:t>
      </w:r>
      <w:r>
        <w:rPr>
          <w:rFonts w:hint="eastAsia" w:ascii="Arial" w:hAnsi="Arial" w:cs="Arial"/>
          <w:sz w:val="18"/>
          <w:szCs w:val="18"/>
          <w:lang w:val="en-US" w:eastAsia="zh-CN"/>
        </w:rPr>
        <w:t>=</w:t>
      </w:r>
      <w:r>
        <w:rPr>
          <w:rFonts w:ascii="Arial" w:hAnsi="Arial" w:cs="Arial"/>
          <w:sz w:val="18"/>
          <w:szCs w:val="18"/>
          <w:lang w:val="en-GB"/>
        </w:rPr>
        <w:t>oxygen saturation,GCS score</w:t>
      </w:r>
      <w:r>
        <w:rPr>
          <w:rFonts w:hint="eastAsia" w:ascii="Arial" w:hAnsi="Arial" w:cs="Arial"/>
          <w:sz w:val="18"/>
          <w:szCs w:val="18"/>
          <w:lang w:val="en-US" w:eastAsia="zh-CN"/>
        </w:rPr>
        <w:t>=</w:t>
      </w:r>
      <w:r>
        <w:rPr>
          <w:rFonts w:ascii="Arial" w:hAnsi="Arial" w:cs="Arial"/>
          <w:sz w:val="18"/>
          <w:szCs w:val="18"/>
          <w:lang w:val="en-GB"/>
        </w:rPr>
        <w:t>Glasgow Coma Scale,PRISM III score</w:t>
      </w:r>
      <w:r>
        <w:rPr>
          <w:rFonts w:hint="eastAsia" w:ascii="Arial" w:hAnsi="Arial" w:cs="Arial"/>
          <w:sz w:val="18"/>
          <w:szCs w:val="18"/>
          <w:lang w:val="en-US" w:eastAsia="zh-CN"/>
        </w:rPr>
        <w:t>=</w:t>
      </w:r>
      <w:r>
        <w:rPr>
          <w:rFonts w:ascii="Arial" w:hAnsi="Arial" w:cs="Arial"/>
          <w:sz w:val="18"/>
          <w:szCs w:val="18"/>
          <w:lang w:val="en-GB"/>
        </w:rPr>
        <w:t>pediatric risk of mortality,CRP</w:t>
      </w:r>
      <w:r>
        <w:rPr>
          <w:rFonts w:hint="eastAsia" w:ascii="Arial" w:hAnsi="Arial" w:cs="Arial"/>
          <w:sz w:val="18"/>
          <w:szCs w:val="18"/>
          <w:lang w:val="en-US" w:eastAsia="zh-CN"/>
        </w:rPr>
        <w:t>=</w:t>
      </w:r>
      <w:r>
        <w:rPr>
          <w:rFonts w:ascii="Arial" w:hAnsi="Arial" w:cs="Arial"/>
          <w:sz w:val="18"/>
          <w:szCs w:val="18"/>
          <w:lang w:val="en-GB"/>
        </w:rPr>
        <w:t>C- reactive protein,PCT</w:t>
      </w:r>
      <w:r>
        <w:rPr>
          <w:rFonts w:hint="eastAsia" w:ascii="Arial" w:hAnsi="Arial" w:cs="Arial"/>
          <w:sz w:val="18"/>
          <w:szCs w:val="18"/>
          <w:lang w:val="en-US" w:eastAsia="zh-CN"/>
        </w:rPr>
        <w:t>=</w:t>
      </w:r>
      <w:r>
        <w:rPr>
          <w:rFonts w:ascii="Arial" w:hAnsi="Arial" w:cs="Arial"/>
          <w:sz w:val="18"/>
          <w:szCs w:val="18"/>
          <w:lang w:val="en-GB"/>
        </w:rPr>
        <w:t>procalcitonin,LAC</w:t>
      </w:r>
      <w:r>
        <w:rPr>
          <w:rFonts w:hint="eastAsia" w:ascii="Arial" w:hAnsi="Arial" w:cs="Arial"/>
          <w:sz w:val="18"/>
          <w:szCs w:val="18"/>
          <w:lang w:val="en-US" w:eastAsia="zh-CN"/>
        </w:rPr>
        <w:t>=</w:t>
      </w:r>
      <w:r>
        <w:rPr>
          <w:rFonts w:ascii="Arial" w:hAnsi="Arial" w:cs="Arial"/>
          <w:sz w:val="18"/>
          <w:szCs w:val="18"/>
          <w:lang w:val="en-GB"/>
        </w:rPr>
        <w:t>blood lactate,pH</w:t>
      </w:r>
      <w:r>
        <w:rPr>
          <w:rFonts w:hint="eastAsia" w:ascii="Arial" w:hAnsi="Arial" w:cs="Arial"/>
          <w:sz w:val="18"/>
          <w:szCs w:val="18"/>
          <w:lang w:val="en-US" w:eastAsia="zh-CN"/>
        </w:rPr>
        <w:t>=</w:t>
      </w:r>
      <w:r>
        <w:rPr>
          <w:rFonts w:ascii="Arial" w:hAnsi="Arial" w:cs="Arial"/>
          <w:sz w:val="18"/>
          <w:szCs w:val="18"/>
          <w:lang w:val="en-GB"/>
        </w:rPr>
        <w:t>pondus hydrogenii, Oxygenation index</w:t>
      </w:r>
      <w:r>
        <w:rPr>
          <w:rFonts w:hint="eastAsia" w:ascii="Arial" w:hAnsi="Arial" w:cs="Arial"/>
          <w:sz w:val="18"/>
          <w:szCs w:val="18"/>
          <w:lang w:val="en-US" w:eastAsia="zh-CN"/>
        </w:rPr>
        <w:t>=</w:t>
      </w:r>
      <w:r>
        <w:rPr>
          <w:rFonts w:ascii="Arial" w:hAnsi="Arial" w:cs="Arial"/>
          <w:sz w:val="18"/>
          <w:szCs w:val="18"/>
          <w:lang w:val="en-GB"/>
        </w:rPr>
        <w:t>ratio of PaO</w:t>
      </w:r>
      <w:r>
        <w:rPr>
          <w:rFonts w:ascii="Arial" w:hAnsi="Arial" w:cs="Arial"/>
          <w:sz w:val="18"/>
          <w:szCs w:val="18"/>
          <w:vertAlign w:val="subscript"/>
          <w:lang w:val="en-GB"/>
        </w:rPr>
        <w:t>2</w:t>
      </w:r>
      <w:r>
        <w:rPr>
          <w:rFonts w:ascii="Arial" w:hAnsi="Arial" w:cs="Arial"/>
          <w:sz w:val="18"/>
          <w:szCs w:val="18"/>
          <w:lang w:val="en-GB"/>
        </w:rPr>
        <w:t xml:space="preserve"> and FiO</w:t>
      </w:r>
      <w:r>
        <w:rPr>
          <w:rFonts w:ascii="Arial" w:hAnsi="Arial" w:cs="Arial"/>
          <w:sz w:val="18"/>
          <w:szCs w:val="18"/>
          <w:vertAlign w:val="subscript"/>
          <w:lang w:val="en-GB"/>
        </w:rPr>
        <w:t>2</w:t>
      </w:r>
      <w:r>
        <w:rPr>
          <w:rFonts w:ascii="Arial" w:hAnsi="Arial" w:cs="Arial"/>
          <w:sz w:val="18"/>
          <w:szCs w:val="18"/>
          <w:lang w:val="en-GB"/>
        </w:rPr>
        <w:t>,</w:t>
      </w:r>
      <w:r>
        <w:rPr>
          <w:rFonts w:ascii="Arial" w:hAnsi="Arial" w:cs="Arial"/>
          <w:kern w:val="0"/>
          <w:sz w:val="18"/>
          <w:szCs w:val="18"/>
          <w:lang w:val="en-GB"/>
        </w:rPr>
        <w:t>PaO</w:t>
      </w:r>
      <w:r>
        <w:rPr>
          <w:rFonts w:ascii="Arial" w:hAnsi="Arial" w:cs="Arial"/>
          <w:kern w:val="0"/>
          <w:sz w:val="18"/>
          <w:szCs w:val="18"/>
          <w:vertAlign w:val="subscript"/>
          <w:lang w:val="en-GB"/>
        </w:rPr>
        <w:t>2</w:t>
      </w:r>
      <w:r>
        <w:rPr>
          <w:rFonts w:hint="eastAsia" w:ascii="Arial" w:hAnsi="Arial" w:cs="Arial"/>
          <w:kern w:val="0"/>
          <w:sz w:val="18"/>
          <w:szCs w:val="18"/>
          <w:lang w:val="en-US" w:eastAsia="zh-CN"/>
        </w:rPr>
        <w:t>=</w:t>
      </w:r>
      <w:r>
        <w:rPr>
          <w:rFonts w:ascii="Arial" w:hAnsi="Arial" w:cs="Arial"/>
          <w:kern w:val="0"/>
          <w:sz w:val="18"/>
          <w:szCs w:val="18"/>
          <w:lang w:val="en-GB"/>
        </w:rPr>
        <w:t>partial pressure of oxygen,PaCO</w:t>
      </w:r>
      <w:r>
        <w:rPr>
          <w:rFonts w:ascii="Arial" w:hAnsi="Arial" w:cs="Arial"/>
          <w:kern w:val="0"/>
          <w:sz w:val="18"/>
          <w:szCs w:val="18"/>
          <w:vertAlign w:val="subscript"/>
          <w:lang w:val="en-GB"/>
        </w:rPr>
        <w:t>2</w:t>
      </w:r>
      <w:r>
        <w:rPr>
          <w:rFonts w:hint="eastAsia" w:ascii="Arial" w:hAnsi="Arial" w:cs="Arial"/>
          <w:kern w:val="0"/>
          <w:sz w:val="18"/>
          <w:szCs w:val="18"/>
          <w:lang w:val="en-US" w:eastAsia="zh-CN"/>
        </w:rPr>
        <w:t>=</w:t>
      </w:r>
      <w:r>
        <w:rPr>
          <w:rFonts w:ascii="Arial" w:hAnsi="Arial" w:cs="Arial"/>
          <w:kern w:val="0"/>
          <w:sz w:val="18"/>
          <w:szCs w:val="18"/>
          <w:lang w:val="en-GB"/>
        </w:rPr>
        <w:t>partial pressure of carbon dioxide,PaCO</w:t>
      </w:r>
      <w:r>
        <w:rPr>
          <w:rFonts w:ascii="Arial" w:hAnsi="Arial" w:cs="Arial"/>
          <w:kern w:val="0"/>
          <w:sz w:val="18"/>
          <w:szCs w:val="18"/>
          <w:vertAlign w:val="subscript"/>
          <w:lang w:val="en-GB"/>
        </w:rPr>
        <w:t>2</w:t>
      </w:r>
      <w:r>
        <w:rPr>
          <w:rFonts w:ascii="Arial" w:hAnsi="Arial" w:cs="Arial"/>
          <w:kern w:val="0"/>
          <w:sz w:val="18"/>
          <w:szCs w:val="18"/>
          <w:lang w:val="en-GB"/>
        </w:rPr>
        <w:t>/PaO</w:t>
      </w:r>
      <w:r>
        <w:rPr>
          <w:rFonts w:ascii="Arial" w:hAnsi="Arial" w:cs="Arial"/>
          <w:kern w:val="0"/>
          <w:sz w:val="18"/>
          <w:szCs w:val="18"/>
          <w:vertAlign w:val="subscript"/>
          <w:lang w:val="en-GB"/>
        </w:rPr>
        <w:t>2</w:t>
      </w:r>
      <w:r>
        <w:rPr>
          <w:rFonts w:hint="eastAsia" w:ascii="Arial" w:hAnsi="Arial" w:cs="Arial"/>
          <w:kern w:val="0"/>
          <w:sz w:val="18"/>
          <w:szCs w:val="18"/>
          <w:lang w:val="en-US" w:eastAsia="zh-CN"/>
        </w:rPr>
        <w:t>=</w:t>
      </w:r>
      <w:r>
        <w:rPr>
          <w:rFonts w:ascii="Arial" w:hAnsi="Arial" w:cs="Arial"/>
          <w:kern w:val="0"/>
          <w:sz w:val="18"/>
          <w:szCs w:val="18"/>
          <w:lang w:val="en-GB"/>
        </w:rPr>
        <w:t>ratio of partial pressure of carbon dioxide to partial pressure of oxygen.</w:t>
      </w:r>
    </w:p>
    <w:p>
      <w:pPr>
        <w:spacing w:line="360" w:lineRule="auto"/>
        <w:jc w:val="left"/>
        <w:rPr>
          <w:rFonts w:ascii="Times New Roman" w:hAnsi="Times New Roman"/>
          <w:szCs w:val="21"/>
          <w:lang w:val="en-GB"/>
        </w:rPr>
      </w:pPr>
      <w:r>
        <w:rPr>
          <w:rFonts w:ascii="宋体" w:hAnsi="宋体"/>
          <w:szCs w:val="21"/>
          <w:lang w:val="en-GB"/>
        </w:rPr>
        <w:t xml:space="preserve"> (</w:t>
      </w:r>
      <w:r>
        <w:rPr>
          <w:rFonts w:hint="eastAsia" w:ascii="宋体" w:hAnsi="宋体"/>
          <w:szCs w:val="21"/>
          <w:lang w:val="en-GB"/>
        </w:rPr>
        <w:t>3</w:t>
      </w:r>
      <w:r>
        <w:rPr>
          <w:rFonts w:ascii="宋体" w:hAnsi="宋体"/>
          <w:szCs w:val="21"/>
          <w:lang w:val="en-GB"/>
        </w:rPr>
        <w:t>)</w:t>
      </w:r>
      <w:r>
        <w:rPr>
          <w:rFonts w:ascii="Times New Roman" w:hAnsi="Times New Roman"/>
          <w:szCs w:val="21"/>
          <w:lang w:val="en-GB"/>
        </w:rPr>
        <w:t xml:space="preserve"> Multi-factor Logistic Analysis Results</w:t>
      </w:r>
    </w:p>
    <w:p>
      <w:pPr>
        <w:spacing w:line="360" w:lineRule="auto"/>
        <w:jc w:val="left"/>
        <w:rPr>
          <w:rFonts w:ascii="Times New Roman" w:hAnsi="Times New Roman"/>
          <w:szCs w:val="21"/>
          <w:lang w:val="en-GB"/>
        </w:rPr>
      </w:pPr>
      <w:r>
        <w:rPr>
          <w:rFonts w:ascii="Times New Roman" w:hAnsi="Times New Roman"/>
          <w:szCs w:val="21"/>
          <w:lang w:val="en-GB"/>
        </w:rPr>
        <w:t xml:space="preserve">In order to further explore the function of influencing factors on various clinical indicators of HFNC 24 h failure and exclude confounding factors, a multi-factor analysis was conducted on the basis of a single-factor analysis.The definition and assignment of each clinical indicator for the multivariate analysis are shown in Table </w:t>
      </w:r>
      <w:r>
        <w:rPr>
          <w:rFonts w:hint="eastAsia" w:ascii="Times New Roman" w:hAnsi="Times New Roman"/>
          <w:szCs w:val="21"/>
          <w:lang w:val="en-GB"/>
        </w:rPr>
        <w:t>3</w:t>
      </w:r>
      <w:r>
        <w:rPr>
          <w:rFonts w:ascii="Times New Roman" w:hAnsi="Times New Roman"/>
          <w:szCs w:val="21"/>
          <w:lang w:val="en-GB"/>
        </w:rPr>
        <w:t>.</w:t>
      </w:r>
    </w:p>
    <w:p>
      <w:pPr>
        <w:spacing w:line="360" w:lineRule="auto"/>
        <w:jc w:val="left"/>
        <w:rPr>
          <w:rFonts w:ascii="Arial" w:hAnsi="Arial" w:cs="Arial"/>
          <w:bCs/>
          <w:sz w:val="18"/>
          <w:szCs w:val="18"/>
          <w:lang w:val="en-GB"/>
        </w:rPr>
      </w:pPr>
      <w:r>
        <w:rPr>
          <w:rFonts w:ascii="Arial" w:hAnsi="Arial" w:cs="Arial"/>
          <w:sz w:val="18"/>
          <w:szCs w:val="18"/>
          <w:lang w:val="en-GB"/>
        </w:rPr>
        <w:t xml:space="preserve">Table </w:t>
      </w:r>
      <w:r>
        <w:rPr>
          <w:rFonts w:hint="eastAsia" w:ascii="Arial" w:hAnsi="Arial" w:cs="Arial"/>
          <w:sz w:val="18"/>
          <w:szCs w:val="18"/>
          <w:lang w:val="en-GB"/>
        </w:rPr>
        <w:t>3</w:t>
      </w:r>
      <w:r>
        <w:rPr>
          <w:rFonts w:ascii="Arial" w:hAnsi="Arial" w:cs="Arial"/>
          <w:sz w:val="18"/>
          <w:szCs w:val="18"/>
          <w:lang w:val="en-GB"/>
        </w:rPr>
        <w:t xml:space="preserve"> Explanations of the Influencing Factors for high-flow nasal cannula oxygen therapy 24 h Failure in the Logistic Regression Analysis</w:t>
      </w:r>
    </w:p>
    <w:tbl>
      <w:tblPr>
        <w:tblStyle w:val="4"/>
        <w:tblW w:w="7999" w:type="dxa"/>
        <w:tblInd w:w="0" w:type="dxa"/>
        <w:tblLayout w:type="fixed"/>
        <w:tblCellMar>
          <w:top w:w="0" w:type="dxa"/>
          <w:left w:w="108" w:type="dxa"/>
          <w:bottom w:w="0" w:type="dxa"/>
          <w:right w:w="108" w:type="dxa"/>
        </w:tblCellMar>
      </w:tblPr>
      <w:tblGrid>
        <w:gridCol w:w="1254"/>
        <w:gridCol w:w="2891"/>
        <w:gridCol w:w="3854"/>
      </w:tblGrid>
      <w:tr>
        <w:tblPrEx>
          <w:tblCellMar>
            <w:top w:w="0" w:type="dxa"/>
            <w:left w:w="108" w:type="dxa"/>
            <w:bottom w:w="0" w:type="dxa"/>
            <w:right w:w="108" w:type="dxa"/>
          </w:tblCellMar>
        </w:tblPrEx>
        <w:trPr>
          <w:trHeight w:val="507" w:hRule="atLeast"/>
        </w:trPr>
        <w:tc>
          <w:tcPr>
            <w:tcW w:w="1254" w:type="dxa"/>
            <w:tcBorders>
              <w:top w:val="single" w:color="auto" w:sz="4" w:space="0"/>
              <w:bottom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Variable</w:t>
            </w:r>
          </w:p>
        </w:tc>
        <w:tc>
          <w:tcPr>
            <w:tcW w:w="2891" w:type="dxa"/>
            <w:tcBorders>
              <w:top w:val="single" w:color="auto" w:sz="4" w:space="0"/>
              <w:bottom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Variable item</w:t>
            </w:r>
          </w:p>
        </w:tc>
        <w:tc>
          <w:tcPr>
            <w:tcW w:w="3854" w:type="dxa"/>
            <w:tcBorders>
              <w:top w:val="single" w:color="auto" w:sz="4" w:space="0"/>
              <w:bottom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Variable value range and explanation</w:t>
            </w:r>
          </w:p>
        </w:tc>
      </w:tr>
      <w:tr>
        <w:tblPrEx>
          <w:tblCellMar>
            <w:top w:w="0" w:type="dxa"/>
            <w:left w:w="108" w:type="dxa"/>
            <w:bottom w:w="0" w:type="dxa"/>
            <w:right w:w="108" w:type="dxa"/>
          </w:tblCellMar>
        </w:tblPrEx>
        <w:trPr>
          <w:trHeight w:val="578" w:hRule="atLeast"/>
        </w:trPr>
        <w:tc>
          <w:tcPr>
            <w:tcW w:w="1254" w:type="dxa"/>
            <w:tcBorders>
              <w:top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i/>
                <w:sz w:val="18"/>
                <w:szCs w:val="18"/>
                <w:lang w:val="en-GB"/>
              </w:rPr>
            </w:pPr>
            <w:r>
              <w:rPr>
                <w:rFonts w:ascii="Arial" w:hAnsi="Arial" w:cs="Arial"/>
                <w:i/>
                <w:sz w:val="18"/>
                <w:szCs w:val="18"/>
                <w:lang w:val="en-GB"/>
              </w:rPr>
              <w:t>Y</w:t>
            </w:r>
          </w:p>
        </w:tc>
        <w:tc>
          <w:tcPr>
            <w:tcW w:w="2891" w:type="dxa"/>
            <w:tcBorders>
              <w:top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HFNC 24 h failure</w:t>
            </w:r>
          </w:p>
        </w:tc>
        <w:tc>
          <w:tcPr>
            <w:tcW w:w="3854" w:type="dxa"/>
            <w:tcBorders>
              <w:top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no=1</w:t>
            </w:r>
            <w:r>
              <w:rPr>
                <w:rFonts w:hint="eastAsia" w:ascii="Arial" w:hAnsi="Arial" w:cs="Arial"/>
                <w:sz w:val="18"/>
                <w:szCs w:val="18"/>
                <w:lang w:val="en-GB"/>
              </w:rPr>
              <w:t>，</w:t>
            </w:r>
            <w:r>
              <w:rPr>
                <w:rFonts w:ascii="Arial" w:hAnsi="Arial" w:cs="Arial"/>
                <w:sz w:val="18"/>
                <w:szCs w:val="18"/>
                <w:lang w:val="en-GB"/>
              </w:rPr>
              <w:t>yes=2</w:t>
            </w:r>
          </w:p>
        </w:tc>
      </w:tr>
      <w:tr>
        <w:tblPrEx>
          <w:tblCellMar>
            <w:top w:w="0" w:type="dxa"/>
            <w:left w:w="108" w:type="dxa"/>
            <w:bottom w:w="0" w:type="dxa"/>
            <w:right w:w="108" w:type="dxa"/>
          </w:tblCellMar>
        </w:tblPrEx>
        <w:trPr>
          <w:trHeight w:val="568"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sz w:val="18"/>
                <w:szCs w:val="18"/>
                <w:lang w:val="en-GB"/>
              </w:rPr>
            </w:pPr>
            <w:r>
              <w:rPr>
                <w:rFonts w:ascii="Arial" w:hAnsi="Arial" w:cs="Arial"/>
                <w:i/>
                <w:sz w:val="18"/>
                <w:szCs w:val="18"/>
                <w:lang w:val="en-GB"/>
              </w:rPr>
              <w:t>X 1</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GCS score</w:t>
            </w:r>
          </w:p>
        </w:tc>
        <w:tc>
          <w:tcPr>
            <w:tcW w:w="3854"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1=≤13 points</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13 points</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i/>
                <w:sz w:val="18"/>
                <w:szCs w:val="18"/>
                <w:lang w:val="en-GB"/>
              </w:rPr>
              <w:t>X 2</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PRISM III score</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1=≤4 points</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4 points</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3</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bCs/>
                <w:sz w:val="18"/>
                <w:szCs w:val="18"/>
                <w:lang w:val="en-GB"/>
              </w:rPr>
              <w:t>CRP</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1=≤9.5 mg/L</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9.5 mg/L</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i/>
                <w:iCs/>
                <w:sz w:val="18"/>
                <w:szCs w:val="18"/>
                <w:lang w:val="en-GB"/>
              </w:rPr>
              <w:t>X 4</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bCs/>
                <w:sz w:val="18"/>
                <w:szCs w:val="18"/>
                <w:lang w:val="en-GB"/>
              </w:rPr>
              <w:t>PCT</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1=≤0.67 ng/ml</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0.67 ng/ml</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5</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sz w:val="18"/>
                <w:szCs w:val="18"/>
                <w:lang w:val="en-GB"/>
              </w:rPr>
              <w:t>pH</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1=≤7.35</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7.35</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6</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bCs/>
                <w:sz w:val="18"/>
                <w:szCs w:val="18"/>
                <w:lang w:val="en-GB"/>
              </w:rPr>
              <w:t>PaCO</w:t>
            </w:r>
            <w:r>
              <w:rPr>
                <w:rFonts w:ascii="Arial" w:hAnsi="Arial" w:cs="Arial"/>
                <w:bCs/>
                <w:sz w:val="18"/>
                <w:szCs w:val="18"/>
                <w:vertAlign w:val="subscript"/>
                <w:lang w:val="en-GB"/>
              </w:rPr>
              <w:t>2</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1=≤43 mmHg</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43 mmHg</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7</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color w:val="000000"/>
                <w:sz w:val="18"/>
                <w:szCs w:val="18"/>
                <w:lang w:val="en-GB"/>
              </w:rPr>
              <w:t>PaCO</w:t>
            </w:r>
            <w:r>
              <w:rPr>
                <w:rFonts w:ascii="Arial" w:hAnsi="Arial" w:cs="Arial"/>
                <w:color w:val="000000"/>
                <w:sz w:val="18"/>
                <w:szCs w:val="18"/>
                <w:vertAlign w:val="subscript"/>
                <w:lang w:val="en-GB"/>
              </w:rPr>
              <w:t>2</w:t>
            </w:r>
            <w:r>
              <w:rPr>
                <w:rFonts w:ascii="Arial" w:hAnsi="Arial" w:cs="Arial"/>
                <w:color w:val="000000"/>
                <w:sz w:val="18"/>
                <w:szCs w:val="18"/>
                <w:lang w:val="en-GB"/>
              </w:rPr>
              <w:t>/PaO</w:t>
            </w:r>
            <w:r>
              <w:rPr>
                <w:rFonts w:ascii="Arial" w:hAnsi="Arial" w:cs="Arial"/>
                <w:color w:val="000000"/>
                <w:sz w:val="18"/>
                <w:szCs w:val="18"/>
                <w:vertAlign w:val="subscript"/>
                <w:lang w:val="en-GB"/>
              </w:rPr>
              <w:t>2</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1=≤0.59</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0.59</w:t>
            </w:r>
          </w:p>
        </w:tc>
      </w:tr>
      <w:tr>
        <w:tblPrEx>
          <w:tblCellMar>
            <w:top w:w="0" w:type="dxa"/>
            <w:left w:w="108" w:type="dxa"/>
            <w:bottom w:w="0" w:type="dxa"/>
            <w:right w:w="108" w:type="dxa"/>
          </w:tblCellMar>
        </w:tblPrEx>
        <w:trPr>
          <w:trHeight w:val="497"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8</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bCs/>
                <w:sz w:val="18"/>
                <w:szCs w:val="18"/>
                <w:lang w:val="en-GB"/>
              </w:rPr>
              <w:t>Oxygenation index</w:t>
            </w:r>
          </w:p>
        </w:tc>
        <w:tc>
          <w:tcPr>
            <w:tcW w:w="3854"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1=≤139</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139</w:t>
            </w:r>
          </w:p>
        </w:tc>
      </w:tr>
    </w:tbl>
    <w:p>
      <w:pPr>
        <w:spacing w:line="360" w:lineRule="auto"/>
        <w:jc w:val="left"/>
        <w:rPr>
          <w:rFonts w:ascii="Times New Roman" w:hAnsi="Times New Roman"/>
          <w:kern w:val="0"/>
          <w:szCs w:val="21"/>
          <w:lang w:val="en-GB"/>
        </w:rPr>
      </w:pPr>
      <w:r>
        <w:rPr>
          <w:rFonts w:hint="eastAsia" w:ascii="Times New Roman" w:hAnsi="Times New Roman"/>
          <w:szCs w:val="21"/>
          <w:lang w:val="en-GB"/>
        </w:rPr>
        <w:t>Eight</w:t>
      </w:r>
      <w:r>
        <w:rPr>
          <w:rFonts w:ascii="Times New Roman" w:hAnsi="Times New Roman"/>
          <w:szCs w:val="21"/>
          <w:lang w:val="en-GB"/>
        </w:rPr>
        <w:t xml:space="preserve"> variables that had statistical significance in the univariate analysis were introduced into the unconditional logistic regression model. A stepwise regression method was used to determine the risk factors for pediatric patients with HFNC failure in 24 h.Among them, PCT (OR=2.794, 95% CI=1.390~5.614) and PaCO</w:t>
      </w:r>
      <w:r>
        <w:rPr>
          <w:rFonts w:ascii="Times New Roman" w:hAnsi="Times New Roman"/>
          <w:szCs w:val="21"/>
          <w:vertAlign w:val="subscript"/>
          <w:lang w:val="en-GB"/>
        </w:rPr>
        <w:t>2</w:t>
      </w:r>
      <w:r>
        <w:rPr>
          <w:rFonts w:ascii="Times New Roman" w:hAnsi="Times New Roman"/>
          <w:szCs w:val="21"/>
          <w:lang w:val="en-GB"/>
        </w:rPr>
        <w:t xml:space="preserve"> (OR=3.152, 95% CI=1.480~6.713) were risk factors for 24 h failure. Note that the HFNC 24 h failure risk increased by more than 2-3 times when PCT</w:t>
      </w:r>
      <w:r>
        <w:rPr>
          <w:rFonts w:hint="eastAsia" w:ascii="Times New Roman" w:hAnsi="Times New Roman"/>
          <w:szCs w:val="21"/>
          <w:lang w:val="en-GB"/>
        </w:rPr>
        <w:t>＞</w:t>
      </w:r>
      <w:r>
        <w:rPr>
          <w:rFonts w:ascii="Times New Roman" w:hAnsi="Times New Roman"/>
          <w:szCs w:val="21"/>
          <w:lang w:val="en-GB"/>
        </w:rPr>
        <w:t>0.67 ng/ml or PaCO</w:t>
      </w:r>
      <w:r>
        <w:rPr>
          <w:rFonts w:ascii="Times New Roman" w:hAnsi="Times New Roman"/>
          <w:szCs w:val="21"/>
          <w:vertAlign w:val="subscript"/>
          <w:lang w:val="en-GB"/>
        </w:rPr>
        <w:t xml:space="preserve">2 </w:t>
      </w:r>
      <w:r>
        <w:rPr>
          <w:rFonts w:hint="eastAsia" w:ascii="Times New Roman" w:hAnsi="Times New Roman"/>
          <w:szCs w:val="21"/>
          <w:lang w:val="en-GB"/>
        </w:rPr>
        <w:t>＞</w:t>
      </w:r>
      <w:r>
        <w:rPr>
          <w:rFonts w:ascii="Times New Roman" w:hAnsi="Times New Roman"/>
          <w:szCs w:val="21"/>
          <w:lang w:val="en-GB"/>
        </w:rPr>
        <w:t>43 mmHg.However,in the comparison of the 48 h failure group,we found that the HFNC failure risk within 48 h when PaCO</w:t>
      </w:r>
      <w:r>
        <w:rPr>
          <w:rFonts w:ascii="Times New Roman" w:hAnsi="Times New Roman"/>
          <w:szCs w:val="21"/>
          <w:vertAlign w:val="subscript"/>
          <w:lang w:val="en-GB"/>
        </w:rPr>
        <w:t xml:space="preserve">2 </w:t>
      </w:r>
      <w:r>
        <w:rPr>
          <w:rFonts w:ascii="Times New Roman" w:hAnsi="Times New Roman"/>
          <w:szCs w:val="21"/>
          <w:lang w:val="en-GB"/>
        </w:rPr>
        <w:t>&gt;43 mmHg was over 4 times higher than</w:t>
      </w:r>
      <w:r>
        <w:rPr>
          <w:rFonts w:ascii="Times New Roman" w:hAnsi="Times New Roman"/>
          <w:kern w:val="0"/>
          <w:szCs w:val="21"/>
          <w:lang w:val="en-GB"/>
        </w:rPr>
        <w:t xml:space="preserve"> that when PaCO</w:t>
      </w:r>
      <w:r>
        <w:rPr>
          <w:rFonts w:ascii="Times New Roman" w:hAnsi="Times New Roman"/>
          <w:kern w:val="0"/>
          <w:szCs w:val="21"/>
          <w:vertAlign w:val="subscript"/>
          <w:lang w:val="en-GB"/>
        </w:rPr>
        <w:t>2</w:t>
      </w:r>
      <w:r>
        <w:rPr>
          <w:rFonts w:hint="eastAsia" w:ascii="Times New Roman" w:hAnsi="Times New Roman"/>
          <w:szCs w:val="21"/>
          <w:lang w:val="en-GB"/>
        </w:rPr>
        <w:t>≤</w:t>
      </w:r>
      <w:r>
        <w:rPr>
          <w:rFonts w:ascii="Times New Roman" w:hAnsi="Times New Roman"/>
          <w:kern w:val="0"/>
          <w:szCs w:val="21"/>
          <w:lang w:val="en-GB"/>
        </w:rPr>
        <w:t>43 mmHg.Note that PaCO</w:t>
      </w:r>
      <w:r>
        <w:rPr>
          <w:rFonts w:ascii="Times New Roman" w:hAnsi="Times New Roman"/>
          <w:kern w:val="0"/>
          <w:szCs w:val="21"/>
          <w:vertAlign w:val="subscript"/>
          <w:lang w:val="en-GB"/>
        </w:rPr>
        <w:t xml:space="preserve">2 </w:t>
      </w:r>
      <w:r>
        <w:rPr>
          <w:rFonts w:ascii="Times New Roman" w:hAnsi="Times New Roman"/>
          <w:kern w:val="0"/>
          <w:szCs w:val="21"/>
          <w:lang w:val="en-GB"/>
        </w:rPr>
        <w:t xml:space="preserve">was a risk factor for HFNC 24 h and 48 h failure.Children with hypercapnia should be under close observation when they receive HFNC treatment.See Table </w:t>
      </w:r>
      <w:r>
        <w:rPr>
          <w:rFonts w:hint="eastAsia" w:ascii="Times New Roman" w:hAnsi="Times New Roman"/>
          <w:kern w:val="0"/>
          <w:szCs w:val="21"/>
          <w:lang w:val="en-GB"/>
        </w:rPr>
        <w:t>4</w:t>
      </w:r>
      <w:r>
        <w:rPr>
          <w:rFonts w:ascii="Times New Roman" w:hAnsi="Times New Roman"/>
          <w:kern w:val="0"/>
          <w:szCs w:val="21"/>
          <w:lang w:val="en-GB"/>
        </w:rPr>
        <w:t>.</w:t>
      </w:r>
    </w:p>
    <w:p>
      <w:pPr>
        <w:spacing w:line="360" w:lineRule="auto"/>
        <w:jc w:val="left"/>
        <w:rPr>
          <w:rFonts w:ascii="Arial" w:hAnsi="Arial" w:cs="Arial"/>
          <w:kern w:val="0"/>
          <w:sz w:val="18"/>
          <w:szCs w:val="18"/>
          <w:lang w:val="en-GB"/>
        </w:rPr>
      </w:pPr>
      <w:r>
        <w:rPr>
          <w:rFonts w:ascii="Arial" w:hAnsi="Arial" w:cs="Arial"/>
          <w:kern w:val="0"/>
          <w:sz w:val="18"/>
          <w:szCs w:val="18"/>
          <w:lang w:val="en-GB"/>
        </w:rPr>
        <w:t xml:space="preserve">Table </w:t>
      </w:r>
      <w:r>
        <w:rPr>
          <w:rFonts w:hint="eastAsia" w:ascii="Arial" w:hAnsi="Arial" w:cs="Arial"/>
          <w:kern w:val="0"/>
          <w:sz w:val="18"/>
          <w:szCs w:val="18"/>
          <w:lang w:val="en-GB"/>
        </w:rPr>
        <w:t>4</w:t>
      </w:r>
      <w:r>
        <w:rPr>
          <w:rFonts w:ascii="Arial" w:hAnsi="Arial" w:cs="Arial"/>
          <w:kern w:val="0"/>
          <w:sz w:val="18"/>
          <w:szCs w:val="18"/>
          <w:lang w:val="en-GB"/>
        </w:rPr>
        <w:t xml:space="preserve"> Multi-factor Logistic Analysis for </w:t>
      </w:r>
      <w:r>
        <w:rPr>
          <w:rFonts w:ascii="Arial" w:hAnsi="Arial" w:cs="Arial"/>
          <w:sz w:val="18"/>
          <w:szCs w:val="18"/>
          <w:lang w:val="en-GB"/>
        </w:rPr>
        <w:t>high-flow nasal cannula oxygen therapy</w:t>
      </w:r>
      <w:r>
        <w:rPr>
          <w:rFonts w:ascii="Arial" w:hAnsi="Arial" w:cs="Arial"/>
          <w:kern w:val="0"/>
          <w:sz w:val="18"/>
          <w:szCs w:val="18"/>
          <w:lang w:val="en-GB"/>
        </w:rPr>
        <w:t xml:space="preserve"> 24 h Failure</w:t>
      </w:r>
    </w:p>
    <w:tbl>
      <w:tblPr>
        <w:tblStyle w:val="4"/>
        <w:tblW w:w="8177"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47"/>
        <w:gridCol w:w="1225"/>
        <w:gridCol w:w="952"/>
        <w:gridCol w:w="680"/>
        <w:gridCol w:w="952"/>
        <w:gridCol w:w="953"/>
        <w:gridCol w:w="176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trPr>
        <w:tc>
          <w:tcPr>
            <w:tcW w:w="1647"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Variant</w:t>
            </w:r>
          </w:p>
        </w:tc>
        <w:tc>
          <w:tcPr>
            <w:tcW w:w="1225"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Regression coefficients</w:t>
            </w:r>
          </w:p>
        </w:tc>
        <w:tc>
          <w:tcPr>
            <w:tcW w:w="952"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Standard error</w:t>
            </w:r>
          </w:p>
        </w:tc>
        <w:tc>
          <w:tcPr>
            <w:tcW w:w="680"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i/>
                <w:sz w:val="18"/>
                <w:szCs w:val="18"/>
                <w:lang w:val="en-GB"/>
              </w:rPr>
            </w:pPr>
            <w:r>
              <w:rPr>
                <w:rFonts w:ascii="Arial" w:hAnsi="Arial" w:cs="Arial"/>
                <w:i/>
                <w:sz w:val="18"/>
                <w:szCs w:val="18"/>
                <w:lang w:val="en-GB"/>
              </w:rPr>
              <w:t>Wald</w:t>
            </w:r>
          </w:p>
        </w:tc>
        <w:tc>
          <w:tcPr>
            <w:tcW w:w="952"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i/>
                <w:iCs/>
                <w:sz w:val="18"/>
                <w:szCs w:val="18"/>
                <w:lang w:val="en-GB"/>
              </w:rPr>
              <w:t>P</w:t>
            </w:r>
          </w:p>
        </w:tc>
        <w:tc>
          <w:tcPr>
            <w:tcW w:w="953"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i/>
                <w:sz w:val="18"/>
                <w:szCs w:val="18"/>
                <w:lang w:val="en-GB"/>
              </w:rPr>
            </w:pPr>
            <w:r>
              <w:rPr>
                <w:rFonts w:ascii="Arial" w:hAnsi="Arial" w:cs="Arial"/>
                <w:i/>
                <w:sz w:val="18"/>
                <w:szCs w:val="18"/>
                <w:lang w:val="en-GB"/>
              </w:rPr>
              <w:t>OR</w:t>
            </w:r>
          </w:p>
        </w:tc>
        <w:tc>
          <w:tcPr>
            <w:tcW w:w="1768"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i/>
                <w:sz w:val="18"/>
                <w:szCs w:val="18"/>
                <w:lang w:val="en-GB"/>
              </w:rPr>
            </w:pPr>
            <w:r>
              <w:rPr>
                <w:rFonts w:ascii="Arial" w:hAnsi="Arial" w:cs="Arial"/>
                <w:i/>
                <w:sz w:val="18"/>
                <w:szCs w:val="18"/>
                <w:lang w:val="en-GB"/>
              </w:rPr>
              <w:t>95% 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1647"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color w:val="000000"/>
                <w:sz w:val="18"/>
                <w:szCs w:val="18"/>
                <w:lang w:val="en-GB"/>
              </w:rPr>
            </w:pPr>
            <w:r>
              <w:rPr>
                <w:rFonts w:ascii="Arial" w:hAnsi="Arial" w:cs="Arial"/>
                <w:color w:val="000000"/>
                <w:sz w:val="18"/>
                <w:szCs w:val="18"/>
                <w:lang w:val="en-GB"/>
              </w:rPr>
              <w:t>PCT</w:t>
            </w:r>
            <w:r>
              <w:rPr>
                <w:rFonts w:hint="eastAsia" w:ascii="Arial" w:hAnsi="Arial" w:cs="Arial"/>
                <w:color w:val="000000"/>
                <w:sz w:val="18"/>
                <w:szCs w:val="18"/>
                <w:lang w:val="en-GB"/>
              </w:rPr>
              <w:t>＞</w:t>
            </w:r>
            <w:r>
              <w:rPr>
                <w:rFonts w:ascii="Arial" w:hAnsi="Arial" w:cs="Arial"/>
                <w:color w:val="000000"/>
                <w:sz w:val="18"/>
                <w:szCs w:val="18"/>
                <w:lang w:val="en-GB"/>
              </w:rPr>
              <w:t>0.67 ng/</w:t>
            </w:r>
            <w:r>
              <w:rPr>
                <w:rFonts w:ascii="Arial" w:hAnsi="Arial" w:cs="Arial"/>
                <w:sz w:val="18"/>
                <w:szCs w:val="18"/>
                <w:lang w:val="en-GB"/>
              </w:rPr>
              <w:t>ml</w:t>
            </w:r>
          </w:p>
        </w:tc>
        <w:tc>
          <w:tcPr>
            <w:tcW w:w="1225"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1.027</w:t>
            </w:r>
          </w:p>
        </w:tc>
        <w:tc>
          <w:tcPr>
            <w:tcW w:w="952"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0.356</w:t>
            </w:r>
          </w:p>
        </w:tc>
        <w:tc>
          <w:tcPr>
            <w:tcW w:w="680"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8.324</w:t>
            </w:r>
          </w:p>
        </w:tc>
        <w:tc>
          <w:tcPr>
            <w:tcW w:w="952"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0.004</w:t>
            </w:r>
          </w:p>
        </w:tc>
        <w:tc>
          <w:tcPr>
            <w:tcW w:w="953"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b/>
                <w:bCs/>
                <w:sz w:val="18"/>
                <w:szCs w:val="18"/>
                <w:lang w:val="en-GB"/>
              </w:rPr>
            </w:pPr>
            <w:r>
              <w:rPr>
                <w:rFonts w:ascii="Arial" w:hAnsi="Arial" w:cs="Arial"/>
                <w:b/>
                <w:bCs/>
                <w:sz w:val="18"/>
                <w:szCs w:val="18"/>
                <w:lang w:val="en-GB"/>
              </w:rPr>
              <w:t>2.794</w:t>
            </w:r>
          </w:p>
        </w:tc>
        <w:tc>
          <w:tcPr>
            <w:tcW w:w="1768"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1.390~5.614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1647"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color w:val="000000"/>
                <w:sz w:val="18"/>
                <w:szCs w:val="18"/>
                <w:lang w:val="en-GB"/>
              </w:rPr>
              <w:t>PaCO</w:t>
            </w:r>
            <w:r>
              <w:rPr>
                <w:rFonts w:ascii="Arial" w:hAnsi="Arial" w:cs="Arial"/>
                <w:color w:val="000000"/>
                <w:sz w:val="18"/>
                <w:szCs w:val="18"/>
                <w:vertAlign w:val="subscript"/>
                <w:lang w:val="en-GB"/>
              </w:rPr>
              <w:t>2</w:t>
            </w:r>
            <w:r>
              <w:rPr>
                <w:rFonts w:hint="eastAsia" w:ascii="Arial" w:hAnsi="Arial" w:cs="Arial"/>
                <w:sz w:val="18"/>
                <w:szCs w:val="18"/>
                <w:lang w:val="en-GB"/>
              </w:rPr>
              <w:t>＞</w:t>
            </w:r>
            <w:r>
              <w:rPr>
                <w:rFonts w:ascii="Arial" w:hAnsi="Arial" w:cs="Arial"/>
                <w:sz w:val="18"/>
                <w:szCs w:val="18"/>
                <w:lang w:val="en-GB"/>
              </w:rPr>
              <w:t>43 mmHg</w:t>
            </w:r>
          </w:p>
        </w:tc>
        <w:tc>
          <w:tcPr>
            <w:tcW w:w="1225"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1.148</w:t>
            </w:r>
          </w:p>
        </w:tc>
        <w:tc>
          <w:tcPr>
            <w:tcW w:w="952"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0.386</w:t>
            </w:r>
          </w:p>
        </w:tc>
        <w:tc>
          <w:tcPr>
            <w:tcW w:w="680"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8.863</w:t>
            </w:r>
          </w:p>
        </w:tc>
        <w:tc>
          <w:tcPr>
            <w:tcW w:w="952"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0.003</w:t>
            </w:r>
          </w:p>
        </w:tc>
        <w:tc>
          <w:tcPr>
            <w:tcW w:w="953"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b/>
                <w:sz w:val="18"/>
                <w:szCs w:val="18"/>
                <w:lang w:val="en-GB"/>
              </w:rPr>
            </w:pPr>
            <w:r>
              <w:rPr>
                <w:rFonts w:ascii="Arial" w:hAnsi="Arial" w:cs="Arial"/>
                <w:b/>
                <w:bCs/>
                <w:sz w:val="18"/>
                <w:szCs w:val="18"/>
                <w:lang w:val="en-GB"/>
              </w:rPr>
              <w:t>3.152</w:t>
            </w:r>
          </w:p>
        </w:tc>
        <w:tc>
          <w:tcPr>
            <w:tcW w:w="1768"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1.480~6.713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1647"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color w:val="000000"/>
                <w:sz w:val="18"/>
                <w:szCs w:val="18"/>
                <w:lang w:val="en-GB"/>
              </w:rPr>
            </w:pPr>
            <w:r>
              <w:rPr>
                <w:rFonts w:ascii="Arial" w:hAnsi="Arial" w:cs="Arial"/>
                <w:color w:val="000000"/>
                <w:sz w:val="18"/>
                <w:szCs w:val="18"/>
                <w:lang w:val="en-GB"/>
              </w:rPr>
              <w:t>Constant</w:t>
            </w:r>
          </w:p>
        </w:tc>
        <w:tc>
          <w:tcPr>
            <w:tcW w:w="1225"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18.033</w:t>
            </w:r>
          </w:p>
        </w:tc>
        <w:tc>
          <w:tcPr>
            <w:tcW w:w="952"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3.486</w:t>
            </w:r>
          </w:p>
        </w:tc>
        <w:tc>
          <w:tcPr>
            <w:tcW w:w="680"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26.768</w:t>
            </w:r>
          </w:p>
        </w:tc>
        <w:tc>
          <w:tcPr>
            <w:tcW w:w="952"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0.000</w:t>
            </w:r>
          </w:p>
        </w:tc>
        <w:tc>
          <w:tcPr>
            <w:tcW w:w="953"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bCs/>
                <w:sz w:val="18"/>
                <w:szCs w:val="18"/>
                <w:lang w:val="en-GB"/>
              </w:rPr>
            </w:pPr>
          </w:p>
        </w:tc>
        <w:tc>
          <w:tcPr>
            <w:tcW w:w="1768" w:type="dxa"/>
            <w:tcBorders>
              <w:bottom w:val="single" w:color="auto" w:sz="4" w:space="0"/>
            </w:tcBorders>
            <w:noWrap w:val="0"/>
            <w:tcMar>
              <w:top w:w="15" w:type="dxa"/>
              <w:left w:w="15" w:type="dxa"/>
              <w:bottom w:w="15" w:type="dxa"/>
              <w:right w:w="15" w:type="dxa"/>
            </w:tcMar>
            <w:vAlign w:val="center"/>
          </w:tcPr>
          <w:p>
            <w:pPr>
              <w:jc w:val="center"/>
              <w:rPr>
                <w:rFonts w:ascii="Arial" w:hAnsi="Arial" w:cs="Arial"/>
                <w:sz w:val="18"/>
                <w:szCs w:val="18"/>
                <w:lang w:val="en-GB"/>
              </w:rPr>
            </w:pPr>
          </w:p>
        </w:tc>
      </w:tr>
    </w:tbl>
    <w:p>
      <w:pPr>
        <w:spacing w:line="360" w:lineRule="auto"/>
        <w:rPr>
          <w:rFonts w:ascii="Arial" w:hAnsi="Arial" w:cs="Arial"/>
          <w:bCs/>
          <w:sz w:val="18"/>
          <w:szCs w:val="18"/>
          <w:lang w:val="en-GB"/>
        </w:rPr>
      </w:pPr>
      <w:r>
        <w:rPr>
          <w:rFonts w:ascii="Arial" w:hAnsi="Arial" w:cs="Arial"/>
          <w:bCs/>
          <w:sz w:val="18"/>
          <w:szCs w:val="18"/>
          <w:lang w:val="en-GB"/>
        </w:rPr>
        <w:t>Note:</w:t>
      </w:r>
      <w:r>
        <w:rPr>
          <w:rFonts w:ascii="Arial" w:hAnsi="Arial" w:cs="Arial"/>
          <w:bCs/>
          <w:kern w:val="0"/>
          <w:sz w:val="18"/>
          <w:szCs w:val="18"/>
          <w:lang w:val="en-GB"/>
        </w:rPr>
        <w:t>Wald</w:t>
      </w:r>
      <w:r>
        <w:rPr>
          <w:rFonts w:hint="eastAsia" w:ascii="Arial" w:hAnsi="Arial" w:cs="Arial"/>
          <w:bCs/>
          <w:kern w:val="0"/>
          <w:sz w:val="18"/>
          <w:szCs w:val="18"/>
          <w:lang w:val="en-US" w:eastAsia="zh-CN"/>
        </w:rPr>
        <w:t>=</w:t>
      </w:r>
      <w:r>
        <w:rPr>
          <w:rFonts w:ascii="Arial" w:hAnsi="Arial" w:cs="Arial"/>
          <w:bCs/>
          <w:kern w:val="0"/>
          <w:sz w:val="18"/>
          <w:szCs w:val="18"/>
          <w:lang w:val="en-GB"/>
        </w:rPr>
        <w:t>Wald test statistics,OR</w:t>
      </w:r>
      <w:r>
        <w:rPr>
          <w:rFonts w:hint="eastAsia" w:ascii="Arial" w:hAnsi="Arial" w:cs="Arial"/>
          <w:bCs/>
          <w:kern w:val="0"/>
          <w:sz w:val="18"/>
          <w:szCs w:val="18"/>
          <w:lang w:val="en-US" w:eastAsia="zh-CN"/>
        </w:rPr>
        <w:t>=</w:t>
      </w:r>
      <w:r>
        <w:rPr>
          <w:rFonts w:ascii="Arial" w:hAnsi="Arial" w:cs="Arial"/>
          <w:bCs/>
          <w:sz w:val="18"/>
          <w:szCs w:val="18"/>
          <w:lang w:val="en-GB"/>
        </w:rPr>
        <w:t>odds ratio,the ratio of the possibility of an event happening to the impossibility of an event happening,95% CI</w:t>
      </w:r>
      <w:r>
        <w:rPr>
          <w:rFonts w:hint="eastAsia" w:ascii="Arial" w:hAnsi="Arial" w:cs="Arial"/>
          <w:bCs/>
          <w:sz w:val="18"/>
          <w:szCs w:val="18"/>
          <w:lang w:val="en-US" w:eastAsia="zh-CN"/>
        </w:rPr>
        <w:t>=</w:t>
      </w:r>
      <w:r>
        <w:rPr>
          <w:rFonts w:ascii="Arial" w:hAnsi="Arial" w:cs="Arial"/>
          <w:bCs/>
          <w:sz w:val="18"/>
          <w:szCs w:val="18"/>
          <w:lang w:val="en-GB"/>
        </w:rPr>
        <w:t>95% confidence interval for the value of the OR.</w:t>
      </w:r>
    </w:p>
    <w:p>
      <w:pPr>
        <w:spacing w:line="360" w:lineRule="auto"/>
        <w:jc w:val="left"/>
        <w:rPr>
          <w:rFonts w:ascii="Times New Roman" w:hAnsi="Times New Roman"/>
          <w:szCs w:val="21"/>
          <w:lang w:val="en-GB"/>
        </w:rPr>
      </w:pPr>
      <w:r>
        <w:rPr>
          <w:rFonts w:ascii="宋体" w:hAnsi="宋体"/>
          <w:szCs w:val="21"/>
          <w:lang w:val="en-GB"/>
        </w:rPr>
        <w:t xml:space="preserve">2 </w:t>
      </w:r>
      <w:r>
        <w:rPr>
          <w:rFonts w:ascii="Times New Roman" w:hAnsi="Times New Roman"/>
          <w:szCs w:val="21"/>
          <w:lang w:val="en-GB"/>
        </w:rPr>
        <w:t>HFNC 2 h failure risk factor analysis</w:t>
      </w:r>
    </w:p>
    <w:p>
      <w:pPr>
        <w:spacing w:line="360" w:lineRule="auto"/>
        <w:jc w:val="left"/>
        <w:rPr>
          <w:rFonts w:ascii="Times New Roman" w:hAnsi="Times New Roman"/>
          <w:szCs w:val="21"/>
          <w:lang w:val="en-GB"/>
        </w:rPr>
      </w:pPr>
      <w:r>
        <w:rPr>
          <w:rFonts w:ascii="Times New Roman" w:hAnsi="Times New Roman"/>
          <w:szCs w:val="21"/>
          <w:lang w:val="en-GB"/>
        </w:rPr>
        <w:t xml:space="preserve"> </w:t>
      </w:r>
      <w:r>
        <w:rPr>
          <w:rFonts w:ascii="宋体" w:hAnsi="宋体"/>
          <w:szCs w:val="21"/>
          <w:lang w:val="en-GB"/>
        </w:rPr>
        <w:t>(1)</w:t>
      </w:r>
      <w:r>
        <w:rPr>
          <w:rFonts w:ascii="Times New Roman" w:hAnsi="Times New Roman"/>
          <w:szCs w:val="21"/>
          <w:lang w:val="en-GB"/>
        </w:rPr>
        <w:t xml:space="preserve"> Comparisons of the General Clinical Data</w:t>
      </w:r>
    </w:p>
    <w:p>
      <w:pPr>
        <w:spacing w:line="360" w:lineRule="auto"/>
        <w:jc w:val="left"/>
        <w:rPr>
          <w:rFonts w:ascii="Times New Roman" w:hAnsi="Times New Roman"/>
          <w:color w:val="FF0000"/>
          <w:szCs w:val="21"/>
          <w:lang w:val="en-GB"/>
        </w:rPr>
      </w:pPr>
      <w:r>
        <w:rPr>
          <w:rFonts w:hint="eastAsia" w:ascii="Times New Roman" w:hAnsi="Times New Roman"/>
          <w:kern w:val="0"/>
          <w:lang w:val="en-GB"/>
        </w:rPr>
        <w:t>T</w:t>
      </w:r>
      <w:r>
        <w:rPr>
          <w:rFonts w:ascii="Times New Roman" w:hAnsi="Times New Roman"/>
          <w:kern w:val="0"/>
          <w:lang w:val="en-GB"/>
        </w:rPr>
        <w:t xml:space="preserve">he distributions of disease types were no significant differences between the HFNC success group and the </w:t>
      </w:r>
      <w:r>
        <w:rPr>
          <w:rFonts w:hint="eastAsia" w:ascii="Times New Roman" w:hAnsi="Times New Roman"/>
          <w:kern w:val="0"/>
          <w:lang w:val="en-GB"/>
        </w:rPr>
        <w:t>2</w:t>
      </w:r>
      <w:r>
        <w:rPr>
          <w:rFonts w:ascii="Times New Roman" w:hAnsi="Times New Roman"/>
          <w:kern w:val="0"/>
          <w:lang w:val="en-GB"/>
        </w:rPr>
        <w:t xml:space="preserve"> h failure group</w:t>
      </w:r>
      <w:r>
        <w:rPr>
          <w:rFonts w:hint="eastAsia" w:ascii="Times New Roman" w:hAnsi="Times New Roman"/>
          <w:kern w:val="0"/>
          <w:lang w:val="en-GB"/>
        </w:rPr>
        <w:t xml:space="preserve"> </w:t>
      </w:r>
      <w:r>
        <w:rPr>
          <w:rFonts w:ascii="Times New Roman" w:hAnsi="Times New Roman"/>
          <w:kern w:val="0"/>
          <w:lang w:val="en-GB"/>
        </w:rPr>
        <w:t>(</w:t>
      </w:r>
      <w:r>
        <w:rPr>
          <w:rFonts w:ascii="Times New Roman" w:hAnsi="Times New Roman"/>
          <w:i/>
          <w:kern w:val="0"/>
          <w:lang w:val="en-GB"/>
        </w:rPr>
        <w:t>P</w:t>
      </w:r>
      <w:r>
        <w:rPr>
          <w:rFonts w:ascii="Times New Roman" w:hAnsi="Times New Roman"/>
          <w:kern w:val="0"/>
          <w:lang w:val="en-GB"/>
        </w:rPr>
        <w:t>&gt;0.05)</w:t>
      </w:r>
      <w:r>
        <w:rPr>
          <w:rFonts w:hint="eastAsia" w:ascii="Times New Roman" w:hAnsi="Times New Roman"/>
          <w:kern w:val="0"/>
          <w:lang w:val="en-GB"/>
        </w:rPr>
        <w:t>.</w:t>
      </w:r>
      <w:r>
        <w:rPr>
          <w:rFonts w:ascii="Times New Roman" w:hAnsi="Times New Roman"/>
          <w:kern w:val="0"/>
          <w:lang w:val="en-GB"/>
        </w:rPr>
        <w:t xml:space="preserve">And there </w:t>
      </w:r>
      <w:r>
        <w:rPr>
          <w:rFonts w:hint="eastAsia" w:ascii="Times New Roman" w:hAnsi="Times New Roman"/>
          <w:kern w:val="0"/>
          <w:lang w:val="en-GB"/>
        </w:rPr>
        <w:t xml:space="preserve">also </w:t>
      </w:r>
      <w:r>
        <w:rPr>
          <w:rFonts w:ascii="Times New Roman" w:hAnsi="Times New Roman"/>
          <w:kern w:val="0"/>
          <w:lang w:val="en-GB"/>
        </w:rPr>
        <w:t>were no significant difference in age,sex or weight between the two groups(</w:t>
      </w:r>
      <w:r>
        <w:rPr>
          <w:rFonts w:ascii="Times New Roman" w:hAnsi="Times New Roman"/>
          <w:i/>
          <w:kern w:val="0"/>
          <w:lang w:val="en-GB"/>
        </w:rPr>
        <w:t>P</w:t>
      </w:r>
      <w:r>
        <w:rPr>
          <w:rFonts w:ascii="Times New Roman" w:hAnsi="Times New Roman"/>
          <w:kern w:val="0"/>
          <w:lang w:val="en-GB"/>
        </w:rPr>
        <w:t xml:space="preserve">&gt;0.05) (Table </w:t>
      </w:r>
      <w:r>
        <w:rPr>
          <w:rFonts w:hint="eastAsia" w:ascii="Times New Roman" w:hAnsi="Times New Roman"/>
          <w:kern w:val="0"/>
          <w:lang w:val="en-GB"/>
        </w:rPr>
        <w:t>5</w:t>
      </w:r>
      <w:r>
        <w:rPr>
          <w:rFonts w:ascii="Times New Roman" w:hAnsi="Times New Roman"/>
          <w:kern w:val="0"/>
          <w:lang w:val="en-GB"/>
        </w:rPr>
        <w:t>).</w:t>
      </w:r>
    </w:p>
    <w:p>
      <w:pPr>
        <w:spacing w:line="360" w:lineRule="auto"/>
        <w:jc w:val="left"/>
        <w:rPr>
          <w:rFonts w:ascii="Arial" w:hAnsi="Arial" w:cs="Arial"/>
          <w:sz w:val="18"/>
          <w:szCs w:val="18"/>
          <w:lang w:val="en-GB"/>
        </w:rPr>
      </w:pPr>
      <w:r>
        <w:rPr>
          <w:rFonts w:ascii="Arial" w:hAnsi="Arial" w:cs="Arial"/>
          <w:sz w:val="18"/>
          <w:szCs w:val="18"/>
          <w:lang w:val="en-GB"/>
        </w:rPr>
        <w:t xml:space="preserve">Table </w:t>
      </w:r>
      <w:r>
        <w:rPr>
          <w:rFonts w:hint="eastAsia" w:ascii="Arial" w:hAnsi="Arial" w:cs="Arial"/>
          <w:sz w:val="18"/>
          <w:szCs w:val="18"/>
          <w:lang w:val="en-GB"/>
        </w:rPr>
        <w:t>5</w:t>
      </w:r>
      <w:r>
        <w:rPr>
          <w:rFonts w:ascii="Arial" w:hAnsi="Arial" w:cs="Arial"/>
          <w:sz w:val="18"/>
          <w:szCs w:val="18"/>
          <w:lang w:val="en-GB"/>
        </w:rPr>
        <w:t xml:space="preserve"> Comparisons between the high-flow nasal cannula oxygen therapy Success Group and the 2 h Failure Group</w:t>
      </w:r>
    </w:p>
    <w:tbl>
      <w:tblPr>
        <w:tblStyle w:val="4"/>
        <w:tblW w:w="8277" w:type="dxa"/>
        <w:tblInd w:w="-13" w:type="dxa"/>
        <w:tblLayout w:type="fixed"/>
        <w:tblCellMar>
          <w:top w:w="0" w:type="dxa"/>
          <w:left w:w="108" w:type="dxa"/>
          <w:bottom w:w="0" w:type="dxa"/>
          <w:right w:w="108" w:type="dxa"/>
        </w:tblCellMar>
      </w:tblPr>
      <w:tblGrid>
        <w:gridCol w:w="1163"/>
        <w:gridCol w:w="765"/>
        <w:gridCol w:w="2283"/>
        <w:gridCol w:w="1648"/>
        <w:gridCol w:w="2418"/>
      </w:tblGrid>
      <w:tr>
        <w:tblPrEx>
          <w:tblCellMar>
            <w:top w:w="0" w:type="dxa"/>
            <w:left w:w="108" w:type="dxa"/>
            <w:bottom w:w="0" w:type="dxa"/>
            <w:right w:w="108" w:type="dxa"/>
          </w:tblCellMar>
        </w:tblPrEx>
        <w:trPr>
          <w:trHeight w:val="974" w:hRule="atLeast"/>
        </w:trPr>
        <w:tc>
          <w:tcPr>
            <w:tcW w:w="1163"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Group</w:t>
            </w:r>
          </w:p>
        </w:tc>
        <w:tc>
          <w:tcPr>
            <w:tcW w:w="765"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No.</w:t>
            </w:r>
          </w:p>
        </w:tc>
        <w:tc>
          <w:tcPr>
            <w:tcW w:w="2283"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Age</w:t>
            </w:r>
          </w:p>
          <w:p>
            <w:pPr>
              <w:spacing w:line="360" w:lineRule="auto"/>
              <w:jc w:val="center"/>
              <w:rPr>
                <w:rFonts w:ascii="Arial" w:hAnsi="Arial" w:cs="Arial"/>
                <w:sz w:val="18"/>
                <w:szCs w:val="18"/>
                <w:lang w:val="en-GB"/>
              </w:rPr>
            </w:pPr>
            <w:r>
              <w:rPr>
                <w:rFonts w:ascii="Arial" w:hAnsi="Arial" w:cs="Arial"/>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50</w:t>
            </w:r>
            <w:r>
              <w:rPr>
                <w:rFonts w:hint="eastAsia" w:ascii="Arial" w:hAnsi="Arial" w:cs="Arial"/>
                <w:kern w:val="0"/>
                <w:sz w:val="18"/>
                <w:szCs w:val="18"/>
                <w:lang w:val="en-GB"/>
              </w:rPr>
              <w:t>（</w:t>
            </w:r>
            <w:r>
              <w:rPr>
                <w:rFonts w:ascii="Arial" w:hAnsi="Arial" w:cs="Arial"/>
                <w:i/>
                <w:iCs/>
                <w:kern w:val="0"/>
                <w:sz w:val="18"/>
                <w:szCs w:val="18"/>
                <w:lang w:val="en-GB"/>
              </w:rPr>
              <w:t>P</w:t>
            </w:r>
            <w:r>
              <w:rPr>
                <w:rFonts w:ascii="Arial" w:hAnsi="Arial" w:cs="Arial"/>
                <w:kern w:val="0"/>
                <w:sz w:val="18"/>
                <w:szCs w:val="18"/>
                <w:vertAlign w:val="subscript"/>
                <w:lang w:val="en-GB"/>
              </w:rPr>
              <w:t>25</w:t>
            </w:r>
            <w:r>
              <w:rPr>
                <w:rFonts w:ascii="Arial" w:hAnsi="Arial" w:cs="Arial"/>
                <w:kern w:val="0"/>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75</w:t>
            </w:r>
            <w:r>
              <w:rPr>
                <w:rFonts w:hint="eastAsia" w:ascii="Arial" w:hAnsi="Arial" w:cs="Arial"/>
                <w:kern w:val="0"/>
                <w:sz w:val="18"/>
                <w:szCs w:val="18"/>
                <w:lang w:val="en-GB"/>
              </w:rPr>
              <w:t>）</w:t>
            </w:r>
            <w:r>
              <w:rPr>
                <w:rFonts w:ascii="Arial" w:hAnsi="Arial" w:cs="Arial"/>
                <w:kern w:val="0"/>
                <w:sz w:val="18"/>
                <w:szCs w:val="18"/>
                <w:lang w:val="en-GB"/>
              </w:rPr>
              <w:t>, month</w:t>
            </w:r>
            <w:r>
              <w:rPr>
                <w:rFonts w:ascii="Arial" w:hAnsi="Arial" w:cs="Arial"/>
                <w:sz w:val="18"/>
                <w:szCs w:val="18"/>
                <w:lang w:val="en-GB"/>
              </w:rPr>
              <w:t>]</w:t>
            </w:r>
          </w:p>
        </w:tc>
        <w:tc>
          <w:tcPr>
            <w:tcW w:w="1648"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Male/Female (patients)</w:t>
            </w:r>
          </w:p>
        </w:tc>
        <w:tc>
          <w:tcPr>
            <w:tcW w:w="2418"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Weight</w:t>
            </w:r>
          </w:p>
          <w:p>
            <w:pPr>
              <w:spacing w:line="360" w:lineRule="auto"/>
              <w:jc w:val="center"/>
              <w:rPr>
                <w:rFonts w:ascii="Arial" w:hAnsi="Arial" w:cs="Arial"/>
                <w:sz w:val="18"/>
                <w:szCs w:val="18"/>
                <w:lang w:val="en-GB"/>
              </w:rPr>
            </w:pPr>
            <w:r>
              <w:rPr>
                <w:rFonts w:ascii="Arial" w:hAnsi="Arial" w:cs="Arial"/>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50</w:t>
            </w:r>
            <w:r>
              <w:rPr>
                <w:rFonts w:hint="eastAsia" w:ascii="Arial" w:hAnsi="Arial" w:cs="Arial"/>
                <w:kern w:val="0"/>
                <w:sz w:val="18"/>
                <w:szCs w:val="18"/>
                <w:lang w:val="en-GB"/>
              </w:rPr>
              <w:t>（</w:t>
            </w:r>
            <w:r>
              <w:rPr>
                <w:rFonts w:ascii="Arial" w:hAnsi="Arial" w:cs="Arial"/>
                <w:i/>
                <w:iCs/>
                <w:kern w:val="0"/>
                <w:sz w:val="18"/>
                <w:szCs w:val="18"/>
                <w:lang w:val="en-GB"/>
              </w:rPr>
              <w:t>P</w:t>
            </w:r>
            <w:r>
              <w:rPr>
                <w:rFonts w:ascii="Arial" w:hAnsi="Arial" w:cs="Arial"/>
                <w:kern w:val="0"/>
                <w:sz w:val="18"/>
                <w:szCs w:val="18"/>
                <w:vertAlign w:val="subscript"/>
                <w:lang w:val="en-GB"/>
              </w:rPr>
              <w:t>25</w:t>
            </w:r>
            <w:r>
              <w:rPr>
                <w:rFonts w:ascii="Arial" w:hAnsi="Arial" w:cs="Arial"/>
                <w:kern w:val="0"/>
                <w:sz w:val="18"/>
                <w:szCs w:val="18"/>
                <w:lang w:val="en-GB"/>
              </w:rPr>
              <w:t xml:space="preserve">, </w:t>
            </w:r>
            <w:r>
              <w:rPr>
                <w:rFonts w:ascii="Arial" w:hAnsi="Arial" w:cs="Arial"/>
                <w:i/>
                <w:iCs/>
                <w:kern w:val="0"/>
                <w:sz w:val="18"/>
                <w:szCs w:val="18"/>
                <w:lang w:val="en-GB"/>
              </w:rPr>
              <w:t>P</w:t>
            </w:r>
            <w:r>
              <w:rPr>
                <w:rFonts w:ascii="Arial" w:hAnsi="Arial" w:cs="Arial"/>
                <w:kern w:val="0"/>
                <w:sz w:val="18"/>
                <w:szCs w:val="18"/>
                <w:vertAlign w:val="subscript"/>
                <w:lang w:val="en-GB"/>
              </w:rPr>
              <w:t>75</w:t>
            </w:r>
            <w:r>
              <w:rPr>
                <w:rFonts w:hint="eastAsia" w:ascii="Arial" w:hAnsi="Arial" w:cs="Arial"/>
                <w:kern w:val="0"/>
                <w:sz w:val="18"/>
                <w:szCs w:val="18"/>
                <w:lang w:val="en-GB"/>
              </w:rPr>
              <w:t>）</w:t>
            </w:r>
            <w:r>
              <w:rPr>
                <w:rFonts w:ascii="Arial" w:hAnsi="Arial" w:cs="Arial"/>
                <w:kern w:val="0"/>
                <w:sz w:val="18"/>
                <w:szCs w:val="18"/>
                <w:lang w:val="en-GB"/>
              </w:rPr>
              <w:t>, kg]</w:t>
            </w:r>
          </w:p>
        </w:tc>
      </w:tr>
      <w:tr>
        <w:tblPrEx>
          <w:tblCellMar>
            <w:top w:w="0" w:type="dxa"/>
            <w:left w:w="108" w:type="dxa"/>
            <w:bottom w:w="0" w:type="dxa"/>
            <w:right w:w="108" w:type="dxa"/>
          </w:tblCellMar>
        </w:tblPrEx>
        <w:trPr>
          <w:trHeight w:val="1242" w:hRule="atLeast"/>
        </w:trPr>
        <w:tc>
          <w:tcPr>
            <w:tcW w:w="1163" w:type="dxa"/>
            <w:tcBorders>
              <w:top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HFNC success group</w:t>
            </w:r>
          </w:p>
        </w:tc>
        <w:tc>
          <w:tcPr>
            <w:tcW w:w="765" w:type="dxa"/>
            <w:tcBorders>
              <w:top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237</w:t>
            </w:r>
          </w:p>
        </w:tc>
        <w:tc>
          <w:tcPr>
            <w:tcW w:w="2283" w:type="dxa"/>
            <w:tcBorders>
              <w:top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6</w:t>
            </w:r>
            <w:r>
              <w:rPr>
                <w:rFonts w:hint="eastAsia" w:ascii="Arial" w:hAnsi="Arial" w:cs="Arial"/>
                <w:sz w:val="18"/>
                <w:szCs w:val="18"/>
                <w:lang w:val="en-GB"/>
              </w:rPr>
              <w:t>（</w:t>
            </w:r>
            <w:r>
              <w:rPr>
                <w:rFonts w:ascii="Arial" w:hAnsi="Arial" w:cs="Arial"/>
                <w:sz w:val="18"/>
                <w:szCs w:val="18"/>
                <w:lang w:val="en-GB"/>
              </w:rPr>
              <w:t>2, 18</w:t>
            </w:r>
            <w:r>
              <w:rPr>
                <w:rFonts w:hint="eastAsia" w:ascii="Arial" w:hAnsi="Arial" w:cs="Arial"/>
                <w:sz w:val="18"/>
                <w:szCs w:val="18"/>
                <w:lang w:val="en-GB"/>
              </w:rPr>
              <w:t>）</w:t>
            </w:r>
          </w:p>
        </w:tc>
        <w:tc>
          <w:tcPr>
            <w:tcW w:w="1648" w:type="dxa"/>
            <w:tcBorders>
              <w:top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132/105</w:t>
            </w:r>
          </w:p>
        </w:tc>
        <w:tc>
          <w:tcPr>
            <w:tcW w:w="2418" w:type="dxa"/>
            <w:tcBorders>
              <w:top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7.00</w:t>
            </w:r>
            <w:r>
              <w:rPr>
                <w:rFonts w:hint="eastAsia" w:ascii="Arial" w:hAnsi="Arial" w:cs="Arial"/>
                <w:sz w:val="18"/>
                <w:szCs w:val="18"/>
                <w:lang w:val="en-GB"/>
              </w:rPr>
              <w:t>（</w:t>
            </w:r>
            <w:r>
              <w:rPr>
                <w:rFonts w:ascii="Arial" w:hAnsi="Arial" w:cs="Arial"/>
                <w:sz w:val="18"/>
                <w:szCs w:val="18"/>
                <w:lang w:val="en-GB"/>
              </w:rPr>
              <w:t>4.95, 10.60</w:t>
            </w:r>
            <w:r>
              <w:rPr>
                <w:rFonts w:hint="eastAsia" w:ascii="Arial" w:hAnsi="Arial" w:cs="Arial"/>
                <w:sz w:val="18"/>
                <w:szCs w:val="18"/>
                <w:lang w:val="en-GB"/>
              </w:rPr>
              <w:t>）</w:t>
            </w:r>
          </w:p>
        </w:tc>
      </w:tr>
      <w:tr>
        <w:tblPrEx>
          <w:tblCellMar>
            <w:top w:w="0" w:type="dxa"/>
            <w:left w:w="108" w:type="dxa"/>
            <w:bottom w:w="0" w:type="dxa"/>
            <w:right w:w="108" w:type="dxa"/>
          </w:tblCellMar>
        </w:tblPrEx>
        <w:trPr>
          <w:trHeight w:val="964" w:hRule="atLeast"/>
        </w:trPr>
        <w:tc>
          <w:tcPr>
            <w:tcW w:w="1163"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2 h failure group</w:t>
            </w:r>
          </w:p>
        </w:tc>
        <w:tc>
          <w:tcPr>
            <w:tcW w:w="765"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24</w:t>
            </w:r>
          </w:p>
        </w:tc>
        <w:tc>
          <w:tcPr>
            <w:tcW w:w="2283"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9</w:t>
            </w:r>
            <w:r>
              <w:rPr>
                <w:rFonts w:hint="eastAsia" w:ascii="Arial" w:hAnsi="Arial" w:cs="Arial"/>
                <w:sz w:val="18"/>
                <w:szCs w:val="18"/>
                <w:lang w:val="en-GB"/>
              </w:rPr>
              <w:t>（</w:t>
            </w:r>
            <w:r>
              <w:rPr>
                <w:rFonts w:ascii="Arial" w:hAnsi="Arial" w:cs="Arial"/>
                <w:sz w:val="18"/>
                <w:szCs w:val="18"/>
                <w:lang w:val="en-GB"/>
              </w:rPr>
              <w:t>2,46</w:t>
            </w:r>
            <w:r>
              <w:rPr>
                <w:rFonts w:hint="eastAsia" w:ascii="Arial" w:hAnsi="Arial" w:cs="Arial"/>
                <w:sz w:val="18"/>
                <w:szCs w:val="18"/>
                <w:lang w:val="en-GB"/>
              </w:rPr>
              <w:t>）</w:t>
            </w:r>
          </w:p>
        </w:tc>
        <w:tc>
          <w:tcPr>
            <w:tcW w:w="1648"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13/11</w:t>
            </w:r>
          </w:p>
        </w:tc>
        <w:tc>
          <w:tcPr>
            <w:tcW w:w="2418"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7.75</w:t>
            </w:r>
            <w:r>
              <w:rPr>
                <w:rFonts w:hint="eastAsia" w:ascii="Arial" w:hAnsi="Arial" w:cs="Arial"/>
                <w:sz w:val="18"/>
                <w:szCs w:val="18"/>
                <w:lang w:val="en-GB"/>
              </w:rPr>
              <w:t>（</w:t>
            </w:r>
            <w:r>
              <w:rPr>
                <w:rFonts w:ascii="Arial" w:hAnsi="Arial" w:cs="Arial"/>
                <w:sz w:val="18"/>
                <w:szCs w:val="18"/>
                <w:lang w:val="en-GB"/>
              </w:rPr>
              <w:t>4.45,14.75</w:t>
            </w:r>
            <w:r>
              <w:rPr>
                <w:rFonts w:hint="eastAsia" w:ascii="Arial" w:hAnsi="Arial" w:cs="Arial"/>
                <w:sz w:val="18"/>
                <w:szCs w:val="18"/>
                <w:lang w:val="en-GB"/>
              </w:rPr>
              <w:t>）</w:t>
            </w:r>
          </w:p>
        </w:tc>
      </w:tr>
      <w:tr>
        <w:tblPrEx>
          <w:tblCellMar>
            <w:top w:w="0" w:type="dxa"/>
            <w:left w:w="108" w:type="dxa"/>
            <w:bottom w:w="0" w:type="dxa"/>
            <w:right w:w="108" w:type="dxa"/>
          </w:tblCellMar>
        </w:tblPrEx>
        <w:trPr>
          <w:trHeight w:val="644" w:hRule="atLeast"/>
        </w:trPr>
        <w:tc>
          <w:tcPr>
            <w:tcW w:w="1163"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i/>
                <w:sz w:val="18"/>
                <w:szCs w:val="18"/>
                <w:lang w:val="en-GB"/>
              </w:rPr>
              <w:t>U</w:t>
            </w:r>
            <w:r>
              <w:rPr>
                <w:rFonts w:hint="eastAsia" w:ascii="Arial" w:hAnsi="Arial" w:cs="Arial"/>
                <w:sz w:val="18"/>
                <w:szCs w:val="18"/>
                <w:lang w:val="en-GB"/>
              </w:rPr>
              <w:t>（</w:t>
            </w:r>
            <w:r>
              <w:rPr>
                <w:rFonts w:ascii="Arial" w:hAnsi="Arial" w:cs="Arial"/>
                <w:i/>
                <w:sz w:val="18"/>
                <w:szCs w:val="18"/>
                <w:lang w:val="en-GB"/>
              </w:rPr>
              <w:t>x</w:t>
            </w:r>
            <w:r>
              <w:rPr>
                <w:rFonts w:hint="eastAsia" w:ascii="Arial" w:hAnsi="Arial" w:cs="Arial"/>
                <w:i/>
                <w:sz w:val="18"/>
                <w:szCs w:val="18"/>
                <w:lang w:val="en-GB"/>
              </w:rPr>
              <w:t>）</w:t>
            </w:r>
            <w:r>
              <w:rPr>
                <w:rFonts w:ascii="Arial" w:hAnsi="Arial" w:cs="Arial"/>
                <w:sz w:val="18"/>
                <w:szCs w:val="18"/>
                <w:vertAlign w:val="superscript"/>
                <w:lang w:val="en-GB"/>
              </w:rPr>
              <w:t xml:space="preserve">2 </w:t>
            </w:r>
            <w:r>
              <w:rPr>
                <w:rFonts w:ascii="Arial" w:hAnsi="Arial" w:cs="Arial"/>
                <w:sz w:val="18"/>
                <w:szCs w:val="18"/>
                <w:lang w:val="en-GB"/>
              </w:rPr>
              <w:t>value</w:t>
            </w:r>
          </w:p>
        </w:tc>
        <w:tc>
          <w:tcPr>
            <w:tcW w:w="765"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p>
        </w:tc>
        <w:tc>
          <w:tcPr>
            <w:tcW w:w="2283"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-0.665</w:t>
            </w:r>
          </w:p>
        </w:tc>
        <w:tc>
          <w:tcPr>
            <w:tcW w:w="1648"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0.021</w:t>
            </w:r>
            <w:r>
              <w:rPr>
                <w:rFonts w:hint="eastAsia" w:ascii="Arial" w:hAnsi="Arial" w:cs="Arial"/>
                <w:sz w:val="18"/>
                <w:szCs w:val="18"/>
                <w:lang w:val="en-GB"/>
              </w:rPr>
              <w:t>）</w:t>
            </w:r>
          </w:p>
        </w:tc>
        <w:tc>
          <w:tcPr>
            <w:tcW w:w="2418" w:type="dxa"/>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-0.289</w:t>
            </w:r>
          </w:p>
        </w:tc>
      </w:tr>
      <w:tr>
        <w:tblPrEx>
          <w:tblCellMar>
            <w:top w:w="0" w:type="dxa"/>
            <w:left w:w="108" w:type="dxa"/>
            <w:bottom w:w="0" w:type="dxa"/>
            <w:right w:w="108" w:type="dxa"/>
          </w:tblCellMar>
        </w:tblPrEx>
        <w:trPr>
          <w:trHeight w:val="674" w:hRule="atLeast"/>
        </w:trPr>
        <w:tc>
          <w:tcPr>
            <w:tcW w:w="1163"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i/>
                <w:sz w:val="18"/>
                <w:szCs w:val="18"/>
                <w:lang w:val="en-GB"/>
              </w:rPr>
              <w:t>P</w:t>
            </w:r>
            <w:r>
              <w:rPr>
                <w:rFonts w:ascii="Arial" w:hAnsi="Arial" w:cs="Arial"/>
                <w:sz w:val="18"/>
                <w:szCs w:val="18"/>
                <w:lang w:val="en-GB"/>
              </w:rPr>
              <w:t xml:space="preserve"> value</w:t>
            </w:r>
          </w:p>
        </w:tc>
        <w:tc>
          <w:tcPr>
            <w:tcW w:w="765"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p>
        </w:tc>
        <w:tc>
          <w:tcPr>
            <w:tcW w:w="2283"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0.506</w:t>
            </w:r>
          </w:p>
        </w:tc>
        <w:tc>
          <w:tcPr>
            <w:tcW w:w="1648"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0.886</w:t>
            </w:r>
          </w:p>
        </w:tc>
        <w:tc>
          <w:tcPr>
            <w:tcW w:w="2418"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0.772</w:t>
            </w:r>
          </w:p>
        </w:tc>
      </w:tr>
    </w:tbl>
    <w:p>
      <w:pPr>
        <w:spacing w:line="360" w:lineRule="auto"/>
        <w:jc w:val="left"/>
        <w:rPr>
          <w:rFonts w:ascii="Times New Roman" w:hAnsi="Times New Roman"/>
          <w:szCs w:val="21"/>
          <w:lang w:val="en-GB"/>
        </w:rPr>
      </w:pPr>
      <w:r>
        <w:rPr>
          <w:rFonts w:ascii="宋体" w:hAnsi="宋体"/>
          <w:szCs w:val="21"/>
          <w:lang w:val="en-GB"/>
        </w:rPr>
        <w:t>(2)</w:t>
      </w:r>
      <w:r>
        <w:rPr>
          <w:rFonts w:ascii="Times New Roman" w:hAnsi="Times New Roman"/>
          <w:szCs w:val="21"/>
          <w:lang w:val="en-GB"/>
        </w:rPr>
        <w:t xml:space="preserve"> Common clinical indexes and blood gas analysis results affecting the respiratory support</w:t>
      </w:r>
      <w:r>
        <w:rPr>
          <w:rFonts w:hint="eastAsia" w:ascii="Times New Roman" w:hAnsi="Times New Roman"/>
          <w:szCs w:val="21"/>
          <w:lang w:val="en-GB"/>
        </w:rPr>
        <w:t xml:space="preserve"> </w:t>
      </w:r>
      <w:r>
        <w:rPr>
          <w:rFonts w:ascii="Times New Roman" w:hAnsi="Times New Roman"/>
          <w:szCs w:val="21"/>
          <w:lang w:val="en-GB"/>
        </w:rPr>
        <w:t>mode</w:t>
      </w:r>
    </w:p>
    <w:p>
      <w:pPr>
        <w:spacing w:line="360" w:lineRule="auto"/>
        <w:rPr>
          <w:rFonts w:ascii="Times New Roman" w:hAnsi="Times New Roman"/>
          <w:szCs w:val="21"/>
          <w:lang w:val="en-GB"/>
        </w:rPr>
      </w:pPr>
      <w:r>
        <w:rPr>
          <w:rFonts w:ascii="Times New Roman" w:hAnsi="Times New Roman"/>
          <w:szCs w:val="21"/>
          <w:lang w:val="en-GB"/>
        </w:rPr>
        <w:t>The clinical indexes and blood gas analysis results of the two groups of pediatric patients are shown in Table</w:t>
      </w:r>
      <w:bookmarkStart w:id="2" w:name="_GoBack"/>
      <w:bookmarkEnd w:id="2"/>
      <w:r>
        <w:rPr>
          <w:rFonts w:ascii="Times New Roman" w:hAnsi="Times New Roman"/>
          <w:szCs w:val="21"/>
          <w:lang w:val="en-GB"/>
        </w:rPr>
        <w:t xml:space="preserve"> </w:t>
      </w:r>
      <w:r>
        <w:rPr>
          <w:rFonts w:hint="eastAsia" w:ascii="Times New Roman" w:hAnsi="Times New Roman"/>
          <w:szCs w:val="21"/>
          <w:lang w:val="en-GB"/>
        </w:rPr>
        <w:t>6</w:t>
      </w:r>
      <w:r>
        <w:rPr>
          <w:rFonts w:ascii="Times New Roman" w:hAnsi="Times New Roman"/>
          <w:szCs w:val="21"/>
          <w:lang w:val="en-GB"/>
        </w:rPr>
        <w:t>. The GCS score, pH value and oxygenation index of the HFNC 2 h failure group were lower than those of the success group, while the PRISM III score, CRP and PaCO</w:t>
      </w:r>
      <w:r>
        <w:rPr>
          <w:rFonts w:ascii="Times New Roman" w:hAnsi="Times New Roman"/>
          <w:szCs w:val="21"/>
          <w:vertAlign w:val="subscript"/>
          <w:lang w:val="en-GB"/>
        </w:rPr>
        <w:t>2</w:t>
      </w:r>
      <w:r>
        <w:rPr>
          <w:rFonts w:ascii="Times New Roman" w:hAnsi="Times New Roman"/>
          <w:szCs w:val="21"/>
          <w:lang w:val="en-GB"/>
        </w:rPr>
        <w:t>/PaO</w:t>
      </w:r>
      <w:r>
        <w:rPr>
          <w:rFonts w:ascii="Times New Roman" w:hAnsi="Times New Roman"/>
          <w:szCs w:val="21"/>
          <w:vertAlign w:val="subscript"/>
          <w:lang w:val="en-GB"/>
        </w:rPr>
        <w:t>2</w:t>
      </w:r>
      <w:r>
        <w:rPr>
          <w:rFonts w:ascii="Times New Roman" w:hAnsi="Times New Roman"/>
          <w:szCs w:val="21"/>
          <w:lang w:val="en-GB"/>
        </w:rPr>
        <w:t xml:space="preserve"> ratio were higher than those of the success group. The differences between the two groups were statistically significant (</w:t>
      </w:r>
      <w:r>
        <w:rPr>
          <w:rFonts w:ascii="Times New Roman" w:hAnsi="Times New Roman"/>
          <w:i/>
          <w:szCs w:val="21"/>
          <w:lang w:val="en-GB"/>
        </w:rPr>
        <w:t>P</w:t>
      </w:r>
      <w:r>
        <w:rPr>
          <w:rFonts w:ascii="Times New Roman" w:hAnsi="Times New Roman"/>
          <w:szCs w:val="21"/>
          <w:lang w:val="en-GB"/>
        </w:rPr>
        <w:t>&lt;0.05).However,there was no significant difference in SpO</w:t>
      </w:r>
      <w:r>
        <w:rPr>
          <w:rFonts w:ascii="Times New Roman" w:hAnsi="Times New Roman"/>
          <w:szCs w:val="21"/>
          <w:vertAlign w:val="subscript"/>
          <w:lang w:val="en-GB"/>
        </w:rPr>
        <w:t>2</w:t>
      </w:r>
      <w:r>
        <w:rPr>
          <w:rFonts w:ascii="Times New Roman" w:hAnsi="Times New Roman"/>
          <w:szCs w:val="21"/>
          <w:lang w:val="en-GB"/>
        </w:rPr>
        <w:t>, PCT, LAC or PaO</w:t>
      </w:r>
      <w:r>
        <w:rPr>
          <w:rFonts w:ascii="Times New Roman" w:hAnsi="Times New Roman"/>
          <w:szCs w:val="21"/>
          <w:vertAlign w:val="subscript"/>
          <w:lang w:val="en-GB"/>
        </w:rPr>
        <w:t>2</w:t>
      </w:r>
      <w:r>
        <w:rPr>
          <w:rFonts w:ascii="Times New Roman" w:hAnsi="Times New Roman"/>
          <w:szCs w:val="21"/>
          <w:lang w:val="en-GB"/>
        </w:rPr>
        <w:t xml:space="preserve"> between the two groups (</w:t>
      </w:r>
      <w:r>
        <w:rPr>
          <w:rFonts w:ascii="Times New Roman" w:hAnsi="Times New Roman"/>
          <w:i/>
          <w:szCs w:val="21"/>
          <w:lang w:val="en-GB"/>
        </w:rPr>
        <w:t>P</w:t>
      </w:r>
      <w:r>
        <w:rPr>
          <w:rFonts w:ascii="Times New Roman" w:hAnsi="Times New Roman"/>
          <w:szCs w:val="21"/>
          <w:lang w:val="en-GB"/>
        </w:rPr>
        <w:t>&gt;0.05).</w:t>
      </w:r>
      <w:r>
        <w:rPr>
          <w:rFonts w:ascii="Times New Roman" w:hAnsi="Times New Roman"/>
          <w:bCs/>
          <w:color w:val="000000"/>
          <w:szCs w:val="21"/>
          <w:lang w:val="en-GB"/>
        </w:rPr>
        <w:t>The differences with the 48 h or 24 h failure groups were mainly about PaCO</w:t>
      </w:r>
      <w:r>
        <w:rPr>
          <w:rFonts w:ascii="Times New Roman" w:hAnsi="Times New Roman"/>
          <w:bCs/>
          <w:color w:val="000000"/>
          <w:szCs w:val="21"/>
          <w:vertAlign w:val="subscript"/>
          <w:lang w:val="en-GB"/>
        </w:rPr>
        <w:t>2</w:t>
      </w:r>
      <w:r>
        <w:rPr>
          <w:rFonts w:ascii="Times New Roman" w:hAnsi="Times New Roman"/>
          <w:bCs/>
          <w:color w:val="000000"/>
          <w:szCs w:val="21"/>
          <w:lang w:val="en-GB"/>
        </w:rPr>
        <w:t>,CRP and PCT</w:t>
      </w:r>
      <w:r>
        <w:rPr>
          <w:rFonts w:hint="eastAsia" w:ascii="Times New Roman" w:hAnsi="Times New Roman"/>
          <w:bCs/>
          <w:color w:val="000000"/>
          <w:szCs w:val="21"/>
          <w:lang w:val="en-US" w:eastAsia="zh-CN"/>
        </w:rPr>
        <w:t>.</w:t>
      </w:r>
      <w:r>
        <w:rPr>
          <w:rFonts w:ascii="Times New Roman" w:hAnsi="Times New Roman"/>
          <w:bCs/>
          <w:color w:val="000000"/>
          <w:szCs w:val="21"/>
          <w:lang w:val="en-GB"/>
        </w:rPr>
        <w:t>It was suspected that the</w:t>
      </w:r>
      <w:r>
        <w:rPr>
          <w:rFonts w:ascii="Times New Roman" w:hAnsi="Times New Roman"/>
          <w:szCs w:val="21"/>
          <w:lang w:val="en-GB"/>
        </w:rPr>
        <w:t>re was less possibility of clinicians choosing HFNC first when PaCO</w:t>
      </w:r>
      <w:r>
        <w:rPr>
          <w:rFonts w:ascii="Times New Roman" w:hAnsi="Times New Roman"/>
          <w:szCs w:val="21"/>
          <w:vertAlign w:val="subscript"/>
          <w:lang w:val="en-GB"/>
        </w:rPr>
        <w:t xml:space="preserve">2 </w:t>
      </w:r>
      <w:r>
        <w:rPr>
          <w:rFonts w:ascii="Times New Roman" w:hAnsi="Times New Roman"/>
          <w:szCs w:val="21"/>
          <w:lang w:val="en-GB"/>
        </w:rPr>
        <w:t>increased</w:t>
      </w:r>
      <w:r>
        <w:rPr>
          <w:rFonts w:hint="eastAsia" w:ascii="Times New Roman" w:hAnsi="Times New Roman"/>
          <w:szCs w:val="21"/>
          <w:lang w:val="en-US" w:eastAsia="zh-CN"/>
        </w:rPr>
        <w:t>.</w:t>
      </w:r>
      <w:r>
        <w:rPr>
          <w:rFonts w:ascii="Times New Roman" w:hAnsi="Times New Roman"/>
          <w:szCs w:val="21"/>
          <w:lang w:val="en-GB"/>
        </w:rPr>
        <w:t>Therefore</w:t>
      </w:r>
      <w:r>
        <w:rPr>
          <w:rFonts w:hint="eastAsia" w:ascii="Times New Roman" w:hAnsi="Times New Roman"/>
          <w:szCs w:val="21"/>
          <w:lang w:val="en-US" w:eastAsia="zh-CN"/>
        </w:rPr>
        <w:t>,</w:t>
      </w:r>
      <w:r>
        <w:rPr>
          <w:rFonts w:ascii="Times New Roman" w:hAnsi="Times New Roman"/>
          <w:szCs w:val="21"/>
          <w:lang w:val="en-GB"/>
        </w:rPr>
        <w:t>PaCO</w:t>
      </w:r>
      <w:r>
        <w:rPr>
          <w:rFonts w:ascii="Times New Roman" w:hAnsi="Times New Roman"/>
          <w:szCs w:val="21"/>
          <w:vertAlign w:val="subscript"/>
          <w:lang w:val="en-GB"/>
        </w:rPr>
        <w:t>2</w:t>
      </w:r>
      <w:r>
        <w:rPr>
          <w:rFonts w:ascii="Times New Roman" w:hAnsi="Times New Roman"/>
          <w:szCs w:val="21"/>
          <w:lang w:val="en-GB"/>
        </w:rPr>
        <w:t xml:space="preserve"> showed no difference between the HFNC success group and the 2 h failure group.Nevertheless, in the 48 h and 24 h failure groups,multivariate logistic regression analysis showed that when PaCO</w:t>
      </w:r>
      <w:r>
        <w:rPr>
          <w:rFonts w:ascii="Times New Roman" w:hAnsi="Times New Roman"/>
          <w:szCs w:val="21"/>
          <w:vertAlign w:val="subscript"/>
          <w:lang w:val="en-GB"/>
        </w:rPr>
        <w:t>2</w:t>
      </w:r>
      <w:r>
        <w:rPr>
          <w:rFonts w:hint="eastAsia" w:ascii="Times New Roman" w:hAnsi="Times New Roman"/>
          <w:szCs w:val="21"/>
          <w:vertAlign w:val="subscript"/>
          <w:lang w:val="en-US" w:eastAsia="zh-CN"/>
        </w:rPr>
        <w:t xml:space="preserve"> </w:t>
      </w:r>
      <w:r>
        <w:rPr>
          <w:rFonts w:ascii="Times New Roman" w:hAnsi="Times New Roman"/>
          <w:szCs w:val="21"/>
          <w:lang w:val="en-GB"/>
        </w:rPr>
        <w:t>&gt;43 mmHg,the risk of HFNC increased.Hence,the choice of HFNC as respiratory support for children with hypercapnia should be made cautiously.The higher the values of CRP and PCT, which are indicators of the inflammatory response,the shorter the time of failure was,but not all the differences were statistically significant.Normally pediatric patients with inflammation or organ damage tended to have a more serious condition,faster progress,and then maybe an early HFNC failure time.Therefore,CRP and PCT might be a risk factor for the failure of HFNC,which deserves further research.</w:t>
      </w:r>
    </w:p>
    <w:p>
      <w:pPr>
        <w:spacing w:line="360" w:lineRule="auto"/>
        <w:jc w:val="left"/>
        <w:rPr>
          <w:rFonts w:ascii="Arial" w:hAnsi="Arial" w:cs="Arial"/>
          <w:bCs/>
          <w:sz w:val="18"/>
          <w:szCs w:val="18"/>
          <w:lang w:val="en-GB"/>
        </w:rPr>
      </w:pPr>
      <w:r>
        <w:rPr>
          <w:rFonts w:ascii="Arial" w:hAnsi="Arial" w:cs="Arial"/>
          <w:bCs/>
          <w:sz w:val="18"/>
          <w:szCs w:val="18"/>
          <w:lang w:val="en-GB"/>
        </w:rPr>
        <w:t xml:space="preserve">Table </w:t>
      </w:r>
      <w:r>
        <w:rPr>
          <w:rFonts w:hint="eastAsia" w:ascii="Arial" w:hAnsi="Arial" w:cs="Arial"/>
          <w:bCs/>
          <w:sz w:val="18"/>
          <w:szCs w:val="18"/>
          <w:lang w:val="en-GB"/>
        </w:rPr>
        <w:t>6</w:t>
      </w:r>
      <w:r>
        <w:rPr>
          <w:rFonts w:ascii="Arial" w:hAnsi="Arial" w:cs="Arial"/>
          <w:bCs/>
          <w:sz w:val="18"/>
          <w:szCs w:val="18"/>
          <w:lang w:val="en-GB"/>
        </w:rPr>
        <w:t xml:space="preserve"> </w:t>
      </w:r>
      <w:r>
        <w:rPr>
          <w:rFonts w:ascii="Arial" w:hAnsi="Arial" w:cs="Arial"/>
          <w:sz w:val="18"/>
          <w:szCs w:val="18"/>
          <w:lang w:val="en-GB"/>
        </w:rPr>
        <w:t>Comparison of the Clinical Indexes and the blood gas analysis in the high-flow nasal cannula oxygen therapy Success Group and the 2 h Failure Group</w:t>
      </w:r>
    </w:p>
    <w:tbl>
      <w:tblPr>
        <w:tblStyle w:val="4"/>
        <w:tblW w:w="8097" w:type="dxa"/>
        <w:jc w:val="center"/>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1"/>
        <w:gridCol w:w="1917"/>
        <w:gridCol w:w="1781"/>
        <w:gridCol w:w="1096"/>
        <w:gridCol w:w="822"/>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PrEx>
        <w:trPr>
          <w:trHeight w:val="1095" w:hRule="atLeast"/>
          <w:jc w:val="center"/>
        </w:trPr>
        <w:tc>
          <w:tcPr>
            <w:tcW w:w="2481"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p>
        </w:tc>
        <w:tc>
          <w:tcPr>
            <w:tcW w:w="1917"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HFNC success group </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n=237</w:t>
            </w:r>
            <w:r>
              <w:rPr>
                <w:rFonts w:hint="eastAsia" w:ascii="Arial" w:hAnsi="Arial" w:cs="Arial"/>
                <w:sz w:val="18"/>
                <w:szCs w:val="18"/>
                <w:lang w:val="en-GB"/>
              </w:rPr>
              <w:t>）</w:t>
            </w:r>
          </w:p>
        </w:tc>
        <w:tc>
          <w:tcPr>
            <w:tcW w:w="1781"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 h failure group (n=24)</w:t>
            </w:r>
          </w:p>
        </w:tc>
        <w:tc>
          <w:tcPr>
            <w:tcW w:w="1096" w:type="dxa"/>
            <w:tcBorders>
              <w:top w:val="single" w:color="auto" w:sz="4" w:space="0"/>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i/>
                <w:sz w:val="18"/>
                <w:szCs w:val="18"/>
                <w:lang w:val="en-GB"/>
              </w:rPr>
              <w:t xml:space="preserve">U </w:t>
            </w:r>
            <w:r>
              <w:rPr>
                <w:rFonts w:ascii="Arial" w:hAnsi="Arial" w:cs="Arial"/>
                <w:iCs/>
                <w:sz w:val="18"/>
                <w:szCs w:val="18"/>
                <w:lang w:val="en-GB"/>
              </w:rPr>
              <w:t>value</w:t>
            </w:r>
          </w:p>
        </w:tc>
        <w:tc>
          <w:tcPr>
            <w:tcW w:w="822" w:type="dxa"/>
            <w:tcBorders>
              <w:top w:val="single" w:color="auto" w:sz="4" w:space="0"/>
              <w:bottom w:val="single" w:color="auto" w:sz="4" w:space="0"/>
            </w:tcBorders>
            <w:noWrap w:val="0"/>
            <w:vAlign w:val="center"/>
          </w:tcPr>
          <w:p>
            <w:pPr>
              <w:spacing w:line="360" w:lineRule="auto"/>
              <w:jc w:val="center"/>
              <w:rPr>
                <w:rFonts w:ascii="Arial" w:hAnsi="Arial" w:cs="Arial"/>
                <w:i/>
                <w:iCs/>
                <w:sz w:val="18"/>
                <w:szCs w:val="18"/>
                <w:lang w:val="en-GB"/>
              </w:rPr>
            </w:pPr>
            <w:r>
              <w:rPr>
                <w:rFonts w:ascii="Arial" w:hAnsi="Arial" w:cs="Arial"/>
                <w:i/>
                <w:iCs/>
                <w:sz w:val="18"/>
                <w:szCs w:val="18"/>
                <w:lang w:val="en-GB"/>
              </w:rPr>
              <w:t xml:space="preserve">P </w:t>
            </w:r>
          </w:p>
          <w:p>
            <w:pPr>
              <w:spacing w:line="360" w:lineRule="auto"/>
              <w:jc w:val="center"/>
              <w:rPr>
                <w:rFonts w:ascii="Arial" w:hAnsi="Arial" w:cs="Arial"/>
                <w:iCs/>
                <w:sz w:val="18"/>
                <w:szCs w:val="18"/>
                <w:lang w:val="en-GB"/>
              </w:rPr>
            </w:pPr>
            <w:r>
              <w:rPr>
                <w:rFonts w:ascii="Arial" w:hAnsi="Arial" w:cs="Arial"/>
                <w:iCs/>
                <w:sz w:val="18"/>
                <w:szCs w:val="18"/>
                <w:lang w:val="en-GB"/>
              </w:rPr>
              <w:t>value</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jc w:val="center"/>
        </w:trPr>
        <w:tc>
          <w:tcPr>
            <w:tcW w:w="2481" w:type="dxa"/>
            <w:tcBorders>
              <w:top w:val="single" w:color="auto" w:sz="4" w:space="0"/>
              <w:bottom w:val="nil"/>
            </w:tcBorders>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Sp0</w:t>
            </w:r>
            <w:r>
              <w:rPr>
                <w:rFonts w:ascii="Arial" w:hAnsi="Arial" w:cs="Arial"/>
                <w:sz w:val="18"/>
                <w:szCs w:val="18"/>
                <w:vertAlign w:val="subscript"/>
                <w:lang w:val="en-GB"/>
              </w:rPr>
              <w:t>2</w:t>
            </w:r>
          </w:p>
          <w:p>
            <w:pPr>
              <w:spacing w:line="360" w:lineRule="auto"/>
              <w:jc w:val="center"/>
              <w:rPr>
                <w:rFonts w:ascii="Arial" w:hAnsi="Arial" w:cs="Arial"/>
                <w:sz w:val="18"/>
                <w:szCs w:val="18"/>
                <w:vertAlign w:val="subscript"/>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w:t>
            </w:r>
          </w:p>
        </w:tc>
        <w:tc>
          <w:tcPr>
            <w:tcW w:w="1917" w:type="dxa"/>
            <w:tcBorders>
              <w:top w:val="single" w:color="auto" w:sz="4" w:space="0"/>
              <w:bottom w:val="nil"/>
            </w:tcBorders>
            <w:noWrap w:val="0"/>
            <w:vAlign w:val="center"/>
          </w:tcPr>
          <w:p>
            <w:pPr>
              <w:spacing w:line="360" w:lineRule="auto"/>
              <w:ind w:firstLine="540" w:firstLineChars="300"/>
              <w:rPr>
                <w:rFonts w:ascii="Arial" w:hAnsi="Arial" w:cs="Arial"/>
                <w:sz w:val="18"/>
                <w:szCs w:val="18"/>
                <w:lang w:val="en-GB"/>
              </w:rPr>
            </w:pPr>
            <w:r>
              <w:rPr>
                <w:rFonts w:ascii="Arial" w:hAnsi="Arial" w:cs="Arial"/>
                <w:sz w:val="18"/>
                <w:szCs w:val="18"/>
                <w:lang w:val="en-GB"/>
              </w:rPr>
              <w:t>95.00</w:t>
            </w:r>
          </w:p>
          <w:p>
            <w:pPr>
              <w:spacing w:line="360" w:lineRule="auto"/>
              <w:ind w:firstLine="180" w:firstLineChars="100"/>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90.00, 97.00</w:t>
            </w:r>
            <w:r>
              <w:rPr>
                <w:rFonts w:hint="eastAsia" w:ascii="Arial" w:hAnsi="Arial" w:cs="Arial"/>
                <w:sz w:val="18"/>
                <w:szCs w:val="18"/>
                <w:lang w:val="en-GB"/>
              </w:rPr>
              <w:t>）</w:t>
            </w:r>
          </w:p>
        </w:tc>
        <w:tc>
          <w:tcPr>
            <w:tcW w:w="1781" w:type="dxa"/>
            <w:tcBorders>
              <w:top w:val="single" w:color="auto" w:sz="4" w:space="0"/>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95.00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84.00, 97.00</w:t>
            </w:r>
            <w:r>
              <w:rPr>
                <w:rFonts w:hint="eastAsia" w:ascii="Arial" w:hAnsi="Arial" w:cs="Arial"/>
                <w:sz w:val="18"/>
                <w:szCs w:val="18"/>
                <w:lang w:val="en-GB"/>
              </w:rPr>
              <w:t>）</w:t>
            </w:r>
          </w:p>
        </w:tc>
        <w:tc>
          <w:tcPr>
            <w:tcW w:w="1096" w:type="dxa"/>
            <w:tcBorders>
              <w:top w:val="single" w:color="auto" w:sz="4" w:space="0"/>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-0.344</w:t>
            </w:r>
          </w:p>
        </w:tc>
        <w:tc>
          <w:tcPr>
            <w:tcW w:w="822" w:type="dxa"/>
            <w:tcBorders>
              <w:top w:val="single" w:color="auto" w:sz="4" w:space="0"/>
              <w:bottom w:val="nil"/>
            </w:tcBorders>
            <w:noWrap w:val="0"/>
            <w:vAlign w:val="center"/>
          </w:tcPr>
          <w:p>
            <w:pPr>
              <w:spacing w:line="360" w:lineRule="auto"/>
              <w:jc w:val="center"/>
              <w:rPr>
                <w:rFonts w:ascii="Arial" w:hAnsi="Arial" w:cs="Arial"/>
                <w:sz w:val="18"/>
                <w:szCs w:val="18"/>
                <w:lang w:val="en-GB"/>
              </w:rPr>
            </w:pPr>
            <w:r>
              <w:rPr>
                <w:rFonts w:ascii="Times New Roman" w:hAnsi="Times New Roman"/>
                <w:bCs/>
                <w:szCs w:val="21"/>
                <w:lang w:val="en-GB"/>
              </w:rPr>
              <w:t>0.731</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1" w:hRule="atLeast"/>
          <w:jc w:val="center"/>
        </w:trPr>
        <w:tc>
          <w:tcPr>
            <w:tcW w:w="24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GCS score</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,point]</w:t>
            </w:r>
          </w:p>
        </w:tc>
        <w:tc>
          <w:tcPr>
            <w:tcW w:w="1917"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13.00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13.00, 14.00</w:t>
            </w:r>
            <w:r>
              <w:rPr>
                <w:rFonts w:hint="eastAsia" w:ascii="Arial" w:hAnsi="Arial" w:cs="Arial"/>
                <w:sz w:val="18"/>
                <w:szCs w:val="18"/>
                <w:lang w:val="en-GB"/>
              </w:rPr>
              <w:t>）</w:t>
            </w:r>
          </w:p>
        </w:tc>
        <w:tc>
          <w:tcPr>
            <w:tcW w:w="17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12.00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8.25, 13.00</w:t>
            </w:r>
            <w:r>
              <w:rPr>
                <w:rFonts w:hint="eastAsia" w:ascii="Arial" w:hAnsi="Arial" w:cs="Arial"/>
                <w:sz w:val="18"/>
                <w:szCs w:val="18"/>
                <w:lang w:val="en-GB"/>
              </w:rPr>
              <w:t>）</w:t>
            </w:r>
          </w:p>
        </w:tc>
        <w:tc>
          <w:tcPr>
            <w:tcW w:w="1096"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-4.423</w:t>
            </w:r>
          </w:p>
        </w:tc>
        <w:tc>
          <w:tcPr>
            <w:tcW w:w="822"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b/>
                <w:bCs/>
                <w:sz w:val="18"/>
                <w:szCs w:val="18"/>
                <w:lang w:val="en-GB"/>
              </w:rPr>
              <w:t>0.000*</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1" w:hRule="atLeast"/>
          <w:jc w:val="center"/>
        </w:trPr>
        <w:tc>
          <w:tcPr>
            <w:tcW w:w="24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PRISM III score</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,point]</w:t>
            </w:r>
          </w:p>
        </w:tc>
        <w:tc>
          <w:tcPr>
            <w:tcW w:w="1917"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1.00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0.00, 3.00</w:t>
            </w:r>
            <w:r>
              <w:rPr>
                <w:rFonts w:hint="eastAsia" w:ascii="Arial" w:hAnsi="Arial" w:cs="Arial"/>
                <w:sz w:val="18"/>
                <w:szCs w:val="18"/>
                <w:lang w:val="en-GB"/>
              </w:rPr>
              <w:t>）</w:t>
            </w:r>
          </w:p>
        </w:tc>
        <w:tc>
          <w:tcPr>
            <w:tcW w:w="17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6.50</w:t>
            </w:r>
          </w:p>
          <w:p>
            <w:pPr>
              <w:spacing w:line="360" w:lineRule="auto"/>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1.25, 10.00</w:t>
            </w:r>
            <w:r>
              <w:rPr>
                <w:rFonts w:hint="eastAsia" w:ascii="Arial" w:hAnsi="Arial" w:cs="Arial"/>
                <w:sz w:val="18"/>
                <w:szCs w:val="18"/>
                <w:lang w:val="en-GB"/>
              </w:rPr>
              <w:t>）</w:t>
            </w:r>
          </w:p>
        </w:tc>
        <w:tc>
          <w:tcPr>
            <w:tcW w:w="1096"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-5.229</w:t>
            </w:r>
          </w:p>
        </w:tc>
        <w:tc>
          <w:tcPr>
            <w:tcW w:w="822" w:type="dxa"/>
            <w:tcBorders>
              <w:bottom w:val="nil"/>
            </w:tcBorders>
            <w:noWrap w:val="0"/>
            <w:vAlign w:val="center"/>
          </w:tcPr>
          <w:p>
            <w:pPr>
              <w:spacing w:line="360" w:lineRule="auto"/>
              <w:jc w:val="center"/>
              <w:rPr>
                <w:rFonts w:ascii="Arial" w:hAnsi="Arial" w:cs="Arial"/>
                <w:b/>
                <w:sz w:val="18"/>
                <w:szCs w:val="18"/>
                <w:lang w:val="en-GB"/>
              </w:rPr>
            </w:pPr>
            <w:r>
              <w:rPr>
                <w:rFonts w:ascii="Arial" w:hAnsi="Arial" w:cs="Arial"/>
                <w:b/>
                <w:bCs/>
                <w:sz w:val="18"/>
                <w:szCs w:val="18"/>
                <w:lang w:val="en-GB"/>
              </w:rPr>
              <w:t>0.000*</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CRP</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mg/L]</w:t>
            </w:r>
          </w:p>
        </w:tc>
        <w:tc>
          <w:tcPr>
            <w:tcW w:w="1917" w:type="dxa"/>
            <w:tcBorders>
              <w:bottom w:val="nil"/>
            </w:tcBorders>
            <w:noWrap w:val="0"/>
            <w:vAlign w:val="center"/>
          </w:tcPr>
          <w:p>
            <w:pPr>
              <w:jc w:val="center"/>
              <w:rPr>
                <w:rFonts w:ascii="Arial" w:hAnsi="Arial" w:cs="Arial"/>
                <w:sz w:val="18"/>
                <w:szCs w:val="18"/>
                <w:lang w:val="en-GB"/>
              </w:rPr>
            </w:pPr>
            <w:r>
              <w:rPr>
                <w:rFonts w:ascii="Arial" w:hAnsi="Arial" w:cs="Arial"/>
                <w:sz w:val="18"/>
                <w:szCs w:val="18"/>
                <w:lang w:val="en-GB"/>
              </w:rPr>
              <w:t>4.60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1.00, 24.85</w:t>
            </w:r>
            <w:r>
              <w:rPr>
                <w:rFonts w:hint="eastAsia" w:ascii="Arial" w:hAnsi="Arial" w:cs="Arial"/>
                <w:sz w:val="18"/>
                <w:szCs w:val="18"/>
                <w:lang w:val="en-GB"/>
              </w:rPr>
              <w:t>）</w:t>
            </w:r>
          </w:p>
        </w:tc>
        <w:tc>
          <w:tcPr>
            <w:tcW w:w="1781" w:type="dxa"/>
            <w:tcBorders>
              <w:bottom w:val="nil"/>
            </w:tcBorders>
            <w:noWrap w:val="0"/>
            <w:vAlign w:val="center"/>
          </w:tcPr>
          <w:p>
            <w:pPr>
              <w:jc w:val="center"/>
              <w:rPr>
                <w:rFonts w:ascii="Arial" w:hAnsi="Arial" w:cs="Arial"/>
                <w:sz w:val="18"/>
                <w:szCs w:val="18"/>
                <w:lang w:val="en-GB"/>
              </w:rPr>
            </w:pPr>
            <w:r>
              <w:rPr>
                <w:rFonts w:ascii="Arial" w:hAnsi="Arial" w:cs="Arial"/>
                <w:sz w:val="18"/>
                <w:szCs w:val="18"/>
                <w:lang w:val="en-GB"/>
              </w:rPr>
              <w:t>12.00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3.00, 70.25</w:t>
            </w:r>
            <w:r>
              <w:rPr>
                <w:rFonts w:hint="eastAsia" w:ascii="Arial" w:hAnsi="Arial" w:cs="Arial"/>
                <w:sz w:val="18"/>
                <w:szCs w:val="18"/>
                <w:lang w:val="en-GB"/>
              </w:rPr>
              <w:t>）</w:t>
            </w:r>
          </w:p>
        </w:tc>
        <w:tc>
          <w:tcPr>
            <w:tcW w:w="1096"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-2.069</w:t>
            </w:r>
          </w:p>
        </w:tc>
        <w:tc>
          <w:tcPr>
            <w:tcW w:w="822" w:type="dxa"/>
            <w:tcBorders>
              <w:bottom w:val="nil"/>
            </w:tcBorders>
            <w:noWrap w:val="0"/>
            <w:vAlign w:val="center"/>
          </w:tcPr>
          <w:p>
            <w:pPr>
              <w:spacing w:line="360" w:lineRule="auto"/>
              <w:jc w:val="center"/>
              <w:rPr>
                <w:rFonts w:ascii="Arial" w:hAnsi="Arial" w:cs="Arial"/>
                <w:sz w:val="18"/>
                <w:szCs w:val="18"/>
                <w:lang w:val="en-GB"/>
              </w:rPr>
            </w:pPr>
            <w:r>
              <w:rPr>
                <w:rFonts w:ascii="Times New Roman" w:hAnsi="Times New Roman"/>
                <w:b/>
                <w:szCs w:val="21"/>
                <w:lang w:val="en-GB"/>
              </w:rPr>
              <w:t>0.039*</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PCT </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xml:space="preserve"> ng/mL)]</w:t>
            </w:r>
          </w:p>
        </w:tc>
        <w:tc>
          <w:tcPr>
            <w:tcW w:w="1917" w:type="dxa"/>
            <w:tcBorders>
              <w:bottom w:val="nil"/>
            </w:tcBorders>
            <w:noWrap w:val="0"/>
            <w:vAlign w:val="center"/>
          </w:tcPr>
          <w:p>
            <w:pPr>
              <w:jc w:val="center"/>
              <w:rPr>
                <w:rFonts w:ascii="Arial" w:hAnsi="Arial" w:cs="Arial"/>
                <w:sz w:val="18"/>
                <w:szCs w:val="18"/>
                <w:lang w:val="en-GB"/>
              </w:rPr>
            </w:pPr>
            <w:r>
              <w:rPr>
                <w:rFonts w:ascii="Arial" w:hAnsi="Arial" w:cs="Arial"/>
                <w:sz w:val="18"/>
                <w:szCs w:val="18"/>
                <w:lang w:val="en-GB"/>
              </w:rPr>
              <w:t>0.35</w:t>
            </w:r>
          </w:p>
          <w:p>
            <w:pPr>
              <w:jc w:val="center"/>
              <w:rPr>
                <w:rFonts w:ascii="Arial" w:hAnsi="Arial" w:cs="Arial"/>
                <w:sz w:val="18"/>
                <w:szCs w:val="18"/>
                <w:lang w:val="en-GB"/>
              </w:rPr>
            </w:pPr>
            <w:r>
              <w:rPr>
                <w:rFonts w:ascii="Arial" w:hAnsi="Arial" w:cs="Arial"/>
                <w:sz w:val="18"/>
                <w:szCs w:val="18"/>
                <w:lang w:val="en-GB"/>
              </w:rPr>
              <w:t>(0.15, 1.51)</w:t>
            </w:r>
          </w:p>
        </w:tc>
        <w:tc>
          <w:tcPr>
            <w:tcW w:w="1781" w:type="dxa"/>
            <w:tcBorders>
              <w:bottom w:val="nil"/>
            </w:tcBorders>
            <w:noWrap w:val="0"/>
            <w:vAlign w:val="center"/>
          </w:tcPr>
          <w:p>
            <w:pPr>
              <w:jc w:val="center"/>
              <w:rPr>
                <w:rFonts w:ascii="Arial" w:hAnsi="Arial" w:cs="Arial"/>
                <w:sz w:val="18"/>
                <w:szCs w:val="18"/>
                <w:lang w:val="en-GB"/>
              </w:rPr>
            </w:pPr>
            <w:r>
              <w:rPr>
                <w:rFonts w:ascii="Arial" w:hAnsi="Arial" w:cs="Arial"/>
                <w:sz w:val="18"/>
                <w:szCs w:val="18"/>
                <w:lang w:val="en-GB"/>
              </w:rPr>
              <w:t>0.98</w:t>
            </w:r>
          </w:p>
          <w:p>
            <w:pPr>
              <w:jc w:val="center"/>
              <w:rPr>
                <w:rFonts w:ascii="Arial" w:hAnsi="Arial" w:cs="Arial"/>
                <w:sz w:val="18"/>
                <w:szCs w:val="18"/>
                <w:lang w:val="en-GB"/>
              </w:rPr>
            </w:pPr>
            <w:r>
              <w:rPr>
                <w:rFonts w:ascii="Arial" w:hAnsi="Arial" w:cs="Arial"/>
                <w:sz w:val="18"/>
                <w:szCs w:val="18"/>
                <w:lang w:val="en-GB"/>
              </w:rPr>
              <w:t>(0.31, 1.70)</w:t>
            </w:r>
          </w:p>
        </w:tc>
        <w:tc>
          <w:tcPr>
            <w:tcW w:w="1096"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-1.938</w:t>
            </w:r>
          </w:p>
        </w:tc>
        <w:tc>
          <w:tcPr>
            <w:tcW w:w="822" w:type="dxa"/>
            <w:tcBorders>
              <w:bottom w:val="nil"/>
            </w:tcBorders>
            <w:noWrap w:val="0"/>
            <w:vAlign w:val="center"/>
          </w:tcPr>
          <w:p>
            <w:pPr>
              <w:spacing w:line="360" w:lineRule="auto"/>
              <w:jc w:val="center"/>
              <w:rPr>
                <w:rFonts w:ascii="Arial" w:hAnsi="Arial" w:cs="Arial"/>
                <w:b/>
                <w:bCs/>
                <w:sz w:val="18"/>
                <w:szCs w:val="18"/>
                <w:lang w:val="en-GB"/>
              </w:rPr>
            </w:pPr>
            <w:r>
              <w:rPr>
                <w:rFonts w:ascii="Times New Roman" w:hAnsi="Times New Roman"/>
                <w:szCs w:val="21"/>
                <w:lang w:val="en-GB"/>
              </w:rPr>
              <w:t>0.053</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 xml:space="preserve">LAC </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mmol/L]</w:t>
            </w:r>
          </w:p>
        </w:tc>
        <w:tc>
          <w:tcPr>
            <w:tcW w:w="1917" w:type="dxa"/>
            <w:tcBorders>
              <w:bottom w:val="nil"/>
            </w:tcBorders>
            <w:noWrap w:val="0"/>
            <w:vAlign w:val="center"/>
          </w:tcPr>
          <w:p>
            <w:pPr>
              <w:jc w:val="center"/>
              <w:rPr>
                <w:rFonts w:ascii="Arial" w:hAnsi="Arial" w:cs="Arial"/>
                <w:sz w:val="18"/>
                <w:szCs w:val="18"/>
                <w:lang w:val="en-GB"/>
              </w:rPr>
            </w:pPr>
            <w:r>
              <w:rPr>
                <w:rFonts w:ascii="Arial" w:hAnsi="Arial" w:cs="Arial"/>
                <w:sz w:val="18"/>
                <w:szCs w:val="18"/>
                <w:lang w:val="en-GB"/>
              </w:rPr>
              <w:t>1.70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1.30, 2.60</w:t>
            </w:r>
            <w:r>
              <w:rPr>
                <w:rFonts w:hint="eastAsia" w:ascii="Arial" w:hAnsi="Arial" w:cs="Arial"/>
                <w:sz w:val="18"/>
                <w:szCs w:val="18"/>
                <w:lang w:val="en-GB"/>
              </w:rPr>
              <w:t>）</w:t>
            </w:r>
          </w:p>
        </w:tc>
        <w:tc>
          <w:tcPr>
            <w:tcW w:w="1781" w:type="dxa"/>
            <w:tcBorders>
              <w:bottom w:val="nil"/>
            </w:tcBorders>
            <w:noWrap w:val="0"/>
            <w:vAlign w:val="center"/>
          </w:tcPr>
          <w:p>
            <w:pPr>
              <w:jc w:val="center"/>
              <w:rPr>
                <w:rFonts w:ascii="Arial" w:hAnsi="Arial" w:cs="Arial"/>
                <w:sz w:val="18"/>
                <w:szCs w:val="18"/>
                <w:lang w:val="en-GB"/>
              </w:rPr>
            </w:pPr>
            <w:r>
              <w:rPr>
                <w:rFonts w:ascii="Arial" w:hAnsi="Arial" w:cs="Arial"/>
                <w:sz w:val="18"/>
                <w:szCs w:val="18"/>
                <w:lang w:val="en-GB"/>
              </w:rPr>
              <w:t>2.05</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1.33, 3.30</w:t>
            </w:r>
            <w:r>
              <w:rPr>
                <w:rFonts w:hint="eastAsia" w:ascii="Arial" w:hAnsi="Arial" w:cs="Arial"/>
                <w:sz w:val="18"/>
                <w:szCs w:val="18"/>
                <w:lang w:val="en-GB"/>
              </w:rPr>
              <w:t>）</w:t>
            </w:r>
          </w:p>
        </w:tc>
        <w:tc>
          <w:tcPr>
            <w:tcW w:w="1096"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-1.401</w:t>
            </w:r>
          </w:p>
        </w:tc>
        <w:tc>
          <w:tcPr>
            <w:tcW w:w="822" w:type="dxa"/>
            <w:tcBorders>
              <w:bottom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0.161</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tcBorders>
              <w:top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pH</w:t>
            </w:r>
          </w:p>
          <w:p>
            <w:pPr>
              <w:jc w:val="center"/>
              <w:rPr>
                <w:rFonts w:ascii="Arial" w:hAnsi="Arial" w:cs="Arial"/>
                <w:sz w:val="18"/>
                <w:szCs w:val="18"/>
                <w:lang w:val="en-GB"/>
              </w:rPr>
            </w:pPr>
            <w:r>
              <w:rPr>
                <w:rFonts w:ascii="Arial" w:hAnsi="Arial" w:cs="Arial"/>
                <w:i/>
                <w:iCs/>
                <w:sz w:val="18"/>
                <w:szCs w:val="18"/>
                <w:lang w:val="en-GB"/>
              </w:rPr>
              <w:t xml:space="preserve"> </w:t>
            </w: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w:t>
            </w:r>
          </w:p>
        </w:tc>
        <w:tc>
          <w:tcPr>
            <w:tcW w:w="1917" w:type="dxa"/>
            <w:tcBorders>
              <w:top w:val="nil"/>
            </w:tcBorders>
            <w:noWrap w:val="0"/>
            <w:vAlign w:val="center"/>
          </w:tcPr>
          <w:p>
            <w:pPr>
              <w:jc w:val="center"/>
              <w:rPr>
                <w:rFonts w:ascii="Arial" w:hAnsi="Arial" w:cs="Arial"/>
                <w:sz w:val="18"/>
                <w:szCs w:val="18"/>
                <w:lang w:val="en-GB"/>
              </w:rPr>
            </w:pPr>
            <w:r>
              <w:rPr>
                <w:rFonts w:ascii="Arial" w:hAnsi="Arial" w:cs="Arial"/>
                <w:sz w:val="18"/>
                <w:szCs w:val="18"/>
                <w:lang w:val="en-GB"/>
              </w:rPr>
              <w:t>7.40</w:t>
            </w:r>
          </w:p>
          <w:p>
            <w:pPr>
              <w:jc w:val="center"/>
              <w:rPr>
                <w:rFonts w:ascii="Arial" w:hAnsi="Arial" w:cs="Arial"/>
                <w:sz w:val="18"/>
                <w:szCs w:val="18"/>
                <w:lang w:val="en-GB"/>
              </w:rPr>
            </w:pPr>
            <w:r>
              <w:rPr>
                <w:rFonts w:ascii="Arial" w:hAnsi="Arial" w:cs="Arial"/>
                <w:sz w:val="18"/>
                <w:szCs w:val="18"/>
                <w:lang w:val="en-GB"/>
              </w:rPr>
              <w:t>(7.36, 7.43)</w:t>
            </w:r>
          </w:p>
        </w:tc>
        <w:tc>
          <w:tcPr>
            <w:tcW w:w="1781" w:type="dxa"/>
            <w:tcBorders>
              <w:top w:val="nil"/>
            </w:tcBorders>
            <w:noWrap w:val="0"/>
            <w:vAlign w:val="center"/>
          </w:tcPr>
          <w:p>
            <w:pPr>
              <w:jc w:val="center"/>
              <w:rPr>
                <w:rFonts w:ascii="Arial" w:hAnsi="Arial" w:cs="Arial"/>
                <w:sz w:val="18"/>
                <w:szCs w:val="18"/>
                <w:lang w:val="en-GB"/>
              </w:rPr>
            </w:pPr>
            <w:r>
              <w:rPr>
                <w:rFonts w:ascii="Arial" w:hAnsi="Arial" w:cs="Arial"/>
                <w:sz w:val="18"/>
                <w:szCs w:val="18"/>
                <w:lang w:val="en-GB"/>
              </w:rPr>
              <w:t>7.35</w:t>
            </w:r>
          </w:p>
          <w:p>
            <w:pPr>
              <w:jc w:val="center"/>
              <w:rPr>
                <w:rFonts w:ascii="Arial" w:hAnsi="Arial" w:cs="Arial"/>
                <w:sz w:val="18"/>
                <w:szCs w:val="18"/>
                <w:lang w:val="en-GB"/>
              </w:rPr>
            </w:pPr>
            <w:r>
              <w:rPr>
                <w:rFonts w:ascii="Arial" w:hAnsi="Arial" w:cs="Arial"/>
                <w:sz w:val="18"/>
                <w:szCs w:val="18"/>
                <w:lang w:val="en-GB"/>
              </w:rPr>
              <w:t>(7.29, 7.37)</w:t>
            </w:r>
          </w:p>
        </w:tc>
        <w:tc>
          <w:tcPr>
            <w:tcW w:w="1096" w:type="dxa"/>
            <w:tcBorders>
              <w:top w:val="nil"/>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-3.171</w:t>
            </w:r>
          </w:p>
        </w:tc>
        <w:tc>
          <w:tcPr>
            <w:tcW w:w="822" w:type="dxa"/>
            <w:tcBorders>
              <w:top w:val="nil"/>
            </w:tcBorders>
            <w:noWrap w:val="0"/>
            <w:vAlign w:val="center"/>
          </w:tcPr>
          <w:p>
            <w:pPr>
              <w:spacing w:line="360" w:lineRule="auto"/>
              <w:jc w:val="center"/>
              <w:rPr>
                <w:rFonts w:ascii="Arial" w:hAnsi="Arial" w:cs="Arial"/>
                <w:sz w:val="18"/>
                <w:szCs w:val="18"/>
                <w:lang w:val="en-GB"/>
              </w:rPr>
            </w:pPr>
            <w:r>
              <w:rPr>
                <w:rFonts w:ascii="Arial" w:hAnsi="Arial" w:cs="Arial"/>
                <w:b/>
                <w:bCs/>
                <w:sz w:val="18"/>
                <w:szCs w:val="18"/>
                <w:lang w:val="en-GB"/>
              </w:rPr>
              <w:t>0.002*</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Oxygen index</w:t>
            </w:r>
          </w:p>
          <w:p>
            <w:pPr>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w:t>
            </w:r>
          </w:p>
        </w:tc>
        <w:tc>
          <w:tcPr>
            <w:tcW w:w="1917" w:type="dxa"/>
            <w:noWrap w:val="0"/>
            <w:vAlign w:val="center"/>
          </w:tcPr>
          <w:p>
            <w:pPr>
              <w:jc w:val="center"/>
              <w:rPr>
                <w:rFonts w:ascii="Arial" w:hAnsi="Arial" w:cs="Arial"/>
                <w:sz w:val="18"/>
                <w:szCs w:val="18"/>
                <w:lang w:val="en-GB"/>
              </w:rPr>
            </w:pPr>
            <w:r>
              <w:rPr>
                <w:rFonts w:ascii="Arial" w:hAnsi="Arial" w:cs="Arial"/>
                <w:sz w:val="18"/>
                <w:szCs w:val="18"/>
                <w:lang w:val="en-GB"/>
              </w:rPr>
              <w:t>215.20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169.00, 268.51</w:t>
            </w:r>
            <w:r>
              <w:rPr>
                <w:rFonts w:hint="eastAsia" w:ascii="Arial" w:hAnsi="Arial" w:cs="Arial"/>
                <w:sz w:val="18"/>
                <w:szCs w:val="18"/>
                <w:lang w:val="en-GB"/>
              </w:rPr>
              <w:t>）</w:t>
            </w:r>
          </w:p>
        </w:tc>
        <w:tc>
          <w:tcPr>
            <w:tcW w:w="1781" w:type="dxa"/>
            <w:noWrap w:val="0"/>
            <w:vAlign w:val="center"/>
          </w:tcPr>
          <w:p>
            <w:pPr>
              <w:jc w:val="center"/>
              <w:rPr>
                <w:rFonts w:ascii="Arial" w:hAnsi="Arial" w:cs="Arial"/>
                <w:sz w:val="18"/>
                <w:szCs w:val="18"/>
                <w:lang w:val="en-GB"/>
              </w:rPr>
            </w:pPr>
            <w:r>
              <w:rPr>
                <w:rFonts w:ascii="Arial" w:hAnsi="Arial" w:cs="Arial"/>
                <w:sz w:val="18"/>
                <w:szCs w:val="18"/>
                <w:lang w:val="en-GB"/>
              </w:rPr>
              <w:t>143.88</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89.11, 217.38</w:t>
            </w:r>
            <w:r>
              <w:rPr>
                <w:rFonts w:hint="eastAsia" w:ascii="Arial" w:hAnsi="Arial" w:cs="Arial"/>
                <w:sz w:val="18"/>
                <w:szCs w:val="18"/>
                <w:lang w:val="en-GB"/>
              </w:rPr>
              <w:t>）</w:t>
            </w:r>
          </w:p>
        </w:tc>
        <w:tc>
          <w:tcPr>
            <w:tcW w:w="1096"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-3.747</w:t>
            </w:r>
          </w:p>
        </w:tc>
        <w:tc>
          <w:tcPr>
            <w:tcW w:w="822" w:type="dxa"/>
            <w:noWrap w:val="0"/>
            <w:vAlign w:val="center"/>
          </w:tcPr>
          <w:p>
            <w:pPr>
              <w:spacing w:line="360" w:lineRule="auto"/>
              <w:jc w:val="center"/>
              <w:rPr>
                <w:rFonts w:ascii="Arial" w:hAnsi="Arial" w:cs="Arial"/>
                <w:bCs/>
                <w:sz w:val="18"/>
                <w:szCs w:val="18"/>
                <w:lang w:val="en-GB"/>
              </w:rPr>
            </w:pPr>
            <w:r>
              <w:rPr>
                <w:rFonts w:ascii="Arial" w:hAnsi="Arial" w:cs="Arial"/>
                <w:b/>
                <w:bCs/>
                <w:sz w:val="18"/>
                <w:szCs w:val="18"/>
                <w:lang w:val="en-GB"/>
              </w:rPr>
              <w:t>0.000*</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PaO</w:t>
            </w:r>
            <w:r>
              <w:rPr>
                <w:rFonts w:ascii="Arial" w:hAnsi="Arial" w:cs="Arial"/>
                <w:sz w:val="18"/>
                <w:szCs w:val="18"/>
                <w:vertAlign w:val="subscript"/>
                <w:lang w:val="en-GB"/>
              </w:rPr>
              <w:t>2</w:t>
            </w:r>
          </w:p>
          <w:p>
            <w:pPr>
              <w:jc w:val="center"/>
              <w:rPr>
                <w:rFonts w:ascii="Arial" w:hAnsi="Arial" w:cs="Arial"/>
                <w:sz w:val="18"/>
                <w:szCs w:val="18"/>
                <w:lang w:val="en-GB"/>
              </w:rPr>
            </w:pPr>
            <w:r>
              <w:rPr>
                <w:rFonts w:ascii="Arial" w:hAnsi="Arial" w:cs="Arial"/>
                <w:sz w:val="18"/>
                <w:szCs w:val="18"/>
                <w:vertAlign w:val="subscript"/>
                <w:lang w:val="en-GB"/>
              </w:rPr>
              <w:t xml:space="preserve"> </w:t>
            </w: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 mmHg]</w:t>
            </w:r>
          </w:p>
        </w:tc>
        <w:tc>
          <w:tcPr>
            <w:tcW w:w="1917" w:type="dxa"/>
            <w:noWrap w:val="0"/>
            <w:vAlign w:val="center"/>
          </w:tcPr>
          <w:p>
            <w:pPr>
              <w:jc w:val="center"/>
              <w:rPr>
                <w:rFonts w:ascii="Arial" w:hAnsi="Arial" w:cs="Arial"/>
                <w:sz w:val="18"/>
                <w:szCs w:val="18"/>
                <w:lang w:val="en-GB"/>
              </w:rPr>
            </w:pPr>
            <w:r>
              <w:rPr>
                <w:rFonts w:ascii="Arial" w:hAnsi="Arial" w:cs="Arial"/>
                <w:sz w:val="18"/>
                <w:szCs w:val="18"/>
                <w:lang w:val="en-GB"/>
              </w:rPr>
              <w:t>81.70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66.80, 99.85</w:t>
            </w:r>
            <w:r>
              <w:rPr>
                <w:rFonts w:hint="eastAsia" w:ascii="Arial" w:hAnsi="Arial" w:cs="Arial"/>
                <w:sz w:val="18"/>
                <w:szCs w:val="18"/>
                <w:lang w:val="en-GB"/>
              </w:rPr>
              <w:t>）</w:t>
            </w:r>
          </w:p>
        </w:tc>
        <w:tc>
          <w:tcPr>
            <w:tcW w:w="1781" w:type="dxa"/>
            <w:noWrap w:val="0"/>
            <w:vAlign w:val="center"/>
          </w:tcPr>
          <w:p>
            <w:pPr>
              <w:jc w:val="center"/>
              <w:rPr>
                <w:rFonts w:ascii="Arial" w:hAnsi="Arial" w:cs="Arial"/>
                <w:sz w:val="18"/>
                <w:szCs w:val="18"/>
                <w:lang w:val="en-GB"/>
              </w:rPr>
            </w:pPr>
            <w:r>
              <w:rPr>
                <w:rFonts w:ascii="Arial" w:hAnsi="Arial" w:cs="Arial"/>
                <w:sz w:val="18"/>
                <w:szCs w:val="18"/>
                <w:lang w:val="en-GB"/>
              </w:rPr>
              <w:t>70.50</w:t>
            </w:r>
          </w:p>
          <w:p>
            <w:pPr>
              <w:jc w:val="center"/>
              <w:rPr>
                <w:rFonts w:ascii="Arial" w:hAnsi="Arial" w:cs="Arial"/>
                <w:sz w:val="18"/>
                <w:szCs w:val="18"/>
                <w:lang w:val="en-GB"/>
              </w:rPr>
            </w:pPr>
            <w:r>
              <w:rPr>
                <w:rFonts w:hint="eastAsia" w:ascii="Arial" w:hAnsi="Arial" w:cs="Arial"/>
                <w:sz w:val="18"/>
                <w:szCs w:val="18"/>
                <w:lang w:val="en-GB"/>
              </w:rPr>
              <w:t>（</w:t>
            </w:r>
            <w:r>
              <w:rPr>
                <w:rFonts w:ascii="Arial" w:hAnsi="Arial" w:cs="Arial"/>
                <w:sz w:val="18"/>
                <w:szCs w:val="18"/>
                <w:lang w:val="en-GB"/>
              </w:rPr>
              <w:t>61.24, 99.65</w:t>
            </w:r>
            <w:r>
              <w:rPr>
                <w:rFonts w:hint="eastAsia" w:ascii="Arial" w:hAnsi="Arial" w:cs="Arial"/>
                <w:sz w:val="18"/>
                <w:szCs w:val="18"/>
                <w:lang w:val="en-GB"/>
              </w:rPr>
              <w:t>）</w:t>
            </w:r>
          </w:p>
        </w:tc>
        <w:tc>
          <w:tcPr>
            <w:tcW w:w="1096"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-1.152</w:t>
            </w:r>
          </w:p>
        </w:tc>
        <w:tc>
          <w:tcPr>
            <w:tcW w:w="822" w:type="dxa"/>
            <w:noWrap w:val="0"/>
            <w:vAlign w:val="center"/>
          </w:tcPr>
          <w:p>
            <w:pPr>
              <w:spacing w:line="360" w:lineRule="auto"/>
              <w:jc w:val="center"/>
              <w:rPr>
                <w:rFonts w:ascii="Arial" w:hAnsi="Arial" w:cs="Arial"/>
                <w:b/>
                <w:sz w:val="18"/>
                <w:szCs w:val="18"/>
                <w:lang w:val="en-GB"/>
              </w:rPr>
            </w:pPr>
            <w:r>
              <w:rPr>
                <w:rFonts w:ascii="Arial" w:hAnsi="Arial" w:cs="Arial"/>
                <w:sz w:val="18"/>
                <w:szCs w:val="18"/>
                <w:lang w:val="en-GB"/>
              </w:rPr>
              <w:t>0.249</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2481" w:type="dxa"/>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PaCO</w:t>
            </w:r>
            <w:r>
              <w:rPr>
                <w:rFonts w:ascii="Arial" w:hAnsi="Arial" w:cs="Arial"/>
                <w:sz w:val="18"/>
                <w:szCs w:val="18"/>
                <w:vertAlign w:val="subscript"/>
                <w:lang w:val="en-GB"/>
              </w:rPr>
              <w:t>2</w:t>
            </w:r>
          </w:p>
          <w:p>
            <w:pPr>
              <w:jc w:val="center"/>
              <w:rPr>
                <w:rFonts w:ascii="Arial" w:hAnsi="Arial" w:cs="Arial"/>
                <w:sz w:val="18"/>
                <w:szCs w:val="18"/>
                <w:lang w:val="en-GB"/>
              </w:rPr>
            </w:pPr>
            <w:r>
              <w:rPr>
                <w:rFonts w:ascii="Arial" w:hAnsi="Arial" w:cs="Arial"/>
                <w:i/>
                <w:iCs/>
                <w:sz w:val="18"/>
                <w:szCs w:val="18"/>
                <w:lang w:val="en-GB"/>
              </w:rPr>
              <w:t xml:space="preserve"> </w:t>
            </w: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mmHg]</w:t>
            </w:r>
          </w:p>
        </w:tc>
        <w:tc>
          <w:tcPr>
            <w:tcW w:w="1917" w:type="dxa"/>
            <w:noWrap w:val="0"/>
            <w:vAlign w:val="center"/>
          </w:tcPr>
          <w:p>
            <w:pPr>
              <w:jc w:val="center"/>
              <w:rPr>
                <w:rFonts w:ascii="Arial" w:hAnsi="Arial" w:cs="Arial"/>
                <w:sz w:val="18"/>
                <w:szCs w:val="18"/>
                <w:lang w:val="en-GB"/>
              </w:rPr>
            </w:pPr>
            <w:r>
              <w:rPr>
                <w:rFonts w:ascii="Arial" w:hAnsi="Arial" w:cs="Arial"/>
                <w:sz w:val="18"/>
                <w:szCs w:val="18"/>
                <w:lang w:val="en-GB"/>
              </w:rPr>
              <w:t>38.70</w:t>
            </w:r>
          </w:p>
          <w:p>
            <w:pPr>
              <w:jc w:val="center"/>
              <w:rPr>
                <w:rFonts w:ascii="Arial" w:hAnsi="Arial" w:cs="Arial"/>
                <w:sz w:val="18"/>
                <w:szCs w:val="18"/>
                <w:lang w:val="en-GB"/>
              </w:rPr>
            </w:pPr>
            <w:r>
              <w:rPr>
                <w:rFonts w:ascii="Arial" w:hAnsi="Arial" w:cs="Arial"/>
                <w:sz w:val="18"/>
                <w:szCs w:val="18"/>
                <w:lang w:val="en-GB"/>
              </w:rPr>
              <w:t>(33.35, 45.25)</w:t>
            </w:r>
          </w:p>
        </w:tc>
        <w:tc>
          <w:tcPr>
            <w:tcW w:w="1781" w:type="dxa"/>
            <w:noWrap w:val="0"/>
            <w:vAlign w:val="center"/>
          </w:tcPr>
          <w:p>
            <w:pPr>
              <w:jc w:val="center"/>
              <w:rPr>
                <w:rFonts w:ascii="Arial" w:hAnsi="Arial" w:cs="Arial"/>
                <w:sz w:val="18"/>
                <w:szCs w:val="18"/>
                <w:lang w:val="en-GB"/>
              </w:rPr>
            </w:pPr>
            <w:r>
              <w:rPr>
                <w:rFonts w:ascii="Arial" w:hAnsi="Arial" w:cs="Arial"/>
                <w:sz w:val="18"/>
                <w:szCs w:val="18"/>
                <w:lang w:val="en-GB"/>
              </w:rPr>
              <w:t>45.70</w:t>
            </w:r>
          </w:p>
          <w:p>
            <w:pPr>
              <w:jc w:val="center"/>
              <w:rPr>
                <w:rFonts w:ascii="Arial" w:hAnsi="Arial" w:cs="Arial"/>
                <w:sz w:val="18"/>
                <w:szCs w:val="18"/>
                <w:lang w:val="en-GB"/>
              </w:rPr>
            </w:pPr>
            <w:r>
              <w:rPr>
                <w:rFonts w:ascii="Arial" w:hAnsi="Arial" w:cs="Arial"/>
                <w:sz w:val="18"/>
                <w:szCs w:val="18"/>
                <w:lang w:val="en-GB"/>
              </w:rPr>
              <w:t>(31.15, 61.08)</w:t>
            </w:r>
          </w:p>
        </w:tc>
        <w:tc>
          <w:tcPr>
            <w:tcW w:w="1096" w:type="dxa"/>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-1.305</w:t>
            </w:r>
          </w:p>
        </w:tc>
        <w:tc>
          <w:tcPr>
            <w:tcW w:w="822" w:type="dxa"/>
            <w:noWrap w:val="0"/>
            <w:vAlign w:val="center"/>
          </w:tcPr>
          <w:p>
            <w:pPr>
              <w:spacing w:line="360" w:lineRule="auto"/>
              <w:jc w:val="center"/>
              <w:rPr>
                <w:rFonts w:ascii="Arial" w:hAnsi="Arial" w:cs="Arial"/>
                <w:b/>
                <w:sz w:val="18"/>
                <w:szCs w:val="18"/>
                <w:lang w:val="en-GB"/>
              </w:rPr>
            </w:pPr>
            <w:r>
              <w:rPr>
                <w:rFonts w:ascii="Times New Roman" w:hAnsi="Times New Roman"/>
                <w:bCs/>
                <w:szCs w:val="21"/>
                <w:lang w:val="en-GB"/>
              </w:rPr>
              <w:t>0.192</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jc w:val="center"/>
        </w:trPr>
        <w:tc>
          <w:tcPr>
            <w:tcW w:w="2481" w:type="dxa"/>
            <w:tcBorders>
              <w:bottom w:val="single" w:color="auto" w:sz="4" w:space="0"/>
            </w:tcBorders>
            <w:noWrap w:val="0"/>
            <w:vAlign w:val="center"/>
          </w:tcPr>
          <w:p>
            <w:pPr>
              <w:spacing w:line="360" w:lineRule="auto"/>
              <w:jc w:val="center"/>
              <w:rPr>
                <w:rFonts w:ascii="Arial" w:hAnsi="Arial" w:cs="Arial"/>
                <w:sz w:val="18"/>
                <w:szCs w:val="18"/>
                <w:vertAlign w:val="subscript"/>
                <w:lang w:val="en-GB"/>
              </w:rPr>
            </w:pPr>
            <w:r>
              <w:rPr>
                <w:rFonts w:ascii="Arial" w:hAnsi="Arial" w:cs="Arial"/>
                <w:sz w:val="18"/>
                <w:szCs w:val="18"/>
                <w:lang w:val="en-GB"/>
              </w:rPr>
              <w:t>PaCO</w:t>
            </w:r>
            <w:r>
              <w:rPr>
                <w:rFonts w:ascii="Arial" w:hAnsi="Arial" w:cs="Arial"/>
                <w:sz w:val="18"/>
                <w:szCs w:val="18"/>
                <w:vertAlign w:val="subscript"/>
                <w:lang w:val="en-GB"/>
              </w:rPr>
              <w:t>2</w:t>
            </w:r>
            <w:r>
              <w:rPr>
                <w:rFonts w:ascii="Arial" w:hAnsi="Arial" w:cs="Arial"/>
                <w:sz w:val="18"/>
                <w:szCs w:val="18"/>
                <w:lang w:val="en-GB"/>
              </w:rPr>
              <w:t>/PaO</w:t>
            </w:r>
            <w:r>
              <w:rPr>
                <w:rFonts w:ascii="Arial" w:hAnsi="Arial" w:cs="Arial"/>
                <w:sz w:val="18"/>
                <w:szCs w:val="18"/>
                <w:vertAlign w:val="subscript"/>
                <w:lang w:val="en-GB"/>
              </w:rPr>
              <w:t xml:space="preserve">2 </w:t>
            </w:r>
          </w:p>
          <w:p>
            <w:pPr>
              <w:spacing w:line="360" w:lineRule="auto"/>
              <w:jc w:val="center"/>
              <w:rPr>
                <w:rFonts w:ascii="Arial" w:hAnsi="Arial" w:cs="Arial"/>
                <w:sz w:val="18"/>
                <w:szCs w:val="18"/>
                <w:lang w:val="en-GB"/>
              </w:rPr>
            </w:pPr>
            <w:r>
              <w:rPr>
                <w:rFonts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50</w:t>
            </w:r>
            <w:r>
              <w:rPr>
                <w:rFonts w:hint="eastAsia" w:ascii="Arial" w:hAnsi="Arial" w:cs="Arial"/>
                <w:sz w:val="18"/>
                <w:szCs w:val="18"/>
                <w:lang w:val="en-GB"/>
              </w:rPr>
              <w:t>（</w:t>
            </w:r>
            <w:r>
              <w:rPr>
                <w:rFonts w:ascii="Arial" w:hAnsi="Arial" w:cs="Arial"/>
                <w:i/>
                <w:iCs/>
                <w:sz w:val="18"/>
                <w:szCs w:val="18"/>
                <w:lang w:val="en-GB"/>
              </w:rPr>
              <w:t>P</w:t>
            </w:r>
            <w:r>
              <w:rPr>
                <w:rFonts w:ascii="Arial" w:hAnsi="Arial" w:cs="Arial"/>
                <w:sz w:val="18"/>
                <w:szCs w:val="18"/>
                <w:vertAlign w:val="subscript"/>
                <w:lang w:val="en-GB"/>
              </w:rPr>
              <w:t>25</w:t>
            </w:r>
            <w:r>
              <w:rPr>
                <w:rFonts w:ascii="Arial" w:hAnsi="Arial" w:cs="Arial"/>
                <w:sz w:val="18"/>
                <w:szCs w:val="18"/>
                <w:lang w:val="en-GB"/>
              </w:rPr>
              <w:t xml:space="preserve">, </w:t>
            </w:r>
            <w:r>
              <w:rPr>
                <w:rFonts w:ascii="Arial" w:hAnsi="Arial" w:cs="Arial"/>
                <w:i/>
                <w:iCs/>
                <w:sz w:val="18"/>
                <w:szCs w:val="18"/>
                <w:lang w:val="en-GB"/>
              </w:rPr>
              <w:t>P</w:t>
            </w:r>
            <w:r>
              <w:rPr>
                <w:rFonts w:ascii="Arial" w:hAnsi="Arial" w:cs="Arial"/>
                <w:sz w:val="18"/>
                <w:szCs w:val="18"/>
                <w:vertAlign w:val="subscript"/>
                <w:lang w:val="en-GB"/>
              </w:rPr>
              <w:t>75</w:t>
            </w:r>
            <w:r>
              <w:rPr>
                <w:rFonts w:hint="eastAsia" w:ascii="Arial" w:hAnsi="Arial" w:cs="Arial"/>
                <w:sz w:val="18"/>
                <w:szCs w:val="18"/>
                <w:lang w:val="en-GB"/>
              </w:rPr>
              <w:t>）</w:t>
            </w:r>
            <w:r>
              <w:rPr>
                <w:rFonts w:ascii="Arial" w:hAnsi="Arial" w:cs="Arial"/>
                <w:sz w:val="18"/>
                <w:szCs w:val="18"/>
                <w:lang w:val="en-GB"/>
              </w:rPr>
              <w:t>]</w:t>
            </w:r>
          </w:p>
        </w:tc>
        <w:tc>
          <w:tcPr>
            <w:tcW w:w="1917" w:type="dxa"/>
            <w:tcBorders>
              <w:bottom w:val="single" w:color="auto" w:sz="4" w:space="0"/>
            </w:tcBorders>
            <w:noWrap w:val="0"/>
            <w:vAlign w:val="center"/>
          </w:tcPr>
          <w:p>
            <w:pPr>
              <w:jc w:val="center"/>
              <w:rPr>
                <w:rFonts w:ascii="Arial" w:hAnsi="Arial" w:cs="Arial"/>
                <w:sz w:val="18"/>
                <w:szCs w:val="18"/>
                <w:lang w:val="en-GB"/>
              </w:rPr>
            </w:pPr>
            <w:r>
              <w:rPr>
                <w:rFonts w:ascii="Arial" w:hAnsi="Arial" w:cs="Arial"/>
                <w:sz w:val="18"/>
                <w:szCs w:val="18"/>
                <w:lang w:val="en-GB"/>
              </w:rPr>
              <w:t>0.48</w:t>
            </w:r>
          </w:p>
          <w:p>
            <w:pPr>
              <w:jc w:val="center"/>
              <w:rPr>
                <w:rFonts w:ascii="Arial" w:hAnsi="Arial" w:cs="Arial"/>
                <w:sz w:val="18"/>
                <w:szCs w:val="18"/>
                <w:lang w:val="en-GB"/>
              </w:rPr>
            </w:pPr>
            <w:r>
              <w:rPr>
                <w:rFonts w:ascii="Arial" w:hAnsi="Arial" w:cs="Arial"/>
                <w:sz w:val="18"/>
                <w:szCs w:val="18"/>
                <w:lang w:val="en-GB"/>
              </w:rPr>
              <w:t>(0.38, 0.62)</w:t>
            </w:r>
          </w:p>
        </w:tc>
        <w:tc>
          <w:tcPr>
            <w:tcW w:w="1781" w:type="dxa"/>
            <w:tcBorders>
              <w:bottom w:val="single" w:color="auto" w:sz="4" w:space="0"/>
            </w:tcBorders>
            <w:noWrap w:val="0"/>
            <w:vAlign w:val="center"/>
          </w:tcPr>
          <w:p>
            <w:pPr>
              <w:jc w:val="center"/>
              <w:rPr>
                <w:rFonts w:ascii="Arial" w:hAnsi="Arial" w:cs="Arial"/>
                <w:sz w:val="18"/>
                <w:szCs w:val="18"/>
                <w:lang w:val="en-GB"/>
              </w:rPr>
            </w:pPr>
            <w:r>
              <w:rPr>
                <w:rFonts w:ascii="Arial" w:hAnsi="Arial" w:cs="Arial"/>
                <w:sz w:val="18"/>
                <w:szCs w:val="18"/>
                <w:lang w:val="en-GB"/>
              </w:rPr>
              <w:t>0.67</w:t>
            </w:r>
          </w:p>
          <w:p>
            <w:pPr>
              <w:jc w:val="center"/>
              <w:rPr>
                <w:rFonts w:ascii="Arial" w:hAnsi="Arial" w:cs="Arial"/>
                <w:sz w:val="18"/>
                <w:szCs w:val="18"/>
                <w:lang w:val="en-GB"/>
              </w:rPr>
            </w:pPr>
            <w:r>
              <w:rPr>
                <w:rFonts w:ascii="Arial" w:hAnsi="Arial" w:cs="Arial"/>
                <w:sz w:val="18"/>
                <w:szCs w:val="18"/>
                <w:lang w:val="en-GB"/>
              </w:rPr>
              <w:t>(0.34, 0.79)</w:t>
            </w:r>
          </w:p>
        </w:tc>
        <w:tc>
          <w:tcPr>
            <w:tcW w:w="1096" w:type="dxa"/>
            <w:tcBorders>
              <w:bottom w:val="single" w:color="auto" w:sz="4" w:space="0"/>
            </w:tcBorders>
            <w:noWrap w:val="0"/>
            <w:vAlign w:val="center"/>
          </w:tcPr>
          <w:p>
            <w:pPr>
              <w:spacing w:line="360" w:lineRule="auto"/>
              <w:jc w:val="center"/>
              <w:rPr>
                <w:rFonts w:ascii="Arial" w:hAnsi="Arial" w:cs="Arial"/>
                <w:sz w:val="18"/>
                <w:szCs w:val="18"/>
                <w:lang w:val="en-GB"/>
              </w:rPr>
            </w:pPr>
            <w:r>
              <w:rPr>
                <w:rFonts w:ascii="Arial" w:hAnsi="Arial" w:cs="Arial"/>
                <w:sz w:val="18"/>
                <w:szCs w:val="18"/>
                <w:lang w:val="en-GB"/>
              </w:rPr>
              <w:t>-2.019</w:t>
            </w:r>
          </w:p>
        </w:tc>
        <w:tc>
          <w:tcPr>
            <w:tcW w:w="822" w:type="dxa"/>
            <w:tcBorders>
              <w:bottom w:val="single" w:color="auto" w:sz="4" w:space="0"/>
            </w:tcBorders>
            <w:noWrap w:val="0"/>
            <w:vAlign w:val="center"/>
          </w:tcPr>
          <w:p>
            <w:pPr>
              <w:spacing w:line="360" w:lineRule="auto"/>
              <w:jc w:val="center"/>
              <w:rPr>
                <w:rFonts w:ascii="Arial" w:hAnsi="Arial" w:cs="Arial"/>
                <w:b/>
                <w:sz w:val="18"/>
                <w:szCs w:val="18"/>
                <w:lang w:val="en-GB"/>
              </w:rPr>
            </w:pPr>
            <w:r>
              <w:rPr>
                <w:rFonts w:ascii="Arial" w:hAnsi="Arial" w:cs="Arial"/>
                <w:b/>
                <w:sz w:val="18"/>
                <w:szCs w:val="18"/>
                <w:lang w:val="en-GB"/>
              </w:rPr>
              <w:t>0.043*</w:t>
            </w:r>
          </w:p>
        </w:tc>
      </w:tr>
    </w:tbl>
    <w:p>
      <w:pPr>
        <w:spacing w:line="360" w:lineRule="auto"/>
        <w:jc w:val="left"/>
        <w:rPr>
          <w:rFonts w:ascii="Arial" w:hAnsi="Arial" w:cs="Arial"/>
          <w:kern w:val="0"/>
          <w:sz w:val="18"/>
          <w:szCs w:val="18"/>
          <w:lang w:val="en-GB"/>
        </w:rPr>
      </w:pPr>
      <w:r>
        <w:rPr>
          <w:rFonts w:ascii="Arial" w:hAnsi="Arial" w:cs="Arial"/>
          <w:sz w:val="18"/>
          <w:szCs w:val="18"/>
          <w:lang w:val="en-GB"/>
        </w:rPr>
        <w:t>Note:Sp0</w:t>
      </w:r>
      <w:r>
        <w:rPr>
          <w:rFonts w:ascii="Arial" w:hAnsi="Arial" w:cs="Arial"/>
          <w:sz w:val="18"/>
          <w:szCs w:val="18"/>
          <w:vertAlign w:val="subscript"/>
          <w:lang w:val="en-GB"/>
        </w:rPr>
        <w:t>2</w:t>
      </w:r>
      <w:r>
        <w:rPr>
          <w:rFonts w:hint="eastAsia" w:ascii="Arial" w:hAnsi="Arial" w:cs="Arial"/>
          <w:sz w:val="18"/>
          <w:szCs w:val="18"/>
          <w:lang w:val="en-US" w:eastAsia="zh-CN"/>
        </w:rPr>
        <w:t>=</w:t>
      </w:r>
      <w:r>
        <w:rPr>
          <w:rFonts w:ascii="Arial" w:hAnsi="Arial" w:cs="Arial"/>
          <w:sz w:val="18"/>
          <w:szCs w:val="18"/>
          <w:lang w:val="en-GB"/>
        </w:rPr>
        <w:t>oxygen saturation,GCS score</w:t>
      </w:r>
      <w:r>
        <w:rPr>
          <w:rFonts w:hint="eastAsia" w:ascii="Arial" w:hAnsi="Arial" w:cs="Arial"/>
          <w:sz w:val="18"/>
          <w:szCs w:val="18"/>
          <w:lang w:val="en-US" w:eastAsia="zh-CN"/>
        </w:rPr>
        <w:t>=</w:t>
      </w:r>
      <w:r>
        <w:rPr>
          <w:rFonts w:ascii="Arial" w:hAnsi="Arial" w:cs="Arial"/>
          <w:sz w:val="18"/>
          <w:szCs w:val="18"/>
          <w:lang w:val="en-GB"/>
        </w:rPr>
        <w:t>Glasgow Coma Scale,PRISM III score</w:t>
      </w:r>
      <w:r>
        <w:rPr>
          <w:rFonts w:hint="eastAsia" w:ascii="Arial" w:hAnsi="Arial" w:cs="Arial"/>
          <w:sz w:val="18"/>
          <w:szCs w:val="18"/>
          <w:lang w:val="en-US" w:eastAsia="zh-CN"/>
        </w:rPr>
        <w:t>=</w:t>
      </w:r>
      <w:r>
        <w:rPr>
          <w:rFonts w:ascii="Arial" w:hAnsi="Arial" w:cs="Arial"/>
          <w:sz w:val="18"/>
          <w:szCs w:val="18"/>
          <w:lang w:val="en-GB"/>
        </w:rPr>
        <w:t>pediatric risk of mortality,CRP</w:t>
      </w:r>
      <w:r>
        <w:rPr>
          <w:rFonts w:hint="eastAsia" w:ascii="Arial" w:hAnsi="Arial" w:cs="Arial"/>
          <w:sz w:val="18"/>
          <w:szCs w:val="18"/>
          <w:lang w:val="en-US" w:eastAsia="zh-CN"/>
        </w:rPr>
        <w:t>=</w:t>
      </w:r>
      <w:r>
        <w:rPr>
          <w:rFonts w:ascii="Arial" w:hAnsi="Arial" w:cs="Arial"/>
          <w:sz w:val="18"/>
          <w:szCs w:val="18"/>
          <w:lang w:val="en-GB"/>
        </w:rPr>
        <w:t>C- reactive protein,PCT</w:t>
      </w:r>
      <w:r>
        <w:rPr>
          <w:rFonts w:hint="eastAsia" w:ascii="Arial" w:hAnsi="Arial" w:cs="Arial"/>
          <w:sz w:val="18"/>
          <w:szCs w:val="18"/>
          <w:lang w:val="en-US" w:eastAsia="zh-CN"/>
        </w:rPr>
        <w:t>=</w:t>
      </w:r>
      <w:r>
        <w:rPr>
          <w:rFonts w:ascii="Arial" w:hAnsi="Arial" w:cs="Arial"/>
          <w:sz w:val="18"/>
          <w:szCs w:val="18"/>
          <w:lang w:val="en-GB"/>
        </w:rPr>
        <w:t>procalcitonin,LAC</w:t>
      </w:r>
      <w:r>
        <w:rPr>
          <w:rFonts w:hint="eastAsia" w:ascii="Arial" w:hAnsi="Arial" w:cs="Arial"/>
          <w:sz w:val="18"/>
          <w:szCs w:val="18"/>
          <w:lang w:val="en-US" w:eastAsia="zh-CN"/>
        </w:rPr>
        <w:t>=</w:t>
      </w:r>
      <w:r>
        <w:rPr>
          <w:rFonts w:ascii="Arial" w:hAnsi="Arial" w:cs="Arial"/>
          <w:sz w:val="18"/>
          <w:szCs w:val="18"/>
          <w:lang w:val="en-GB"/>
        </w:rPr>
        <w:t>blood lactate,pH</w:t>
      </w:r>
      <w:r>
        <w:rPr>
          <w:rFonts w:hint="eastAsia" w:ascii="Arial" w:hAnsi="Arial" w:cs="Arial"/>
          <w:sz w:val="18"/>
          <w:szCs w:val="18"/>
          <w:lang w:val="en-US" w:eastAsia="zh-CN"/>
        </w:rPr>
        <w:t>=</w:t>
      </w:r>
      <w:r>
        <w:rPr>
          <w:rFonts w:ascii="Arial" w:hAnsi="Arial" w:cs="Arial"/>
          <w:sz w:val="18"/>
          <w:szCs w:val="18"/>
          <w:lang w:val="en-GB"/>
        </w:rPr>
        <w:t>pondus hydrogenii, Oxygenation index</w:t>
      </w:r>
      <w:r>
        <w:rPr>
          <w:rFonts w:hint="eastAsia" w:ascii="Arial" w:hAnsi="Arial" w:cs="Arial"/>
          <w:sz w:val="18"/>
          <w:szCs w:val="18"/>
          <w:lang w:val="en-US" w:eastAsia="zh-CN"/>
        </w:rPr>
        <w:t>=</w:t>
      </w:r>
      <w:r>
        <w:rPr>
          <w:rFonts w:ascii="Arial" w:hAnsi="Arial" w:cs="Arial"/>
          <w:sz w:val="18"/>
          <w:szCs w:val="18"/>
          <w:lang w:val="en-GB"/>
        </w:rPr>
        <w:t>ratio of PaO</w:t>
      </w:r>
      <w:r>
        <w:rPr>
          <w:rFonts w:ascii="Arial" w:hAnsi="Arial" w:cs="Arial"/>
          <w:sz w:val="18"/>
          <w:szCs w:val="18"/>
          <w:vertAlign w:val="subscript"/>
          <w:lang w:val="en-GB"/>
        </w:rPr>
        <w:t>2</w:t>
      </w:r>
      <w:r>
        <w:rPr>
          <w:rFonts w:ascii="Arial" w:hAnsi="Arial" w:cs="Arial"/>
          <w:sz w:val="18"/>
          <w:szCs w:val="18"/>
          <w:lang w:val="en-GB"/>
        </w:rPr>
        <w:t xml:space="preserve"> and FiO</w:t>
      </w:r>
      <w:r>
        <w:rPr>
          <w:rFonts w:ascii="Arial" w:hAnsi="Arial" w:cs="Arial"/>
          <w:sz w:val="18"/>
          <w:szCs w:val="18"/>
          <w:vertAlign w:val="subscript"/>
          <w:lang w:val="en-GB"/>
        </w:rPr>
        <w:t>2</w:t>
      </w:r>
      <w:r>
        <w:rPr>
          <w:rFonts w:ascii="Arial" w:hAnsi="Arial" w:cs="Arial"/>
          <w:sz w:val="18"/>
          <w:szCs w:val="18"/>
          <w:lang w:val="en-GB"/>
        </w:rPr>
        <w:t>,</w:t>
      </w:r>
      <w:r>
        <w:rPr>
          <w:rFonts w:ascii="Arial" w:hAnsi="Arial" w:cs="Arial"/>
          <w:kern w:val="0"/>
          <w:sz w:val="18"/>
          <w:szCs w:val="18"/>
          <w:lang w:val="en-GB"/>
        </w:rPr>
        <w:t>PaO</w:t>
      </w:r>
      <w:r>
        <w:rPr>
          <w:rFonts w:ascii="Arial" w:hAnsi="Arial" w:cs="Arial"/>
          <w:kern w:val="0"/>
          <w:sz w:val="18"/>
          <w:szCs w:val="18"/>
          <w:vertAlign w:val="subscript"/>
          <w:lang w:val="en-GB"/>
        </w:rPr>
        <w:t>2</w:t>
      </w:r>
      <w:r>
        <w:rPr>
          <w:rFonts w:hint="eastAsia" w:ascii="Arial" w:hAnsi="Arial" w:cs="Arial"/>
          <w:kern w:val="0"/>
          <w:sz w:val="18"/>
          <w:szCs w:val="18"/>
          <w:lang w:val="en-US" w:eastAsia="zh-CN"/>
        </w:rPr>
        <w:t>=</w:t>
      </w:r>
      <w:r>
        <w:rPr>
          <w:rFonts w:ascii="Arial" w:hAnsi="Arial" w:cs="Arial"/>
          <w:kern w:val="0"/>
          <w:sz w:val="18"/>
          <w:szCs w:val="18"/>
          <w:lang w:val="en-GB"/>
        </w:rPr>
        <w:t>partial pressure of oxygen,PaCO</w:t>
      </w:r>
      <w:r>
        <w:rPr>
          <w:rFonts w:ascii="Arial" w:hAnsi="Arial" w:cs="Arial"/>
          <w:kern w:val="0"/>
          <w:sz w:val="18"/>
          <w:szCs w:val="18"/>
          <w:vertAlign w:val="subscript"/>
          <w:lang w:val="en-GB"/>
        </w:rPr>
        <w:t>2</w:t>
      </w:r>
      <w:r>
        <w:rPr>
          <w:rFonts w:hint="eastAsia" w:ascii="Arial" w:hAnsi="Arial" w:cs="Arial"/>
          <w:kern w:val="0"/>
          <w:sz w:val="18"/>
          <w:szCs w:val="18"/>
          <w:lang w:val="en-US" w:eastAsia="zh-CN"/>
        </w:rPr>
        <w:t>=</w:t>
      </w:r>
      <w:r>
        <w:rPr>
          <w:rFonts w:ascii="Arial" w:hAnsi="Arial" w:cs="Arial"/>
          <w:kern w:val="0"/>
          <w:sz w:val="18"/>
          <w:szCs w:val="18"/>
          <w:lang w:val="en-GB"/>
        </w:rPr>
        <w:t>partial pressure of carbon dioxide,PaCO</w:t>
      </w:r>
      <w:r>
        <w:rPr>
          <w:rFonts w:ascii="Arial" w:hAnsi="Arial" w:cs="Arial"/>
          <w:kern w:val="0"/>
          <w:sz w:val="18"/>
          <w:szCs w:val="18"/>
          <w:vertAlign w:val="subscript"/>
          <w:lang w:val="en-GB"/>
        </w:rPr>
        <w:t>2</w:t>
      </w:r>
      <w:r>
        <w:rPr>
          <w:rFonts w:ascii="Arial" w:hAnsi="Arial" w:cs="Arial"/>
          <w:kern w:val="0"/>
          <w:sz w:val="18"/>
          <w:szCs w:val="18"/>
          <w:lang w:val="en-GB"/>
        </w:rPr>
        <w:t>/PaO</w:t>
      </w:r>
      <w:r>
        <w:rPr>
          <w:rFonts w:ascii="Arial" w:hAnsi="Arial" w:cs="Arial"/>
          <w:kern w:val="0"/>
          <w:sz w:val="18"/>
          <w:szCs w:val="18"/>
          <w:vertAlign w:val="subscript"/>
          <w:lang w:val="en-GB"/>
        </w:rPr>
        <w:t>2</w:t>
      </w:r>
      <w:r>
        <w:rPr>
          <w:rFonts w:hint="eastAsia" w:ascii="Arial" w:hAnsi="Arial" w:cs="Arial"/>
          <w:kern w:val="0"/>
          <w:sz w:val="18"/>
          <w:szCs w:val="18"/>
          <w:lang w:val="en-US" w:eastAsia="zh-CN"/>
        </w:rPr>
        <w:t>=</w:t>
      </w:r>
      <w:r>
        <w:rPr>
          <w:rFonts w:ascii="Arial" w:hAnsi="Arial" w:cs="Arial"/>
          <w:kern w:val="0"/>
          <w:sz w:val="18"/>
          <w:szCs w:val="18"/>
          <w:lang w:val="en-GB"/>
        </w:rPr>
        <w:t>ratio of partial pressure of carbon dioxide to partial pressure of oxygen.</w:t>
      </w:r>
    </w:p>
    <w:p>
      <w:pPr>
        <w:spacing w:line="360" w:lineRule="auto"/>
        <w:rPr>
          <w:rFonts w:ascii="Times New Roman" w:hAnsi="Times New Roman"/>
          <w:kern w:val="0"/>
          <w:szCs w:val="21"/>
          <w:lang w:val="en-GB"/>
        </w:rPr>
      </w:pPr>
      <w:r>
        <w:rPr>
          <w:rFonts w:ascii="宋体" w:hAnsi="宋体"/>
          <w:szCs w:val="21"/>
          <w:lang w:val="en-GB"/>
        </w:rPr>
        <w:t>(</w:t>
      </w:r>
      <w:r>
        <w:rPr>
          <w:rFonts w:hint="eastAsia" w:ascii="宋体" w:hAnsi="宋体"/>
          <w:szCs w:val="21"/>
          <w:lang w:val="en-GB"/>
        </w:rPr>
        <w:t>3</w:t>
      </w:r>
      <w:r>
        <w:rPr>
          <w:rFonts w:ascii="宋体" w:hAnsi="宋体"/>
          <w:szCs w:val="21"/>
          <w:lang w:val="en-GB"/>
        </w:rPr>
        <w:t>)</w:t>
      </w:r>
      <w:r>
        <w:rPr>
          <w:rFonts w:ascii="Times New Roman" w:hAnsi="Times New Roman"/>
          <w:szCs w:val="21"/>
          <w:lang w:val="en-GB"/>
        </w:rPr>
        <w:t>Multi-factor Logistic Analysis Results</w:t>
      </w:r>
    </w:p>
    <w:p>
      <w:pPr>
        <w:spacing w:line="360" w:lineRule="auto"/>
        <w:jc w:val="left"/>
        <w:rPr>
          <w:rFonts w:ascii="Times New Roman" w:hAnsi="Times New Roman"/>
          <w:szCs w:val="21"/>
          <w:lang w:val="en-GB"/>
        </w:rPr>
      </w:pPr>
      <w:r>
        <w:rPr>
          <w:rFonts w:ascii="Times New Roman" w:hAnsi="Times New Roman"/>
          <w:szCs w:val="21"/>
          <w:lang w:val="en-GB"/>
        </w:rPr>
        <w:t xml:space="preserve">In order to further explore the function of influencing factors on various clinical indicators of HFNC 2 h failure and exclude confounding factors,a multi-factor analysis was conducted on the basis of a single-factor analysis.The definition and assignment of each clinical indicator in the multivariate analysis are shown in Table </w:t>
      </w:r>
      <w:r>
        <w:rPr>
          <w:rFonts w:hint="eastAsia" w:ascii="Times New Roman" w:hAnsi="Times New Roman"/>
          <w:szCs w:val="21"/>
          <w:lang w:val="en-GB"/>
        </w:rPr>
        <w:t>7</w:t>
      </w:r>
      <w:r>
        <w:rPr>
          <w:rFonts w:ascii="Times New Roman" w:hAnsi="Times New Roman"/>
          <w:szCs w:val="21"/>
          <w:lang w:val="en-GB"/>
        </w:rPr>
        <w:t>.</w:t>
      </w:r>
    </w:p>
    <w:p>
      <w:pPr>
        <w:spacing w:line="360" w:lineRule="auto"/>
        <w:jc w:val="left"/>
        <w:rPr>
          <w:rFonts w:ascii="Arial" w:hAnsi="Arial" w:cs="Arial"/>
          <w:bCs/>
          <w:sz w:val="18"/>
          <w:szCs w:val="18"/>
          <w:lang w:val="en-GB"/>
        </w:rPr>
      </w:pPr>
      <w:r>
        <w:rPr>
          <w:rFonts w:ascii="Arial" w:hAnsi="Arial" w:cs="Arial"/>
          <w:sz w:val="18"/>
          <w:szCs w:val="18"/>
          <w:lang w:val="en-GB"/>
        </w:rPr>
        <w:t xml:space="preserve">Table </w:t>
      </w:r>
      <w:r>
        <w:rPr>
          <w:rFonts w:hint="eastAsia" w:ascii="Arial" w:hAnsi="Arial" w:cs="Arial"/>
          <w:sz w:val="18"/>
          <w:szCs w:val="18"/>
          <w:lang w:val="en-GB"/>
        </w:rPr>
        <w:t>7</w:t>
      </w:r>
      <w:r>
        <w:rPr>
          <w:rFonts w:ascii="Arial" w:hAnsi="Arial" w:cs="Arial"/>
          <w:sz w:val="18"/>
          <w:szCs w:val="18"/>
          <w:lang w:val="en-GB"/>
        </w:rPr>
        <w:t xml:space="preserve"> Explanations of the Influencing Factors for high-flow nasal cannula oxygen therapy 2 h Failure in the Logistic Regression Analysis</w:t>
      </w:r>
    </w:p>
    <w:tbl>
      <w:tblPr>
        <w:tblStyle w:val="4"/>
        <w:tblW w:w="8138" w:type="dxa"/>
        <w:tblInd w:w="0" w:type="dxa"/>
        <w:tblLayout w:type="fixed"/>
        <w:tblCellMar>
          <w:top w:w="0" w:type="dxa"/>
          <w:left w:w="108" w:type="dxa"/>
          <w:bottom w:w="0" w:type="dxa"/>
          <w:right w:w="108" w:type="dxa"/>
        </w:tblCellMar>
      </w:tblPr>
      <w:tblGrid>
        <w:gridCol w:w="1254"/>
        <w:gridCol w:w="2891"/>
        <w:gridCol w:w="3993"/>
      </w:tblGrid>
      <w:tr>
        <w:tblPrEx>
          <w:tblCellMar>
            <w:top w:w="0" w:type="dxa"/>
            <w:left w:w="108" w:type="dxa"/>
            <w:bottom w:w="0" w:type="dxa"/>
            <w:right w:w="108" w:type="dxa"/>
          </w:tblCellMar>
        </w:tblPrEx>
        <w:trPr>
          <w:trHeight w:val="511" w:hRule="atLeast"/>
        </w:trPr>
        <w:tc>
          <w:tcPr>
            <w:tcW w:w="1254" w:type="dxa"/>
            <w:tcBorders>
              <w:top w:val="single" w:color="auto" w:sz="4" w:space="0"/>
              <w:bottom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Variable</w:t>
            </w:r>
          </w:p>
        </w:tc>
        <w:tc>
          <w:tcPr>
            <w:tcW w:w="2891" w:type="dxa"/>
            <w:tcBorders>
              <w:top w:val="single" w:color="auto" w:sz="4" w:space="0"/>
              <w:bottom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Variable item</w:t>
            </w:r>
          </w:p>
        </w:tc>
        <w:tc>
          <w:tcPr>
            <w:tcW w:w="3993" w:type="dxa"/>
            <w:tcBorders>
              <w:top w:val="single" w:color="auto" w:sz="4" w:space="0"/>
              <w:bottom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Variable value range and explanation</w:t>
            </w:r>
          </w:p>
        </w:tc>
      </w:tr>
      <w:tr>
        <w:tblPrEx>
          <w:tblCellMar>
            <w:top w:w="0" w:type="dxa"/>
            <w:left w:w="108" w:type="dxa"/>
            <w:bottom w:w="0" w:type="dxa"/>
            <w:right w:w="108" w:type="dxa"/>
          </w:tblCellMar>
        </w:tblPrEx>
        <w:trPr>
          <w:trHeight w:val="584" w:hRule="atLeast"/>
        </w:trPr>
        <w:tc>
          <w:tcPr>
            <w:tcW w:w="1254" w:type="dxa"/>
            <w:tcBorders>
              <w:top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i/>
                <w:sz w:val="18"/>
                <w:szCs w:val="18"/>
                <w:lang w:val="en-GB"/>
              </w:rPr>
            </w:pPr>
            <w:r>
              <w:rPr>
                <w:rFonts w:ascii="Arial" w:hAnsi="Arial" w:cs="Arial"/>
                <w:i/>
                <w:sz w:val="18"/>
                <w:szCs w:val="18"/>
                <w:lang w:val="en-GB"/>
              </w:rPr>
              <w:t>Y</w:t>
            </w:r>
          </w:p>
        </w:tc>
        <w:tc>
          <w:tcPr>
            <w:tcW w:w="2891" w:type="dxa"/>
            <w:tcBorders>
              <w:top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HFNC 2 h failure</w:t>
            </w:r>
          </w:p>
        </w:tc>
        <w:tc>
          <w:tcPr>
            <w:tcW w:w="3993" w:type="dxa"/>
            <w:tcBorders>
              <w:top w:val="single" w:color="auto" w:sz="4" w:space="0"/>
            </w:tcBorders>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no=1</w:t>
            </w:r>
            <w:r>
              <w:rPr>
                <w:rFonts w:hint="eastAsia" w:ascii="Arial" w:hAnsi="Arial" w:cs="Arial"/>
                <w:sz w:val="18"/>
                <w:szCs w:val="18"/>
                <w:lang w:val="en-GB"/>
              </w:rPr>
              <w:t>，</w:t>
            </w:r>
            <w:r>
              <w:rPr>
                <w:rFonts w:ascii="Arial" w:hAnsi="Arial" w:cs="Arial"/>
                <w:sz w:val="18"/>
                <w:szCs w:val="18"/>
                <w:lang w:val="en-GB"/>
              </w:rPr>
              <w:t>yes=2</w:t>
            </w:r>
          </w:p>
        </w:tc>
      </w:tr>
      <w:tr>
        <w:tblPrEx>
          <w:tblCellMar>
            <w:top w:w="0" w:type="dxa"/>
            <w:left w:w="108" w:type="dxa"/>
            <w:bottom w:w="0" w:type="dxa"/>
            <w:right w:w="108" w:type="dxa"/>
          </w:tblCellMar>
        </w:tblPrEx>
        <w:trPr>
          <w:trHeight w:val="574"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sz w:val="18"/>
                <w:szCs w:val="18"/>
                <w:lang w:val="en-GB"/>
              </w:rPr>
            </w:pPr>
            <w:r>
              <w:rPr>
                <w:rFonts w:ascii="Arial" w:hAnsi="Arial" w:cs="Arial"/>
                <w:i/>
                <w:sz w:val="18"/>
                <w:szCs w:val="18"/>
                <w:lang w:val="en-GB"/>
              </w:rPr>
              <w:t>X 1</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GCS score</w:t>
            </w:r>
          </w:p>
        </w:tc>
        <w:tc>
          <w:tcPr>
            <w:tcW w:w="3993"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1=≤12 points</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12 points</w:t>
            </w:r>
          </w:p>
        </w:tc>
      </w:tr>
      <w:tr>
        <w:tblPrEx>
          <w:tblCellMar>
            <w:top w:w="0" w:type="dxa"/>
            <w:left w:w="108" w:type="dxa"/>
            <w:bottom w:w="0" w:type="dxa"/>
            <w:right w:w="108" w:type="dxa"/>
          </w:tblCellMar>
        </w:tblPrEx>
        <w:trPr>
          <w:trHeight w:val="501"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i/>
                <w:sz w:val="18"/>
                <w:szCs w:val="18"/>
                <w:lang w:val="en-GB"/>
              </w:rPr>
              <w:t>X 2</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sz w:val="18"/>
                <w:szCs w:val="18"/>
                <w:lang w:val="en-GB"/>
              </w:rPr>
            </w:pPr>
            <w:r>
              <w:rPr>
                <w:rFonts w:ascii="Arial" w:hAnsi="Arial" w:cs="Arial"/>
                <w:sz w:val="18"/>
                <w:szCs w:val="18"/>
                <w:lang w:val="en-GB"/>
              </w:rPr>
              <w:t>PRISM III score</w:t>
            </w:r>
          </w:p>
        </w:tc>
        <w:tc>
          <w:tcPr>
            <w:tcW w:w="3993"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1=≤6.5 points</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6.5 points</w:t>
            </w:r>
          </w:p>
        </w:tc>
      </w:tr>
      <w:tr>
        <w:tblPrEx>
          <w:tblCellMar>
            <w:top w:w="0" w:type="dxa"/>
            <w:left w:w="108" w:type="dxa"/>
            <w:bottom w:w="0" w:type="dxa"/>
            <w:right w:w="108" w:type="dxa"/>
          </w:tblCellMar>
        </w:tblPrEx>
        <w:trPr>
          <w:trHeight w:val="501"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3</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bCs/>
                <w:sz w:val="18"/>
                <w:szCs w:val="18"/>
                <w:lang w:val="en-GB"/>
              </w:rPr>
              <w:t>CRP</w:t>
            </w:r>
          </w:p>
        </w:tc>
        <w:tc>
          <w:tcPr>
            <w:tcW w:w="3993"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1=≤12 mg/L</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12 mg/L</w:t>
            </w:r>
          </w:p>
        </w:tc>
      </w:tr>
      <w:tr>
        <w:tblPrEx>
          <w:tblCellMar>
            <w:top w:w="0" w:type="dxa"/>
            <w:left w:w="108" w:type="dxa"/>
            <w:bottom w:w="0" w:type="dxa"/>
            <w:right w:w="108" w:type="dxa"/>
          </w:tblCellMar>
        </w:tblPrEx>
        <w:trPr>
          <w:trHeight w:val="501"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4</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sz w:val="18"/>
                <w:szCs w:val="18"/>
                <w:lang w:val="en-GB"/>
              </w:rPr>
              <w:t>pH</w:t>
            </w:r>
          </w:p>
        </w:tc>
        <w:tc>
          <w:tcPr>
            <w:tcW w:w="3993"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1=≤7.35</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7.35</w:t>
            </w:r>
          </w:p>
        </w:tc>
      </w:tr>
      <w:tr>
        <w:tblPrEx>
          <w:tblCellMar>
            <w:top w:w="0" w:type="dxa"/>
            <w:left w:w="108" w:type="dxa"/>
            <w:bottom w:w="0" w:type="dxa"/>
            <w:right w:w="108" w:type="dxa"/>
          </w:tblCellMar>
        </w:tblPrEx>
        <w:trPr>
          <w:trHeight w:val="501"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5</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color w:val="000000"/>
                <w:sz w:val="18"/>
                <w:szCs w:val="18"/>
                <w:lang w:val="en-GB"/>
              </w:rPr>
              <w:t>PaCO</w:t>
            </w:r>
            <w:r>
              <w:rPr>
                <w:rFonts w:ascii="Arial" w:hAnsi="Arial" w:cs="Arial"/>
                <w:color w:val="000000"/>
                <w:sz w:val="18"/>
                <w:szCs w:val="18"/>
                <w:vertAlign w:val="subscript"/>
                <w:lang w:val="en-GB"/>
              </w:rPr>
              <w:t>2</w:t>
            </w:r>
            <w:r>
              <w:rPr>
                <w:rFonts w:ascii="Arial" w:hAnsi="Arial" w:cs="Arial"/>
                <w:color w:val="000000"/>
                <w:sz w:val="18"/>
                <w:szCs w:val="18"/>
                <w:lang w:val="en-GB"/>
              </w:rPr>
              <w:t>/PaO</w:t>
            </w:r>
            <w:r>
              <w:rPr>
                <w:rFonts w:ascii="Arial" w:hAnsi="Arial" w:cs="Arial"/>
                <w:color w:val="000000"/>
                <w:sz w:val="18"/>
                <w:szCs w:val="18"/>
                <w:vertAlign w:val="subscript"/>
                <w:lang w:val="en-GB"/>
              </w:rPr>
              <w:t>2</w:t>
            </w:r>
          </w:p>
        </w:tc>
        <w:tc>
          <w:tcPr>
            <w:tcW w:w="3993"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1=≤0.67</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0.67</w:t>
            </w:r>
          </w:p>
        </w:tc>
      </w:tr>
      <w:tr>
        <w:tblPrEx>
          <w:tblCellMar>
            <w:top w:w="0" w:type="dxa"/>
            <w:left w:w="108" w:type="dxa"/>
            <w:bottom w:w="0" w:type="dxa"/>
            <w:right w:w="108" w:type="dxa"/>
          </w:tblCellMar>
        </w:tblPrEx>
        <w:trPr>
          <w:trHeight w:val="501" w:hRule="atLeast"/>
        </w:trPr>
        <w:tc>
          <w:tcPr>
            <w:tcW w:w="1254" w:type="dxa"/>
            <w:noWrap w:val="0"/>
            <w:tcMar>
              <w:top w:w="15" w:type="dxa"/>
              <w:left w:w="15" w:type="dxa"/>
              <w:bottom w:w="15" w:type="dxa"/>
              <w:right w:w="15" w:type="dxa"/>
            </w:tcMar>
            <w:vAlign w:val="bottom"/>
          </w:tcPr>
          <w:p>
            <w:pPr>
              <w:spacing w:line="360" w:lineRule="auto"/>
              <w:jc w:val="center"/>
              <w:rPr>
                <w:rFonts w:ascii="Arial" w:hAnsi="Arial" w:cs="Arial"/>
                <w:i/>
                <w:iCs/>
                <w:sz w:val="18"/>
                <w:szCs w:val="18"/>
                <w:lang w:val="en-GB"/>
              </w:rPr>
            </w:pPr>
            <w:r>
              <w:rPr>
                <w:rFonts w:ascii="Arial" w:hAnsi="Arial" w:cs="Arial"/>
                <w:i/>
                <w:iCs/>
                <w:sz w:val="18"/>
                <w:szCs w:val="18"/>
                <w:lang w:val="en-GB"/>
              </w:rPr>
              <w:t>X 6</w:t>
            </w:r>
          </w:p>
        </w:tc>
        <w:tc>
          <w:tcPr>
            <w:tcW w:w="2891" w:type="dxa"/>
            <w:noWrap w:val="0"/>
            <w:tcMar>
              <w:top w:w="15" w:type="dxa"/>
              <w:left w:w="15" w:type="dxa"/>
              <w:bottom w:w="15" w:type="dxa"/>
              <w:right w:w="15" w:type="dxa"/>
            </w:tcMar>
            <w:vAlign w:val="bottom"/>
          </w:tcPr>
          <w:p>
            <w:pPr>
              <w:spacing w:line="360" w:lineRule="auto"/>
              <w:jc w:val="center"/>
              <w:rPr>
                <w:rFonts w:ascii="Arial" w:hAnsi="Arial" w:cs="Arial"/>
                <w:bCs/>
                <w:sz w:val="18"/>
                <w:szCs w:val="18"/>
                <w:lang w:val="en-GB"/>
              </w:rPr>
            </w:pPr>
            <w:r>
              <w:rPr>
                <w:rFonts w:ascii="Arial" w:hAnsi="Arial" w:cs="Arial"/>
                <w:bCs/>
                <w:sz w:val="18"/>
                <w:szCs w:val="18"/>
                <w:lang w:val="en-GB"/>
              </w:rPr>
              <w:t>Oxygenation index</w:t>
            </w:r>
          </w:p>
        </w:tc>
        <w:tc>
          <w:tcPr>
            <w:tcW w:w="3993" w:type="dxa"/>
            <w:noWrap w:val="0"/>
            <w:tcMar>
              <w:top w:w="15" w:type="dxa"/>
              <w:left w:w="15" w:type="dxa"/>
              <w:bottom w:w="15" w:type="dxa"/>
              <w:right w:w="15" w:type="dxa"/>
            </w:tcMar>
            <w:vAlign w:val="top"/>
          </w:tcPr>
          <w:p>
            <w:pPr>
              <w:jc w:val="center"/>
              <w:rPr>
                <w:rFonts w:ascii="Arial" w:hAnsi="Arial" w:cs="Arial"/>
                <w:sz w:val="18"/>
                <w:szCs w:val="18"/>
                <w:lang w:val="en-GB"/>
              </w:rPr>
            </w:pPr>
            <w:r>
              <w:rPr>
                <w:rFonts w:ascii="Arial" w:hAnsi="Arial" w:cs="Arial"/>
                <w:sz w:val="18"/>
                <w:szCs w:val="18"/>
                <w:lang w:val="en-GB"/>
              </w:rPr>
              <w:t>1=≤144</w:t>
            </w:r>
            <w:r>
              <w:rPr>
                <w:rFonts w:hint="eastAsia" w:ascii="Arial" w:hAnsi="Arial" w:cs="Arial"/>
                <w:sz w:val="18"/>
                <w:szCs w:val="18"/>
                <w:lang w:val="en-GB"/>
              </w:rPr>
              <w:t>，</w:t>
            </w:r>
            <w:r>
              <w:rPr>
                <w:rFonts w:ascii="Arial" w:hAnsi="Arial" w:cs="Arial"/>
                <w:sz w:val="18"/>
                <w:szCs w:val="18"/>
                <w:lang w:val="en-GB"/>
              </w:rPr>
              <w:t>2=</w:t>
            </w:r>
            <w:r>
              <w:rPr>
                <w:rFonts w:hint="eastAsia" w:ascii="Arial" w:hAnsi="Arial" w:cs="Arial"/>
                <w:sz w:val="18"/>
                <w:szCs w:val="18"/>
                <w:lang w:val="en-GB"/>
              </w:rPr>
              <w:t>＞</w:t>
            </w:r>
            <w:r>
              <w:rPr>
                <w:rFonts w:ascii="Arial" w:hAnsi="Arial" w:cs="Arial"/>
                <w:sz w:val="18"/>
                <w:szCs w:val="18"/>
                <w:lang w:val="en-GB"/>
              </w:rPr>
              <w:t>144</w:t>
            </w:r>
          </w:p>
        </w:tc>
      </w:tr>
    </w:tbl>
    <w:p>
      <w:pPr>
        <w:spacing w:line="360" w:lineRule="auto"/>
        <w:rPr>
          <w:rFonts w:ascii="Times New Roman" w:hAnsi="Times New Roman"/>
          <w:szCs w:val="21"/>
          <w:lang w:val="en-GB"/>
        </w:rPr>
      </w:pPr>
      <w:r>
        <w:rPr>
          <w:rFonts w:hint="eastAsia" w:ascii="Times New Roman" w:hAnsi="Times New Roman"/>
          <w:szCs w:val="21"/>
          <w:lang w:val="en-GB"/>
        </w:rPr>
        <w:t>Six</w:t>
      </w:r>
      <w:r>
        <w:rPr>
          <w:rFonts w:ascii="Times New Roman" w:hAnsi="Times New Roman"/>
          <w:szCs w:val="21"/>
          <w:lang w:val="en-GB"/>
        </w:rPr>
        <w:t xml:space="preserve"> variables that had statistical significance in the univariate analysis were introduced into the unconditional logistic regression model.A stepwise regression method was used to determine the risk factors for patients in whom HFNC failed within 2 h.Among them,the PRISM III score (OR=27.977, 95%CI=3.693</w:t>
      </w:r>
      <w:r>
        <w:rPr>
          <w:rFonts w:hint="eastAsia" w:ascii="Times New Roman" w:hAnsi="Times New Roman"/>
          <w:szCs w:val="21"/>
          <w:lang w:val="en-GB"/>
        </w:rPr>
        <w:t>～</w:t>
      </w:r>
      <w:r>
        <w:rPr>
          <w:rFonts w:ascii="Times New Roman" w:hAnsi="Times New Roman"/>
          <w:szCs w:val="21"/>
          <w:lang w:val="en-GB"/>
        </w:rPr>
        <w:t xml:space="preserve">211.961) and </w:t>
      </w:r>
      <w:r>
        <w:rPr>
          <w:rFonts w:ascii="Times New Roman" w:hAnsi="Times New Roman"/>
          <w:color w:val="000000"/>
          <w:kern w:val="0"/>
          <w:szCs w:val="21"/>
          <w:lang w:val="en-GB"/>
        </w:rPr>
        <w:t>PaCO</w:t>
      </w:r>
      <w:r>
        <w:rPr>
          <w:rFonts w:ascii="Times New Roman" w:hAnsi="Times New Roman"/>
          <w:color w:val="000000"/>
          <w:kern w:val="0"/>
          <w:szCs w:val="21"/>
          <w:vertAlign w:val="subscript"/>
          <w:lang w:val="en-GB"/>
        </w:rPr>
        <w:t>2</w:t>
      </w:r>
      <w:r>
        <w:rPr>
          <w:rFonts w:ascii="Times New Roman" w:hAnsi="Times New Roman"/>
          <w:color w:val="000000"/>
          <w:kern w:val="0"/>
          <w:szCs w:val="21"/>
          <w:lang w:val="en-GB"/>
        </w:rPr>
        <w:t>/PaO</w:t>
      </w:r>
      <w:r>
        <w:rPr>
          <w:rFonts w:ascii="Times New Roman" w:hAnsi="Times New Roman"/>
          <w:color w:val="000000"/>
          <w:kern w:val="0"/>
          <w:szCs w:val="21"/>
          <w:vertAlign w:val="subscript"/>
          <w:lang w:val="en-GB"/>
        </w:rPr>
        <w:t>2</w:t>
      </w:r>
      <w:r>
        <w:rPr>
          <w:rFonts w:ascii="Times New Roman" w:hAnsi="Times New Roman"/>
          <w:szCs w:val="21"/>
          <w:lang w:val="en-GB"/>
        </w:rPr>
        <w:t xml:space="preserve"> ratio (</w:t>
      </w:r>
      <w:r>
        <w:rPr>
          <w:rFonts w:ascii="Times New Roman" w:hAnsi="Times New Roman"/>
          <w:i/>
          <w:szCs w:val="21"/>
          <w:lang w:val="en-GB"/>
        </w:rPr>
        <w:t>OR</w:t>
      </w:r>
      <w:r>
        <w:rPr>
          <w:rFonts w:ascii="Times New Roman" w:hAnsi="Times New Roman"/>
          <w:szCs w:val="21"/>
          <w:lang w:val="en-GB"/>
        </w:rPr>
        <w:t>=64.366,95% CI=7.320</w:t>
      </w:r>
      <w:r>
        <w:rPr>
          <w:rFonts w:hint="eastAsia" w:ascii="Times New Roman" w:hAnsi="Times New Roman"/>
          <w:szCs w:val="21"/>
          <w:lang w:val="en-GB"/>
        </w:rPr>
        <w:t>～</w:t>
      </w:r>
      <w:r>
        <w:rPr>
          <w:rFonts w:ascii="Times New Roman" w:hAnsi="Times New Roman"/>
          <w:szCs w:val="21"/>
          <w:lang w:val="en-GB"/>
        </w:rPr>
        <w:t xml:space="preserve">566.008) were risk factors for 2 h failure.Note that the HFNC 2 h failure risk increased by more than 27 times when the PRISM III score &gt;6.5 points than when it was </w:t>
      </w:r>
      <w:r>
        <w:rPr>
          <w:rFonts w:hint="eastAsia" w:ascii="Times New Roman" w:hAnsi="Times New Roman"/>
          <w:szCs w:val="21"/>
          <w:lang w:val="en-GB"/>
        </w:rPr>
        <w:t>≤</w:t>
      </w:r>
      <w:r>
        <w:rPr>
          <w:rFonts w:ascii="Times New Roman" w:hAnsi="Times New Roman"/>
          <w:szCs w:val="21"/>
          <w:lang w:val="en-GB"/>
        </w:rPr>
        <w:t>6.5 points.Combined with the results of the 48 h failure group,it could be concluded that the higher the PRISM III score was,the higher the risk of failure of HFNC and the earlier the failure time.</w:t>
      </w:r>
    </w:p>
    <w:p>
      <w:pPr>
        <w:spacing w:line="360" w:lineRule="auto"/>
        <w:jc w:val="left"/>
        <w:rPr>
          <w:rFonts w:ascii="Times New Roman" w:hAnsi="Times New Roman"/>
          <w:szCs w:val="21"/>
          <w:lang w:val="en-GB"/>
        </w:rPr>
      </w:pPr>
      <w:r>
        <w:rPr>
          <w:rFonts w:ascii="Times New Roman" w:hAnsi="Times New Roman"/>
          <w:szCs w:val="21"/>
          <w:lang w:val="en-GB"/>
        </w:rPr>
        <w:t>The HFNC 2 h failure risk increased by over 64 times higher when the PaCO</w:t>
      </w:r>
      <w:r>
        <w:rPr>
          <w:rFonts w:ascii="Times New Roman" w:hAnsi="Times New Roman"/>
          <w:szCs w:val="21"/>
          <w:vertAlign w:val="subscript"/>
          <w:lang w:val="en-GB"/>
        </w:rPr>
        <w:t>2</w:t>
      </w:r>
      <w:r>
        <w:rPr>
          <w:rFonts w:ascii="Times New Roman" w:hAnsi="Times New Roman"/>
          <w:szCs w:val="21"/>
          <w:lang w:val="en-GB"/>
        </w:rPr>
        <w:t>/PaO</w:t>
      </w:r>
      <w:r>
        <w:rPr>
          <w:rFonts w:ascii="Times New Roman" w:hAnsi="Times New Roman"/>
          <w:szCs w:val="21"/>
          <w:vertAlign w:val="subscript"/>
          <w:lang w:val="en-GB"/>
        </w:rPr>
        <w:t>2</w:t>
      </w:r>
      <w:r>
        <w:rPr>
          <w:rFonts w:ascii="Times New Roman" w:hAnsi="Times New Roman"/>
          <w:szCs w:val="21"/>
          <w:lang w:val="en-GB"/>
        </w:rPr>
        <w:t xml:space="preserve"> ratio was &gt;0.67</w:t>
      </w:r>
      <w:r>
        <w:rPr>
          <w:rFonts w:hint="eastAsia" w:ascii="Times New Roman" w:hAnsi="Times New Roman"/>
          <w:szCs w:val="21"/>
          <w:lang w:val="en-US" w:eastAsia="zh-CN"/>
        </w:rPr>
        <w:t>.</w:t>
      </w:r>
      <w:r>
        <w:rPr>
          <w:rFonts w:ascii="Times New Roman" w:hAnsi="Times New Roman"/>
          <w:szCs w:val="21"/>
          <w:lang w:val="en-GB"/>
        </w:rPr>
        <w:t>Combined with the results of the 48 h and 24 h failure groups,PaCO</w:t>
      </w:r>
      <w:r>
        <w:rPr>
          <w:rFonts w:ascii="Times New Roman" w:hAnsi="Times New Roman"/>
          <w:szCs w:val="21"/>
          <w:vertAlign w:val="subscript"/>
          <w:lang w:val="en-GB"/>
        </w:rPr>
        <w:t>2</w:t>
      </w:r>
      <w:r>
        <w:rPr>
          <w:rFonts w:ascii="Times New Roman" w:hAnsi="Times New Roman"/>
          <w:szCs w:val="21"/>
          <w:lang w:val="en-GB"/>
        </w:rPr>
        <w:t>,which indicates the index of ventilation,was a risk factor for HFNC failure</w:t>
      </w:r>
      <w:r>
        <w:rPr>
          <w:rFonts w:ascii="Times New Roman" w:hAnsi="Times New Roman"/>
          <w:kern w:val="0"/>
          <w:szCs w:val="21"/>
          <w:lang w:val="en-GB"/>
        </w:rPr>
        <w:t xml:space="preserve"> pediatric patients with hypercapnia should be carefully considered when choosing HFNC as respiratory support (</w:t>
      </w:r>
      <w:r>
        <w:rPr>
          <w:rFonts w:ascii="Times New Roman" w:hAnsi="Times New Roman"/>
          <w:szCs w:val="21"/>
          <w:lang w:val="en-GB"/>
        </w:rPr>
        <w:t>see</w:t>
      </w:r>
      <w:bookmarkStart w:id="0" w:name="OLE_LINK75"/>
      <w:bookmarkEnd w:id="0"/>
      <w:bookmarkStart w:id="1" w:name="OLE_LINK76"/>
      <w:bookmarkEnd w:id="1"/>
      <w:r>
        <w:rPr>
          <w:rFonts w:ascii="Times New Roman" w:hAnsi="Times New Roman"/>
          <w:szCs w:val="21"/>
          <w:lang w:val="en-GB"/>
        </w:rPr>
        <w:t xml:space="preserve"> in Table </w:t>
      </w:r>
      <w:r>
        <w:rPr>
          <w:rFonts w:hint="eastAsia" w:ascii="Times New Roman" w:hAnsi="Times New Roman"/>
          <w:szCs w:val="21"/>
          <w:lang w:val="en-GB"/>
        </w:rPr>
        <w:t>8</w:t>
      </w:r>
      <w:r>
        <w:rPr>
          <w:rFonts w:ascii="Times New Roman" w:hAnsi="Times New Roman"/>
          <w:szCs w:val="21"/>
          <w:lang w:val="en-GB"/>
        </w:rPr>
        <w:t>).</w:t>
      </w:r>
    </w:p>
    <w:p>
      <w:pPr>
        <w:spacing w:line="360" w:lineRule="auto"/>
        <w:jc w:val="left"/>
        <w:rPr>
          <w:rFonts w:ascii="Arial" w:hAnsi="Arial" w:cs="Arial"/>
          <w:bCs/>
          <w:sz w:val="18"/>
          <w:szCs w:val="18"/>
          <w:lang w:val="en-GB"/>
        </w:rPr>
      </w:pPr>
      <w:r>
        <w:rPr>
          <w:rFonts w:ascii="Arial" w:hAnsi="Arial" w:cs="Arial"/>
          <w:bCs/>
          <w:sz w:val="18"/>
          <w:szCs w:val="18"/>
          <w:lang w:val="en-GB"/>
        </w:rPr>
        <w:t xml:space="preserve">Table </w:t>
      </w:r>
      <w:r>
        <w:rPr>
          <w:rFonts w:hint="eastAsia" w:ascii="Arial" w:hAnsi="Arial" w:cs="Arial"/>
          <w:bCs/>
          <w:sz w:val="18"/>
          <w:szCs w:val="18"/>
          <w:lang w:val="en-GB"/>
        </w:rPr>
        <w:t>8</w:t>
      </w:r>
      <w:r>
        <w:rPr>
          <w:rFonts w:ascii="Arial" w:hAnsi="Arial" w:cs="Arial"/>
          <w:bCs/>
          <w:sz w:val="18"/>
          <w:szCs w:val="18"/>
          <w:lang w:val="en-GB"/>
        </w:rPr>
        <w:t xml:space="preserve"> Multi-factor Logistic Analysis for </w:t>
      </w:r>
      <w:r>
        <w:rPr>
          <w:rFonts w:ascii="Arial" w:hAnsi="Arial" w:cs="Arial"/>
          <w:sz w:val="18"/>
          <w:szCs w:val="18"/>
          <w:lang w:val="en-GB"/>
        </w:rPr>
        <w:t>high-flow nasal cannula oxygen therapy</w:t>
      </w:r>
      <w:r>
        <w:rPr>
          <w:rFonts w:ascii="Arial" w:hAnsi="Arial" w:cs="Arial"/>
          <w:bCs/>
          <w:sz w:val="18"/>
          <w:szCs w:val="18"/>
          <w:lang w:val="en-GB"/>
        </w:rPr>
        <w:t xml:space="preserve"> 2 h Failure</w:t>
      </w:r>
    </w:p>
    <w:tbl>
      <w:tblPr>
        <w:tblStyle w:val="4"/>
        <w:tblW w:w="8177" w:type="dxa"/>
        <w:tblInd w:w="-12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41"/>
        <w:gridCol w:w="1109"/>
        <w:gridCol w:w="954"/>
        <w:gridCol w:w="971"/>
        <w:gridCol w:w="831"/>
        <w:gridCol w:w="832"/>
        <w:gridCol w:w="153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trPr>
        <w:tc>
          <w:tcPr>
            <w:tcW w:w="1941"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Variant</w:t>
            </w:r>
          </w:p>
        </w:tc>
        <w:tc>
          <w:tcPr>
            <w:tcW w:w="1109"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Regression coefficients</w:t>
            </w:r>
          </w:p>
        </w:tc>
        <w:tc>
          <w:tcPr>
            <w:tcW w:w="954"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Standard error</w:t>
            </w:r>
          </w:p>
        </w:tc>
        <w:tc>
          <w:tcPr>
            <w:tcW w:w="971"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i/>
                <w:sz w:val="18"/>
                <w:szCs w:val="18"/>
                <w:lang w:val="en-GB"/>
              </w:rPr>
            </w:pPr>
            <w:r>
              <w:rPr>
                <w:rFonts w:ascii="Arial" w:hAnsi="Arial" w:cs="Arial"/>
                <w:i/>
                <w:sz w:val="18"/>
                <w:szCs w:val="18"/>
                <w:lang w:val="en-GB"/>
              </w:rPr>
              <w:t>Wald</w:t>
            </w:r>
          </w:p>
        </w:tc>
        <w:tc>
          <w:tcPr>
            <w:tcW w:w="831"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i/>
                <w:iCs/>
                <w:sz w:val="18"/>
                <w:szCs w:val="18"/>
                <w:lang w:val="en-GB"/>
              </w:rPr>
              <w:t>P</w:t>
            </w:r>
          </w:p>
        </w:tc>
        <w:tc>
          <w:tcPr>
            <w:tcW w:w="832"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i/>
                <w:sz w:val="18"/>
                <w:szCs w:val="18"/>
                <w:lang w:val="en-GB"/>
              </w:rPr>
            </w:pPr>
            <w:r>
              <w:rPr>
                <w:rFonts w:ascii="Arial" w:hAnsi="Arial" w:cs="Arial"/>
                <w:i/>
                <w:sz w:val="18"/>
                <w:szCs w:val="18"/>
                <w:lang w:val="en-GB"/>
              </w:rPr>
              <w:t>OR</w:t>
            </w:r>
          </w:p>
        </w:tc>
        <w:tc>
          <w:tcPr>
            <w:tcW w:w="1539" w:type="dxa"/>
            <w:tcBorders>
              <w:top w:val="single" w:color="auto" w:sz="4" w:space="0"/>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i/>
                <w:sz w:val="18"/>
                <w:szCs w:val="18"/>
                <w:lang w:val="en-GB"/>
              </w:rPr>
            </w:pPr>
            <w:r>
              <w:rPr>
                <w:rFonts w:ascii="Arial" w:hAnsi="Arial" w:cs="Arial"/>
                <w:i/>
                <w:sz w:val="18"/>
                <w:szCs w:val="18"/>
                <w:lang w:val="en-GB"/>
              </w:rPr>
              <w:t>95% 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41"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PRISM III</w:t>
            </w:r>
            <w:r>
              <w:rPr>
                <w:rFonts w:hint="eastAsia" w:ascii="Arial" w:hAnsi="Arial" w:cs="Arial"/>
                <w:sz w:val="18"/>
                <w:szCs w:val="18"/>
                <w:lang w:val="en-GB"/>
              </w:rPr>
              <w:t>＞</w:t>
            </w:r>
            <w:r>
              <w:rPr>
                <w:rFonts w:ascii="Arial" w:hAnsi="Arial" w:cs="Arial"/>
                <w:sz w:val="18"/>
                <w:szCs w:val="18"/>
                <w:lang w:val="en-GB"/>
              </w:rPr>
              <w:t>6.5 points</w:t>
            </w:r>
          </w:p>
        </w:tc>
        <w:tc>
          <w:tcPr>
            <w:tcW w:w="1109"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3.331</w:t>
            </w:r>
          </w:p>
        </w:tc>
        <w:tc>
          <w:tcPr>
            <w:tcW w:w="954"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1.033</w:t>
            </w:r>
          </w:p>
        </w:tc>
        <w:tc>
          <w:tcPr>
            <w:tcW w:w="971"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10.397</w:t>
            </w:r>
          </w:p>
        </w:tc>
        <w:tc>
          <w:tcPr>
            <w:tcW w:w="831"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0.001</w:t>
            </w:r>
          </w:p>
        </w:tc>
        <w:tc>
          <w:tcPr>
            <w:tcW w:w="832"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b/>
                <w:sz w:val="18"/>
                <w:szCs w:val="18"/>
                <w:lang w:val="en-GB"/>
              </w:rPr>
            </w:pPr>
            <w:r>
              <w:rPr>
                <w:rFonts w:ascii="Arial" w:hAnsi="Arial" w:cs="Arial"/>
                <w:b/>
                <w:bCs/>
                <w:sz w:val="18"/>
                <w:szCs w:val="18"/>
                <w:lang w:val="en-GB"/>
              </w:rPr>
              <w:t>27.977</w:t>
            </w:r>
          </w:p>
        </w:tc>
        <w:tc>
          <w:tcPr>
            <w:tcW w:w="1539" w:type="dxa"/>
            <w:tcBorders>
              <w:top w:val="single" w:color="auto" w:sz="4" w:space="0"/>
              <w:bottom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3.693~211.961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41"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color w:val="000000"/>
                <w:sz w:val="18"/>
                <w:szCs w:val="18"/>
                <w:lang w:val="en-GB"/>
              </w:rPr>
            </w:pPr>
            <w:r>
              <w:rPr>
                <w:rFonts w:ascii="Arial" w:hAnsi="Arial" w:cs="Arial"/>
                <w:color w:val="000000"/>
                <w:sz w:val="18"/>
                <w:szCs w:val="18"/>
                <w:lang w:val="en-GB"/>
              </w:rPr>
              <w:t>PaCO</w:t>
            </w:r>
            <w:r>
              <w:rPr>
                <w:rFonts w:ascii="Arial" w:hAnsi="Arial" w:cs="Arial"/>
                <w:color w:val="000000"/>
                <w:sz w:val="18"/>
                <w:szCs w:val="18"/>
                <w:vertAlign w:val="subscript"/>
                <w:lang w:val="en-GB"/>
              </w:rPr>
              <w:t>2</w:t>
            </w:r>
            <w:r>
              <w:rPr>
                <w:rFonts w:ascii="Arial" w:hAnsi="Arial" w:cs="Arial"/>
                <w:color w:val="000000"/>
                <w:sz w:val="18"/>
                <w:szCs w:val="18"/>
                <w:lang w:val="en-GB"/>
              </w:rPr>
              <w:t>/PaO</w:t>
            </w:r>
            <w:r>
              <w:rPr>
                <w:rFonts w:ascii="Arial" w:hAnsi="Arial" w:cs="Arial"/>
                <w:color w:val="000000"/>
                <w:sz w:val="18"/>
                <w:szCs w:val="18"/>
                <w:vertAlign w:val="subscript"/>
                <w:lang w:val="en-GB"/>
              </w:rPr>
              <w:t>2</w:t>
            </w:r>
            <w:r>
              <w:rPr>
                <w:rFonts w:hint="eastAsia" w:ascii="Arial" w:hAnsi="Arial" w:cs="Arial"/>
                <w:color w:val="000000"/>
                <w:sz w:val="18"/>
                <w:szCs w:val="18"/>
                <w:lang w:val="en-GB"/>
              </w:rPr>
              <w:t>＞</w:t>
            </w:r>
            <w:r>
              <w:rPr>
                <w:rFonts w:ascii="Arial" w:hAnsi="Arial" w:cs="Arial"/>
                <w:color w:val="000000"/>
                <w:sz w:val="18"/>
                <w:szCs w:val="18"/>
                <w:lang w:val="en-GB"/>
              </w:rPr>
              <w:t>0.67</w:t>
            </w:r>
          </w:p>
        </w:tc>
        <w:tc>
          <w:tcPr>
            <w:tcW w:w="1109"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4.165</w:t>
            </w:r>
          </w:p>
        </w:tc>
        <w:tc>
          <w:tcPr>
            <w:tcW w:w="954"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1.109</w:t>
            </w:r>
          </w:p>
        </w:tc>
        <w:tc>
          <w:tcPr>
            <w:tcW w:w="971"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14.097</w:t>
            </w:r>
          </w:p>
        </w:tc>
        <w:tc>
          <w:tcPr>
            <w:tcW w:w="831"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0.000</w:t>
            </w:r>
          </w:p>
        </w:tc>
        <w:tc>
          <w:tcPr>
            <w:tcW w:w="832" w:type="dxa"/>
            <w:tcBorders>
              <w:top w:val="nil"/>
            </w:tcBorders>
            <w:noWrap w:val="0"/>
            <w:tcMar>
              <w:top w:w="15" w:type="dxa"/>
              <w:left w:w="15" w:type="dxa"/>
              <w:bottom w:w="15" w:type="dxa"/>
              <w:right w:w="15" w:type="dxa"/>
            </w:tcMar>
            <w:vAlign w:val="center"/>
          </w:tcPr>
          <w:p>
            <w:pPr>
              <w:spacing w:line="360" w:lineRule="auto"/>
              <w:jc w:val="center"/>
              <w:rPr>
                <w:rFonts w:ascii="Arial" w:hAnsi="Arial" w:cs="Arial"/>
                <w:b/>
                <w:bCs/>
                <w:sz w:val="18"/>
                <w:szCs w:val="18"/>
                <w:lang w:val="en-GB"/>
              </w:rPr>
            </w:pPr>
            <w:r>
              <w:rPr>
                <w:rFonts w:ascii="Arial" w:hAnsi="Arial" w:cs="Arial"/>
                <w:b/>
                <w:bCs/>
                <w:sz w:val="18"/>
                <w:szCs w:val="18"/>
                <w:lang w:val="en-GB"/>
              </w:rPr>
              <w:t>64.366</w:t>
            </w:r>
          </w:p>
        </w:tc>
        <w:tc>
          <w:tcPr>
            <w:tcW w:w="1539" w:type="dxa"/>
            <w:tcBorders>
              <w:top w:val="nil"/>
            </w:tcBorders>
            <w:noWrap w:val="0"/>
            <w:tcMar>
              <w:top w:w="15" w:type="dxa"/>
              <w:left w:w="15" w:type="dxa"/>
              <w:bottom w:w="15" w:type="dxa"/>
              <w:right w:w="15" w:type="dxa"/>
            </w:tcMar>
            <w:vAlign w:val="center"/>
          </w:tcPr>
          <w:p>
            <w:pPr>
              <w:jc w:val="center"/>
              <w:rPr>
                <w:rFonts w:ascii="Arial" w:hAnsi="Arial" w:cs="Arial"/>
                <w:sz w:val="18"/>
                <w:szCs w:val="18"/>
                <w:lang w:val="en-GB"/>
              </w:rPr>
            </w:pPr>
            <w:r>
              <w:rPr>
                <w:rFonts w:ascii="Arial" w:hAnsi="Arial" w:cs="Arial"/>
                <w:sz w:val="18"/>
                <w:szCs w:val="18"/>
                <w:lang w:val="en-GB"/>
              </w:rPr>
              <w:t>7.320~566.008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41"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color w:val="000000"/>
                <w:sz w:val="18"/>
                <w:szCs w:val="18"/>
                <w:lang w:val="en-GB"/>
              </w:rPr>
            </w:pPr>
            <w:r>
              <w:rPr>
                <w:rFonts w:ascii="Arial" w:hAnsi="Arial" w:cs="Arial"/>
                <w:color w:val="000000"/>
                <w:sz w:val="18"/>
                <w:szCs w:val="18"/>
                <w:lang w:val="en-GB"/>
              </w:rPr>
              <w:t>Constant</w:t>
            </w:r>
          </w:p>
        </w:tc>
        <w:tc>
          <w:tcPr>
            <w:tcW w:w="1109"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11.483</w:t>
            </w:r>
          </w:p>
        </w:tc>
        <w:tc>
          <w:tcPr>
            <w:tcW w:w="954"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3.567</w:t>
            </w:r>
          </w:p>
        </w:tc>
        <w:tc>
          <w:tcPr>
            <w:tcW w:w="971"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10.364</w:t>
            </w:r>
          </w:p>
        </w:tc>
        <w:tc>
          <w:tcPr>
            <w:tcW w:w="831"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sz w:val="18"/>
                <w:szCs w:val="18"/>
                <w:lang w:val="en-GB"/>
              </w:rPr>
            </w:pPr>
            <w:r>
              <w:rPr>
                <w:rFonts w:ascii="Arial" w:hAnsi="Arial" w:cs="Arial"/>
                <w:sz w:val="18"/>
                <w:szCs w:val="18"/>
                <w:lang w:val="en-GB"/>
              </w:rPr>
              <w:t>0.001</w:t>
            </w:r>
          </w:p>
        </w:tc>
        <w:tc>
          <w:tcPr>
            <w:tcW w:w="832" w:type="dxa"/>
            <w:tcBorders>
              <w:bottom w:val="single" w:color="auto" w:sz="4" w:space="0"/>
            </w:tcBorders>
            <w:noWrap w:val="0"/>
            <w:tcMar>
              <w:top w:w="15" w:type="dxa"/>
              <w:left w:w="15" w:type="dxa"/>
              <w:bottom w:w="15" w:type="dxa"/>
              <w:right w:w="15" w:type="dxa"/>
            </w:tcMar>
            <w:vAlign w:val="center"/>
          </w:tcPr>
          <w:p>
            <w:pPr>
              <w:spacing w:line="360" w:lineRule="auto"/>
              <w:jc w:val="center"/>
              <w:rPr>
                <w:rFonts w:ascii="Arial" w:hAnsi="Arial" w:cs="Arial"/>
                <w:bCs/>
                <w:sz w:val="18"/>
                <w:szCs w:val="18"/>
                <w:lang w:val="en-GB"/>
              </w:rPr>
            </w:pPr>
          </w:p>
        </w:tc>
        <w:tc>
          <w:tcPr>
            <w:tcW w:w="1539" w:type="dxa"/>
            <w:tcBorders>
              <w:bottom w:val="single" w:color="auto" w:sz="4" w:space="0"/>
            </w:tcBorders>
            <w:noWrap w:val="0"/>
            <w:tcMar>
              <w:top w:w="15" w:type="dxa"/>
              <w:left w:w="15" w:type="dxa"/>
              <w:bottom w:w="15" w:type="dxa"/>
              <w:right w:w="15" w:type="dxa"/>
            </w:tcMar>
            <w:vAlign w:val="center"/>
          </w:tcPr>
          <w:p>
            <w:pPr>
              <w:jc w:val="center"/>
              <w:rPr>
                <w:rFonts w:ascii="Arial" w:hAnsi="Arial" w:cs="Arial"/>
                <w:sz w:val="18"/>
                <w:szCs w:val="18"/>
                <w:lang w:val="en-GB"/>
              </w:rPr>
            </w:pPr>
          </w:p>
        </w:tc>
      </w:tr>
    </w:tbl>
    <w:p>
      <w:pPr>
        <w:spacing w:line="360" w:lineRule="auto"/>
        <w:jc w:val="left"/>
      </w:pPr>
      <w:r>
        <w:rPr>
          <w:rFonts w:ascii="Arial" w:hAnsi="Arial" w:cs="Arial"/>
          <w:bCs/>
          <w:sz w:val="18"/>
          <w:szCs w:val="18"/>
          <w:lang w:val="en-GB"/>
        </w:rPr>
        <w:t xml:space="preserve">Note: </w:t>
      </w:r>
      <w:r>
        <w:rPr>
          <w:rFonts w:ascii="Arial" w:hAnsi="Arial" w:cs="Arial"/>
          <w:bCs/>
          <w:kern w:val="0"/>
          <w:sz w:val="18"/>
          <w:szCs w:val="18"/>
          <w:lang w:val="en-GB"/>
        </w:rPr>
        <w:t>Wald</w:t>
      </w:r>
      <w:r>
        <w:rPr>
          <w:rFonts w:hint="eastAsia" w:ascii="Arial" w:hAnsi="Arial" w:cs="Arial"/>
          <w:bCs/>
          <w:kern w:val="0"/>
          <w:sz w:val="18"/>
          <w:szCs w:val="18"/>
          <w:lang w:val="en-US" w:eastAsia="zh-CN"/>
        </w:rPr>
        <w:t>=</w:t>
      </w:r>
      <w:r>
        <w:rPr>
          <w:rFonts w:ascii="Arial" w:hAnsi="Arial" w:cs="Arial"/>
          <w:bCs/>
          <w:kern w:val="0"/>
          <w:sz w:val="18"/>
          <w:szCs w:val="18"/>
          <w:lang w:val="en-GB"/>
        </w:rPr>
        <w:t>Wald test statistics,OR</w:t>
      </w:r>
      <w:r>
        <w:rPr>
          <w:rFonts w:hint="eastAsia" w:ascii="Arial" w:hAnsi="Arial" w:cs="Arial"/>
          <w:bCs/>
          <w:kern w:val="0"/>
          <w:sz w:val="18"/>
          <w:szCs w:val="18"/>
          <w:lang w:val="en-US" w:eastAsia="zh-CN"/>
        </w:rPr>
        <w:t>=</w:t>
      </w:r>
      <w:r>
        <w:rPr>
          <w:rFonts w:ascii="Arial" w:hAnsi="Arial" w:cs="Arial"/>
          <w:bCs/>
          <w:kern w:val="0"/>
          <w:sz w:val="18"/>
          <w:szCs w:val="18"/>
          <w:lang w:val="en-GB"/>
        </w:rPr>
        <w:t>odds ratio,</w:t>
      </w:r>
      <w:r>
        <w:rPr>
          <w:rFonts w:ascii="Arial" w:hAnsi="Arial" w:cs="Arial"/>
          <w:bCs/>
          <w:sz w:val="18"/>
          <w:szCs w:val="18"/>
          <w:lang w:val="en-GB"/>
        </w:rPr>
        <w:t>the ratio of the possibility an event happening to the impossibility of an event happening,95%CI</w:t>
      </w:r>
      <w:r>
        <w:rPr>
          <w:rFonts w:hint="eastAsia" w:ascii="Arial" w:hAnsi="Arial" w:cs="Arial"/>
          <w:bCs/>
          <w:sz w:val="18"/>
          <w:szCs w:val="18"/>
          <w:lang w:val="en-US" w:eastAsia="zh-CN"/>
        </w:rPr>
        <w:t>=</w:t>
      </w:r>
      <w:r>
        <w:rPr>
          <w:rFonts w:ascii="Arial" w:hAnsi="Arial" w:cs="Arial"/>
          <w:bCs/>
          <w:sz w:val="18"/>
          <w:szCs w:val="18"/>
          <w:lang w:val="en-GB"/>
        </w:rPr>
        <w:t>95% confidence interval of the value of the OR.</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974279"/>
    <w:rsid w:val="5B9170D3"/>
    <w:rsid w:val="5D625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2020-11-22T15:45:00Z</dcterms:created>
  <dc:creator>LENOVO</dc:creator>
  <cp:lastModifiedBy>LJ</cp:lastModifiedBy>
  <dcterms:modified xsi:type="dcterms:W3CDTF">2020-11-27T08:55:56Z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