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/>
          <w:b/>
          <w:bCs/>
          <w:szCs w:val="21"/>
          <w:lang w:val="en-GB"/>
        </w:rPr>
      </w:pPr>
      <w:r>
        <w:rPr>
          <w:rFonts w:ascii="Times New Roman" w:hAnsi="Times New Roman"/>
          <w:b/>
          <w:bCs/>
          <w:szCs w:val="21"/>
          <w:lang w:val="en-GB"/>
        </w:rPr>
        <w:t>HFNC Failure Analysis with Respect to Residents and outcomes</w:t>
      </w:r>
    </w:p>
    <w:p>
      <w:pPr>
        <w:pStyle w:val="6"/>
        <w:numPr>
          <w:ilvl w:val="-1"/>
          <w:numId w:val="0"/>
        </w:numPr>
        <w:spacing w:line="480" w:lineRule="auto"/>
        <w:ind w:left="0" w:firstLine="0" w:firstLineChars="0"/>
        <w:rPr>
          <w:rFonts w:ascii="Times New Roman" w:hAnsi="Times New Roman"/>
          <w:szCs w:val="21"/>
          <w:lang w:val="en-GB"/>
        </w:rPr>
      </w:pPr>
      <w:r>
        <w:rPr>
          <w:rFonts w:hint="eastAsia" w:ascii="Times New Roman" w:hAnsi="Times New Roman"/>
          <w:szCs w:val="21"/>
          <w:lang w:val="en-US" w:eastAsia="zh-CN"/>
        </w:rPr>
        <w:t>1.</w:t>
      </w:r>
      <w:r>
        <w:rPr>
          <w:rFonts w:ascii="Times New Roman" w:hAnsi="Times New Roman"/>
          <w:szCs w:val="21"/>
          <w:lang w:val="en-GB"/>
        </w:rPr>
        <w:t>HFNC Failure Analysis with Respect to Residents</w:t>
      </w:r>
    </w:p>
    <w:p>
      <w:pPr>
        <w:spacing w:line="480" w:lineRule="auto"/>
        <w:ind w:firstLine="420" w:firstLineChars="200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 xml:space="preserve">The failure rate for HFNC was 34.5% in the 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ascii="Times New Roman" w:hAnsi="Times New Roman"/>
          <w:szCs w:val="21"/>
          <w:vertAlign w:val="superscript"/>
          <w:lang w:val="en-GB"/>
        </w:rPr>
        <w:t>st</w:t>
      </w:r>
      <w:r>
        <w:rPr>
          <w:rFonts w:ascii="Times New Roman" w:hAnsi="Times New Roman"/>
          <w:szCs w:val="21"/>
          <w:lang w:val="en-GB"/>
        </w:rPr>
        <w:t xml:space="preserve"> half of each month and 29.7% in the 2</w:t>
      </w:r>
      <w:r>
        <w:rPr>
          <w:rFonts w:ascii="Times New Roman" w:hAnsi="Times New Roman"/>
          <w:szCs w:val="21"/>
          <w:vertAlign w:val="superscript"/>
          <w:lang w:val="en-GB"/>
        </w:rPr>
        <w:t>nd</w:t>
      </w:r>
      <w:r>
        <w:rPr>
          <w:rFonts w:ascii="Times New Roman" w:hAnsi="Times New Roman"/>
          <w:szCs w:val="21"/>
          <w:lang w:val="en-GB"/>
        </w:rPr>
        <w:t xml:space="preserve"> half of each month,and there was no significant difference between</w:t>
      </w:r>
      <w:r>
        <w:rPr>
          <w:rFonts w:ascii="Times New Roman" w:hAnsi="Times New Roman" w:eastAsia="黑体"/>
          <w:szCs w:val="21"/>
          <w:lang w:val="en-GB"/>
        </w:rPr>
        <w:t xml:space="preserve"> the</w:t>
      </w:r>
      <w:r>
        <w:rPr>
          <w:rFonts w:ascii="Times New Roman" w:hAnsi="Times New Roman"/>
          <w:szCs w:val="21"/>
          <w:lang w:val="en-GB"/>
        </w:rPr>
        <w:t xml:space="preserve"> two groups</w:t>
      </w:r>
      <w:r>
        <w:rPr>
          <w:rFonts w:ascii="Times New Roman" w:hAnsi="Times New Roman" w:eastAsia="黑体"/>
          <w:szCs w:val="21"/>
          <w:lang w:val="en-GB"/>
        </w:rPr>
        <w:t xml:space="preserve"> </w:t>
      </w:r>
      <w:r>
        <w:rPr>
          <w:rFonts w:ascii="Times New Roman" w:hAnsi="Times New Roman"/>
          <w:szCs w:val="21"/>
          <w:lang w:val="en-GB"/>
        </w:rPr>
        <w:t>(</w:t>
      </w:r>
      <w:r>
        <w:rPr>
          <w:rFonts w:ascii="Times New Roman" w:hAnsi="Times New Roman"/>
          <w:i/>
          <w:szCs w:val="21"/>
          <w:lang w:val="en-GB"/>
        </w:rPr>
        <w:t>P</w:t>
      </w:r>
      <w:r>
        <w:rPr>
          <w:rFonts w:ascii="Times New Roman" w:hAnsi="Times New Roman"/>
          <w:szCs w:val="21"/>
          <w:lang w:val="en-GB"/>
        </w:rPr>
        <w:t>&gt;0.05) (see Table 1).</w:t>
      </w:r>
    </w:p>
    <w:p>
      <w:pPr>
        <w:spacing w:line="480" w:lineRule="auto"/>
        <w:jc w:val="left"/>
        <w:rPr>
          <w:rFonts w:ascii="Arial" w:hAnsi="Arial" w:cs="Arial"/>
          <w:bCs/>
          <w:sz w:val="18"/>
          <w:szCs w:val="18"/>
          <w:lang w:val="en-GB"/>
        </w:rPr>
      </w:pPr>
      <w:r>
        <w:rPr>
          <w:rFonts w:ascii="Arial" w:hAnsi="Arial" w:cs="Arial"/>
          <w:bCs/>
          <w:sz w:val="18"/>
          <w:szCs w:val="18"/>
          <w:lang w:val="en-GB"/>
        </w:rPr>
        <w:t xml:space="preserve">Table 1  Comparison of </w:t>
      </w:r>
      <w:r>
        <w:rPr>
          <w:rFonts w:ascii="Arial" w:hAnsi="Arial" w:cs="Arial"/>
          <w:sz w:val="18"/>
          <w:szCs w:val="18"/>
          <w:lang w:val="en-GB"/>
        </w:rPr>
        <w:t>high-flow nasal cannula oxygen therapy</w:t>
      </w:r>
      <w:r>
        <w:rPr>
          <w:rFonts w:ascii="Arial" w:hAnsi="Arial" w:cs="Arial"/>
          <w:bCs/>
          <w:sz w:val="18"/>
          <w:szCs w:val="18"/>
          <w:lang w:val="en-GB"/>
        </w:rPr>
        <w:t xml:space="preserve"> in the 1</w:t>
      </w:r>
      <w:r>
        <w:rPr>
          <w:rFonts w:ascii="Arial" w:hAnsi="Arial" w:cs="Arial"/>
          <w:bCs/>
          <w:sz w:val="18"/>
          <w:szCs w:val="18"/>
          <w:vertAlign w:val="superscript"/>
          <w:lang w:val="en-GB"/>
        </w:rPr>
        <w:t>st</w:t>
      </w:r>
      <w:r>
        <w:rPr>
          <w:rFonts w:ascii="Arial" w:hAnsi="Arial" w:cs="Arial"/>
          <w:bCs/>
          <w:sz w:val="18"/>
          <w:szCs w:val="18"/>
          <w:lang w:val="en-GB"/>
        </w:rPr>
        <w:t xml:space="preserve"> half of the month and the 2</w:t>
      </w:r>
      <w:r>
        <w:rPr>
          <w:rFonts w:ascii="Arial" w:hAnsi="Arial" w:cs="Arial"/>
          <w:bCs/>
          <w:sz w:val="18"/>
          <w:szCs w:val="18"/>
          <w:vertAlign w:val="superscript"/>
          <w:lang w:val="en-GB"/>
        </w:rPr>
        <w:t>nd</w:t>
      </w:r>
      <w:r>
        <w:rPr>
          <w:rFonts w:ascii="Arial" w:hAnsi="Arial" w:cs="Arial"/>
          <w:bCs/>
          <w:sz w:val="18"/>
          <w:szCs w:val="18"/>
          <w:lang w:val="en-GB"/>
        </w:rPr>
        <w:t xml:space="preserve"> half of the month</w:t>
      </w:r>
    </w:p>
    <w:tbl>
      <w:tblPr>
        <w:tblStyle w:val="4"/>
        <w:tblW w:w="817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2"/>
        <w:gridCol w:w="680"/>
        <w:gridCol w:w="2640"/>
        <w:gridCol w:w="29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9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No.</w:t>
            </w:r>
          </w:p>
        </w:tc>
        <w:tc>
          <w:tcPr>
            <w:tcW w:w="26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Successful (patients)</w:t>
            </w:r>
          </w:p>
        </w:tc>
        <w:tc>
          <w:tcPr>
            <w:tcW w:w="29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Failure (patients)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</w:trPr>
        <w:tc>
          <w:tcPr>
            <w:tcW w:w="195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The 1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half of 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Cs w:val="21"/>
                <w:lang w:val="en-GB"/>
              </w:rPr>
              <w:t>each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month group</w:t>
            </w:r>
          </w:p>
        </w:tc>
        <w:tc>
          <w:tcPr>
            <w:tcW w:w="68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174</w:t>
            </w:r>
          </w:p>
        </w:tc>
        <w:tc>
          <w:tcPr>
            <w:tcW w:w="264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114</w:t>
            </w:r>
          </w:p>
        </w:tc>
        <w:tc>
          <w:tcPr>
            <w:tcW w:w="290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8" w:hRule="atLeast"/>
        </w:trPr>
        <w:tc>
          <w:tcPr>
            <w:tcW w:w="1952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The 2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nd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half of 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Cs w:val="21"/>
                <w:lang w:val="en-GB"/>
              </w:rPr>
              <w:t>each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month group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175</w:t>
            </w:r>
          </w:p>
        </w:tc>
        <w:tc>
          <w:tcPr>
            <w:tcW w:w="264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123</w:t>
            </w:r>
          </w:p>
        </w:tc>
        <w:tc>
          <w:tcPr>
            <w:tcW w:w="2906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1952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x</w:t>
            </w:r>
            <w:r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 xml:space="preserve">2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680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5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0.910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9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value</w:t>
            </w:r>
          </w:p>
        </w:tc>
        <w:tc>
          <w:tcPr>
            <w:tcW w:w="68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5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0.340</w:t>
            </w:r>
          </w:p>
        </w:tc>
      </w:tr>
    </w:tbl>
    <w:p>
      <w:pPr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>2. Analysis of Failed Outcomes for HFNC</w:t>
      </w:r>
    </w:p>
    <w:p>
      <w:pPr>
        <w:spacing w:line="480" w:lineRule="auto"/>
        <w:ind w:firstLine="420" w:firstLineChars="200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 xml:space="preserve">Twenty of the 112 patients </w:t>
      </w:r>
      <w:r>
        <w:rPr>
          <w:rFonts w:ascii="Times New Roman" w:hAnsi="Times New Roman" w:eastAsia="黑体"/>
          <w:szCs w:val="21"/>
          <w:lang w:val="en-GB"/>
        </w:rPr>
        <w:t>in the</w:t>
      </w:r>
      <w:r>
        <w:rPr>
          <w:rFonts w:ascii="Times New Roman" w:hAnsi="Times New Roman"/>
          <w:szCs w:val="21"/>
          <w:lang w:val="en-GB"/>
        </w:rPr>
        <w:t xml:space="preserve"> </w:t>
      </w:r>
      <w:r>
        <w:rPr>
          <w:rFonts w:ascii="Times New Roman" w:hAnsi="Times New Roman" w:eastAsia="黑体"/>
          <w:szCs w:val="21"/>
          <w:lang w:val="en-GB"/>
        </w:rPr>
        <w:t xml:space="preserve">HFNC 48 h </w:t>
      </w:r>
      <w:r>
        <w:rPr>
          <w:rFonts w:ascii="Times New Roman" w:hAnsi="Times New Roman"/>
          <w:szCs w:val="21"/>
          <w:lang w:val="en-GB"/>
        </w:rPr>
        <w:t>failure group were upgraded to BIPAP</w:t>
      </w:r>
      <w:r>
        <w:rPr>
          <w:rFonts w:ascii="Times New Roman" w:hAnsi="Times New Roman" w:eastAsia="黑体"/>
          <w:szCs w:val="21"/>
          <w:lang w:val="en-GB"/>
        </w:rPr>
        <w:t>;</w:t>
      </w:r>
      <w:r>
        <w:rPr>
          <w:rFonts w:ascii="Times New Roman" w:hAnsi="Times New Roman"/>
          <w:szCs w:val="21"/>
          <w:lang w:val="en-GB"/>
        </w:rPr>
        <w:t>after that, their condition was alleviated,and they were successfully weaned from non-invasive respiratory support.The remaining 92 patients were upgraded to invasive respiratory support,which outcomes were compared with 129 patients received invasive respiratory support synchronously directly after admission to the PICU.</w:t>
      </w:r>
      <w:r>
        <w:rPr>
          <w:rFonts w:hint="eastAsia" w:ascii="Times New Roman" w:hAnsi="Times New Roman"/>
          <w:szCs w:val="21"/>
          <w:lang w:val="en-GB"/>
        </w:rPr>
        <w:t>T</w:t>
      </w:r>
      <w:r>
        <w:rPr>
          <w:rFonts w:ascii="Times New Roman" w:hAnsi="Times New Roman"/>
          <w:szCs w:val="21"/>
          <w:lang w:val="en-GB"/>
        </w:rPr>
        <w:t xml:space="preserve">he distributions of disease types were no significant differences between the </w:t>
      </w:r>
      <w:r>
        <w:rPr>
          <w:rFonts w:hint="eastAsia" w:ascii="Times New Roman" w:hAnsi="Times New Roman"/>
          <w:szCs w:val="21"/>
          <w:lang w:val="en-GB"/>
        </w:rPr>
        <w:t xml:space="preserve">two </w:t>
      </w:r>
      <w:r>
        <w:rPr>
          <w:rFonts w:ascii="Times New Roman" w:hAnsi="Times New Roman"/>
          <w:szCs w:val="21"/>
          <w:lang w:val="en-GB"/>
        </w:rPr>
        <w:t>group</w:t>
      </w:r>
      <w:r>
        <w:rPr>
          <w:rFonts w:hint="eastAsia" w:ascii="Times New Roman" w:hAnsi="Times New Roman"/>
          <w:szCs w:val="21"/>
          <w:lang w:val="en-GB"/>
        </w:rPr>
        <w:t>s</w:t>
      </w:r>
      <w:r>
        <w:rPr>
          <w:rFonts w:ascii="Times New Roman" w:hAnsi="Times New Roman"/>
          <w:szCs w:val="21"/>
          <w:lang w:val="en-GB"/>
        </w:rPr>
        <w:t>(</w:t>
      </w:r>
      <w:r>
        <w:rPr>
          <w:rFonts w:ascii="Times New Roman" w:hAnsi="Times New Roman"/>
          <w:i/>
          <w:szCs w:val="21"/>
          <w:lang w:val="en-GB"/>
        </w:rPr>
        <w:t>P</w:t>
      </w:r>
      <w:r>
        <w:rPr>
          <w:rFonts w:ascii="Times New Roman" w:hAnsi="Times New Roman"/>
          <w:szCs w:val="21"/>
          <w:lang w:val="en-GB"/>
        </w:rPr>
        <w:t>&gt;0.05)</w:t>
      </w:r>
      <w:r>
        <w:rPr>
          <w:rFonts w:hint="eastAsia" w:ascii="Times New Roman" w:hAnsi="Times New Roman"/>
          <w:szCs w:val="21"/>
          <w:lang w:val="en-GB"/>
        </w:rPr>
        <w:t>.</w:t>
      </w:r>
      <w:r>
        <w:rPr>
          <w:rFonts w:ascii="Times New Roman" w:hAnsi="Times New Roman"/>
          <w:szCs w:val="21"/>
          <w:lang w:val="en-GB"/>
        </w:rPr>
        <w:t xml:space="preserve">And there </w:t>
      </w:r>
      <w:r>
        <w:rPr>
          <w:rFonts w:hint="eastAsia" w:ascii="Times New Roman" w:hAnsi="Times New Roman"/>
          <w:szCs w:val="21"/>
          <w:lang w:val="en-GB"/>
        </w:rPr>
        <w:t xml:space="preserve">also </w:t>
      </w:r>
      <w:r>
        <w:rPr>
          <w:rFonts w:ascii="Times New Roman" w:hAnsi="Times New Roman"/>
          <w:szCs w:val="21"/>
          <w:lang w:val="en-GB"/>
        </w:rPr>
        <w:t>were no significant difference in age,sex or weight between the two groups too(</w:t>
      </w:r>
      <w:r>
        <w:rPr>
          <w:rFonts w:ascii="Times New Roman" w:hAnsi="Times New Roman"/>
          <w:i/>
          <w:szCs w:val="21"/>
          <w:lang w:val="en-GB"/>
        </w:rPr>
        <w:t>P</w:t>
      </w:r>
      <w:r>
        <w:rPr>
          <w:rFonts w:ascii="Times New Roman" w:hAnsi="Times New Roman"/>
          <w:szCs w:val="21"/>
          <w:lang w:val="en-GB"/>
        </w:rPr>
        <w:t>&gt;0.05) (see Table 2).</w:t>
      </w:r>
      <w:bookmarkStart w:id="0" w:name="OLE_LINK96"/>
      <w:bookmarkStart w:id="1" w:name="_Hlk52479301"/>
      <w:bookmarkStart w:id="2" w:name="_Hlk52479549"/>
      <w:r>
        <w:rPr>
          <w:rFonts w:ascii="Times New Roman" w:hAnsi="Times New Roman"/>
          <w:szCs w:val="21"/>
          <w:lang w:val="en-GB"/>
        </w:rPr>
        <w:t>For the patients upgraded from HFNC to invasive respiratory support,invasive mechanical ventilation time,PICU stay time, hospitalization cost and in-hospital mortality</w:t>
      </w:r>
      <w:bookmarkEnd w:id="0"/>
      <w:r>
        <w:rPr>
          <w:rFonts w:ascii="Times New Roman" w:hAnsi="Times New Roman"/>
          <w:szCs w:val="21"/>
          <w:lang w:val="en-GB"/>
        </w:rPr>
        <w:t xml:space="preserve"> were greater than those received invasive respiratory support directly</w:t>
      </w:r>
      <w:bookmarkEnd w:id="1"/>
      <w:bookmarkEnd w:id="2"/>
      <w:r>
        <w:rPr>
          <w:rFonts w:ascii="Times New Roman" w:hAnsi="Times New Roman"/>
          <w:szCs w:val="21"/>
          <w:lang w:val="en-GB"/>
        </w:rPr>
        <w:t>,but only invasive mechanical ventilation time was significantly different (</w:t>
      </w:r>
      <w:r>
        <w:rPr>
          <w:rFonts w:ascii="Times New Roman" w:hAnsi="Times New Roman"/>
          <w:i/>
          <w:szCs w:val="21"/>
          <w:lang w:val="en-GB"/>
        </w:rPr>
        <w:t>P</w:t>
      </w:r>
      <w:r>
        <w:rPr>
          <w:rFonts w:ascii="Times New Roman" w:hAnsi="Times New Roman"/>
          <w:szCs w:val="21"/>
          <w:lang w:val="en-GB"/>
        </w:rPr>
        <w:t xml:space="preserve">&lt;0.05) (see Table </w:t>
      </w: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ascii="Times New Roman" w:hAnsi="Times New Roman"/>
          <w:szCs w:val="21"/>
          <w:lang w:val="en-GB"/>
        </w:rPr>
        <w:t>).</w:t>
      </w:r>
    </w:p>
    <w:p>
      <w:pPr>
        <w:spacing w:line="360" w:lineRule="auto"/>
        <w:jc w:val="left"/>
        <w:rPr>
          <w:rFonts w:ascii="Arial" w:hAnsi="Arial" w:cs="Arial"/>
          <w:b/>
          <w:bCs/>
          <w:sz w:val="18"/>
          <w:szCs w:val="18"/>
          <w:lang w:val="en-GB"/>
        </w:rPr>
      </w:pPr>
      <w:r>
        <w:rPr>
          <w:rFonts w:ascii="Arial" w:hAnsi="Arial" w:cs="Arial"/>
          <w:bCs/>
          <w:sz w:val="18"/>
          <w:szCs w:val="18"/>
          <w:lang w:val="en-GB"/>
        </w:rPr>
        <w:t xml:space="preserve">Table 2 </w:t>
      </w:r>
      <w:r>
        <w:rPr>
          <w:rFonts w:ascii="Arial" w:hAnsi="Arial" w:cs="Arial"/>
          <w:b/>
          <w:bCs/>
          <w:sz w:val="18"/>
          <w:szCs w:val="18"/>
          <w:lang w:val="en-GB"/>
        </w:rPr>
        <w:t xml:space="preserve"> </w:t>
      </w:r>
      <w:r>
        <w:rPr>
          <w:rFonts w:ascii="Arial" w:hAnsi="Arial" w:cs="Arial"/>
          <w:bCs/>
          <w:sz w:val="18"/>
          <w:szCs w:val="18"/>
          <w:lang w:val="en-GB"/>
        </w:rPr>
        <w:t xml:space="preserve">Comparisons of the Changed from </w:t>
      </w:r>
      <w:r>
        <w:rPr>
          <w:rFonts w:ascii="Arial" w:hAnsi="Arial" w:cs="Arial"/>
          <w:sz w:val="18"/>
          <w:szCs w:val="18"/>
          <w:lang w:val="en-GB"/>
        </w:rPr>
        <w:t>high-flow nasal cannula oxygen therapy</w:t>
      </w:r>
      <w:r>
        <w:rPr>
          <w:rFonts w:ascii="Arial" w:hAnsi="Arial" w:cs="Arial"/>
          <w:bCs/>
          <w:sz w:val="18"/>
          <w:szCs w:val="18"/>
          <w:lang w:val="en-GB"/>
        </w:rPr>
        <w:t xml:space="preserve"> to Invasive </w:t>
      </w:r>
      <w:bookmarkStart w:id="4" w:name="_GoBack"/>
      <w:bookmarkEnd w:id="4"/>
      <w:r>
        <w:rPr>
          <w:rFonts w:ascii="Arial" w:hAnsi="Arial" w:cs="Arial"/>
          <w:bCs/>
          <w:sz w:val="18"/>
          <w:szCs w:val="18"/>
          <w:lang w:val="en-GB"/>
        </w:rPr>
        <w:t>Respiratory Support group and the Received Invasive Respiratory Support Directly Group</w:t>
      </w:r>
    </w:p>
    <w:tbl>
      <w:tblPr>
        <w:tblStyle w:val="4"/>
        <w:tblW w:w="823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3"/>
        <w:gridCol w:w="535"/>
        <w:gridCol w:w="2327"/>
        <w:gridCol w:w="1393"/>
        <w:gridCol w:w="264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3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No.</w:t>
            </w:r>
          </w:p>
        </w:tc>
        <w:tc>
          <w:tcPr>
            <w:tcW w:w="23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Age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[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50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25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75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, month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]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Male/Female (patients)</w:t>
            </w:r>
          </w:p>
        </w:tc>
        <w:tc>
          <w:tcPr>
            <w:tcW w:w="26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Weight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[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50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25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75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, kg]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33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The group that upgraded from HFNC to invasive respiratory support</w:t>
            </w:r>
          </w:p>
        </w:tc>
        <w:tc>
          <w:tcPr>
            <w:tcW w:w="53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92</w:t>
            </w:r>
          </w:p>
        </w:tc>
        <w:tc>
          <w:tcPr>
            <w:tcW w:w="232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2,60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3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42/50</w:t>
            </w:r>
          </w:p>
        </w:tc>
        <w:tc>
          <w:tcPr>
            <w:tcW w:w="264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8.10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4.53,16.38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33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The group that received invasive respiratory support directly</w:t>
            </w:r>
          </w:p>
        </w:tc>
        <w:tc>
          <w:tcPr>
            <w:tcW w:w="53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129</w:t>
            </w:r>
          </w:p>
        </w:tc>
        <w:tc>
          <w:tcPr>
            <w:tcW w:w="232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5,47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39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72/57</w:t>
            </w:r>
          </w:p>
        </w:tc>
        <w:tc>
          <w:tcPr>
            <w:tcW w:w="264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11.00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5.50,15.00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33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U</w:t>
            </w:r>
            <w:r>
              <w:rPr>
                <w:rFonts w:hint="eastAsia" w:ascii="Arial" w:hAnsi="Arial" w:cs="Arial"/>
                <w:i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x</w:t>
            </w:r>
            <w:r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>2</w:t>
            </w:r>
            <w:r>
              <w:rPr>
                <w:rFonts w:hint="eastAsia" w:ascii="Arial" w:hAnsi="Arial" w:cs="Arial"/>
                <w:i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53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27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-0.852</w:t>
            </w:r>
          </w:p>
        </w:tc>
        <w:tc>
          <w:tcPr>
            <w:tcW w:w="139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2.220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2649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-0.714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3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value</w:t>
            </w:r>
          </w:p>
        </w:tc>
        <w:tc>
          <w:tcPr>
            <w:tcW w:w="5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2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0.394</w:t>
            </w:r>
          </w:p>
        </w:tc>
        <w:tc>
          <w:tcPr>
            <w:tcW w:w="139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0.136</w:t>
            </w:r>
          </w:p>
        </w:tc>
        <w:tc>
          <w:tcPr>
            <w:tcW w:w="264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0.475</w:t>
            </w:r>
          </w:p>
        </w:tc>
      </w:tr>
    </w:tbl>
    <w:p>
      <w:pPr>
        <w:spacing w:line="360" w:lineRule="auto"/>
        <w:jc w:val="left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bCs/>
          <w:sz w:val="18"/>
          <w:szCs w:val="18"/>
          <w:lang w:val="en-GB"/>
        </w:rPr>
        <w:t xml:space="preserve">Table 3  Analysis of Failed Outcomes for </w:t>
      </w:r>
      <w:r>
        <w:rPr>
          <w:rFonts w:ascii="Arial" w:hAnsi="Arial" w:cs="Arial"/>
          <w:sz w:val="18"/>
          <w:szCs w:val="18"/>
          <w:lang w:val="en-GB"/>
        </w:rPr>
        <w:t>high-flow nasal cannula oxygen therapy</w:t>
      </w:r>
    </w:p>
    <w:tbl>
      <w:tblPr>
        <w:tblStyle w:val="4"/>
        <w:tblW w:w="825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1"/>
        <w:gridCol w:w="419"/>
        <w:gridCol w:w="1696"/>
        <w:gridCol w:w="1396"/>
        <w:gridCol w:w="2095"/>
        <w:gridCol w:w="97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7" w:hRule="atLeast"/>
        </w:trPr>
        <w:tc>
          <w:tcPr>
            <w:tcW w:w="16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No.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Invasive mechanical ventilation time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(days)</w:t>
            </w:r>
          </w:p>
        </w:tc>
        <w:tc>
          <w:tcPr>
            <w:tcW w:w="13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PICU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stay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 time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(days)</w:t>
            </w:r>
          </w:p>
        </w:tc>
        <w:tc>
          <w:tcPr>
            <w:tcW w:w="20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Hospitalization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Cost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 (RMB)</w:t>
            </w:r>
          </w:p>
        </w:tc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In-hospital mortality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%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671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The group that upgraded from HFNC to invasive respiratory support</w:t>
            </w:r>
          </w:p>
        </w:tc>
        <w:tc>
          <w:tcPr>
            <w:tcW w:w="419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92</w:t>
            </w:r>
          </w:p>
        </w:tc>
        <w:tc>
          <w:tcPr>
            <w:tcW w:w="1696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7.00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11.00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15.00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9.00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22.75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2095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81399.87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51104.25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133046.61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978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31/92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7" w:hRule="atLeast"/>
        </w:trPr>
        <w:tc>
          <w:tcPr>
            <w:tcW w:w="16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09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7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1671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The group that received </w:t>
            </w:r>
            <w:bookmarkStart w:id="3" w:name="_Hlk14536603"/>
            <w:r>
              <w:rPr>
                <w:rFonts w:ascii="Arial" w:hAnsi="Arial" w:cs="Arial"/>
                <w:sz w:val="18"/>
                <w:szCs w:val="18"/>
                <w:lang w:val="en-GB"/>
              </w:rPr>
              <w:t>invasive respiratory support</w:t>
            </w:r>
            <w:bookmarkEnd w:id="3"/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directly</w:t>
            </w:r>
          </w:p>
        </w:tc>
        <w:tc>
          <w:tcPr>
            <w:tcW w:w="419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129</w:t>
            </w:r>
          </w:p>
        </w:tc>
        <w:tc>
          <w:tcPr>
            <w:tcW w:w="1696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5.00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9.00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396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13.00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7.50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22.50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2095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71124.50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41604.79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，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113555.37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97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43/129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167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1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09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7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1671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U</w:t>
            </w:r>
            <w:r>
              <w:rPr>
                <w:rFonts w:hint="eastAsia" w:ascii="Arial" w:hAnsi="Arial" w:cs="Arial"/>
                <w:i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x</w:t>
            </w:r>
            <w:r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>2</w:t>
            </w:r>
            <w:r>
              <w:rPr>
                <w:rFonts w:hint="eastAsia" w:ascii="Arial" w:hAnsi="Arial" w:cs="Arial"/>
                <w:i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419" w:type="dxa"/>
            <w:tcBorders>
              <w:top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96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-2.033</w:t>
            </w:r>
          </w:p>
        </w:tc>
        <w:tc>
          <w:tcPr>
            <w:tcW w:w="1396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-0.452</w:t>
            </w:r>
          </w:p>
        </w:tc>
        <w:tc>
          <w:tcPr>
            <w:tcW w:w="209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-1.400</w:t>
            </w:r>
          </w:p>
        </w:tc>
        <w:tc>
          <w:tcPr>
            <w:tcW w:w="978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0.003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16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 xml:space="preserve">P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419" w:type="dxa"/>
            <w:tcBorders>
              <w:bottom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0.042*</w:t>
            </w:r>
          </w:p>
        </w:tc>
        <w:tc>
          <w:tcPr>
            <w:tcW w:w="139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0.651</w:t>
            </w:r>
          </w:p>
        </w:tc>
        <w:tc>
          <w:tcPr>
            <w:tcW w:w="209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0.162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0.995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29534E"/>
    <w:rsid w:val="6D435BA3"/>
    <w:rsid w:val="7902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2020-11-22T15:49:00Z</dcterms:created>
  <dc:creator>LENOVO</dc:creator>
  <cp:lastModifiedBy>LJ</cp:lastModifiedBy>
  <dcterms:modified xsi:type="dcterms:W3CDTF">2020-11-23T08:40:55Z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