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outlineLvl w:val="0"/>
        <w:rPr>
          <w:rFonts w:ascii="Times New Roman" w:hAnsi="Times New Roman"/>
          <w:szCs w:val="21"/>
          <w:lang w:val="en-GB"/>
        </w:rPr>
      </w:pPr>
      <w:r>
        <w:rPr>
          <w:rFonts w:ascii="Times New Roman" w:hAnsi="Times New Roman"/>
          <w:szCs w:val="21"/>
          <w:lang w:val="en-GB"/>
        </w:rPr>
        <w:t>The definition and assignment of each clinical indicator for the multivariate analysis</w:t>
      </w:r>
    </w:p>
    <w:p>
      <w:pPr>
        <w:pStyle w:val="5"/>
        <w:spacing w:line="480" w:lineRule="auto"/>
        <w:ind w:firstLine="0" w:firstLineChars="0"/>
        <w:rPr>
          <w:rFonts w:ascii="Times New Roman" w:hAnsi="Times New Roman"/>
          <w:szCs w:val="21"/>
          <w:lang w:val="en-GB"/>
        </w:rPr>
      </w:pPr>
      <w:r>
        <w:rPr>
          <w:rFonts w:ascii="Times New Roman" w:hAnsi="Times New Roman"/>
          <w:szCs w:val="21"/>
          <w:lang w:val="en-GB"/>
        </w:rPr>
        <w:t>Explanations of Influencing Factors for 48 h Failure of HFNC</w:t>
      </w:r>
    </w:p>
    <w:p>
      <w:pPr>
        <w:spacing w:line="480" w:lineRule="auto"/>
        <w:ind w:firstLine="420" w:firstLineChars="200"/>
        <w:jc w:val="left"/>
        <w:rPr>
          <w:rFonts w:ascii="Times New Roman" w:hAnsi="Times New Roman"/>
          <w:szCs w:val="21"/>
          <w:lang w:val="en-GB"/>
        </w:rPr>
      </w:pPr>
      <w:r>
        <w:rPr>
          <w:rFonts w:ascii="Times New Roman" w:hAnsi="Times New Roman"/>
          <w:szCs w:val="21"/>
          <w:lang w:val="en-GB"/>
        </w:rPr>
        <w:t xml:space="preserve">In order to further explore the function of influencing factors on various clinical indicators of HFNC 48 h failure and exclude confounding factors, a multi-factor analysis was conducted on the basis of the single-factor analysis. The definition and assignment of each clinical indicator for the multivariate analysis are shown in </w:t>
      </w:r>
      <w:r>
        <w:rPr>
          <w:rFonts w:ascii="Times New Roman" w:hAnsi="Times New Roman"/>
        </w:rPr>
        <w:t>Table</w:t>
      </w:r>
      <w:r>
        <w:rPr>
          <w:rFonts w:ascii="Times New Roman" w:hAnsi="Times New Roman"/>
          <w:szCs w:val="21"/>
          <w:lang w:val="en-GB"/>
        </w:rPr>
        <w:t xml:space="preserve"> 1.</w:t>
      </w:r>
    </w:p>
    <w:p>
      <w:pPr>
        <w:spacing w:line="360" w:lineRule="auto"/>
        <w:jc w:val="left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</w:rPr>
        <w:t>Table</w:t>
      </w:r>
      <w:r>
        <w:rPr>
          <w:rFonts w:ascii="Arial" w:hAnsi="Arial" w:cs="Arial"/>
          <w:sz w:val="18"/>
          <w:szCs w:val="18"/>
          <w:lang w:val="en-GB"/>
        </w:rPr>
        <w:t xml:space="preserve"> 1 Explanations of Influencing Factors for </w:t>
      </w:r>
      <w:bookmarkStart w:id="0" w:name="OLE_LINK47"/>
      <w:bookmarkStart w:id="1" w:name="OLE_LINK48"/>
      <w:r>
        <w:rPr>
          <w:rFonts w:ascii="Arial" w:hAnsi="Arial" w:cs="Arial"/>
          <w:sz w:val="18"/>
          <w:szCs w:val="18"/>
          <w:lang w:val="en-GB"/>
        </w:rPr>
        <w:t>48 h Failure</w:t>
      </w:r>
      <w:bookmarkEnd w:id="0"/>
      <w:bookmarkEnd w:id="1"/>
      <w:r>
        <w:rPr>
          <w:rFonts w:ascii="Arial" w:hAnsi="Arial" w:cs="Arial"/>
          <w:sz w:val="18"/>
          <w:szCs w:val="18"/>
          <w:lang w:val="en-GB"/>
        </w:rPr>
        <w:t xml:space="preserve"> of high-flow nasal cannula oxygen therapy in the Logistic Regression Analysis</w:t>
      </w:r>
    </w:p>
    <w:tbl>
      <w:tblPr>
        <w:tblStyle w:val="3"/>
        <w:tblW w:w="837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1"/>
        <w:gridCol w:w="2977"/>
        <w:gridCol w:w="411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9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Variable 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Variable item</w:t>
            </w:r>
          </w:p>
        </w:tc>
        <w:tc>
          <w:tcPr>
            <w:tcW w:w="4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Variable value range and explanation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291" w:type="dxa"/>
            <w:tcBorders>
              <w:top w:val="single" w:color="auto" w:sz="4" w:space="0"/>
              <w:bottom w:val="nil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Y</w:t>
            </w:r>
          </w:p>
        </w:tc>
        <w:tc>
          <w:tcPr>
            <w:tcW w:w="2977" w:type="dxa"/>
            <w:tcBorders>
              <w:top w:val="single" w:color="auto" w:sz="4" w:space="0"/>
              <w:bottom w:val="nil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HFNC 48 h failure</w:t>
            </w:r>
          </w:p>
        </w:tc>
        <w:tc>
          <w:tcPr>
            <w:tcW w:w="4111" w:type="dxa"/>
            <w:tcBorders>
              <w:top w:val="single" w:color="auto" w:sz="4" w:space="0"/>
              <w:bottom w:val="nil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no=1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yes=2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291" w:type="dxa"/>
            <w:tcBorders>
              <w:top w:val="nil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X 1</w:t>
            </w:r>
          </w:p>
        </w:tc>
        <w:tc>
          <w:tcPr>
            <w:tcW w:w="2977" w:type="dxa"/>
            <w:tcBorders>
              <w:top w:val="nil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GCS score</w:t>
            </w:r>
          </w:p>
        </w:tc>
        <w:tc>
          <w:tcPr>
            <w:tcW w:w="4111" w:type="dxa"/>
            <w:tcBorders>
              <w:top w:val="nil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1=≤13 points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2=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＞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13 points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291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X 2</w:t>
            </w:r>
          </w:p>
        </w:tc>
        <w:tc>
          <w:tcPr>
            <w:tcW w:w="2977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PRISM III score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1=≤4 points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2=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＞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 points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291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X 3</w:t>
            </w:r>
          </w:p>
        </w:tc>
        <w:tc>
          <w:tcPr>
            <w:tcW w:w="2977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PCT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1=≤0.63 ng/ml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2=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＞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0.63 ng/ml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291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X 4</w:t>
            </w:r>
          </w:p>
        </w:tc>
        <w:tc>
          <w:tcPr>
            <w:tcW w:w="2977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pH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1=≤7.36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2=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＞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7.36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291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X 5</w:t>
            </w:r>
          </w:p>
        </w:tc>
        <w:tc>
          <w:tcPr>
            <w:tcW w:w="2977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PaCO</w:t>
            </w:r>
            <w:r>
              <w:rPr>
                <w:rFonts w:ascii="Arial" w:hAnsi="Arial" w:cs="Arial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1=≤43 mmHg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2=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＞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43 mmHg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291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X 6</w:t>
            </w:r>
          </w:p>
        </w:tc>
        <w:tc>
          <w:tcPr>
            <w:tcW w:w="2977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PaCO</w:t>
            </w:r>
            <w:r>
              <w:rPr>
                <w:rFonts w:ascii="Arial" w:hAnsi="Arial" w:cs="Arial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/PaO</w:t>
            </w:r>
            <w:r>
              <w:rPr>
                <w:rFonts w:ascii="Arial" w:hAnsi="Arial" w:cs="Arial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1=≤0.58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2=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＞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0.58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291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X 7</w:t>
            </w:r>
          </w:p>
        </w:tc>
        <w:tc>
          <w:tcPr>
            <w:tcW w:w="2977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Oxygenation index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1=≤150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2=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＞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150</w:t>
            </w:r>
          </w:p>
        </w:tc>
      </w:tr>
    </w:tbl>
    <w:p>
      <w:pPr>
        <w:spacing w:line="480" w:lineRule="auto"/>
        <w:ind w:firstLine="420" w:firstLineChars="200"/>
        <w:rPr>
          <w:rFonts w:ascii="Times New Roman" w:hAnsi="Times New Roman"/>
          <w:szCs w:val="21"/>
          <w:lang w:val="en-GB"/>
        </w:rPr>
      </w:pPr>
      <w:r>
        <w:rPr>
          <w:rFonts w:hint="eastAsia" w:ascii="Times New Roman" w:hAnsi="Times New Roman"/>
          <w:szCs w:val="21"/>
          <w:lang w:val="en-GB"/>
        </w:rPr>
        <w:t>Seven</w:t>
      </w:r>
      <w:r>
        <w:rPr>
          <w:rFonts w:ascii="Times New Roman" w:hAnsi="Times New Roman"/>
          <w:szCs w:val="21"/>
          <w:lang w:val="en-GB"/>
        </w:rPr>
        <w:t xml:space="preserve"> variables</w:t>
      </w:r>
      <w:r>
        <w:rPr>
          <w:rFonts w:ascii="Times New Roman" w:hAnsi="Times New Roman" w:eastAsia="黑体"/>
          <w:szCs w:val="21"/>
          <w:lang w:val="en-GB"/>
        </w:rPr>
        <w:t xml:space="preserve"> that</w:t>
      </w:r>
      <w:r>
        <w:rPr>
          <w:rFonts w:ascii="Times New Roman" w:hAnsi="Times New Roman"/>
          <w:szCs w:val="21"/>
          <w:lang w:val="en-GB"/>
        </w:rPr>
        <w:t xml:space="preserve"> had statistical significance in the univariate analysis were introduced into</w:t>
      </w:r>
      <w:r>
        <w:rPr>
          <w:rFonts w:ascii="Times New Roman" w:hAnsi="Times New Roman" w:eastAsia="黑体"/>
          <w:szCs w:val="21"/>
          <w:lang w:val="en-GB"/>
        </w:rPr>
        <w:t xml:space="preserve"> the</w:t>
      </w:r>
      <w:r>
        <w:rPr>
          <w:rFonts w:ascii="Times New Roman" w:hAnsi="Times New Roman"/>
          <w:szCs w:val="21"/>
          <w:lang w:val="en-GB"/>
        </w:rPr>
        <w:t xml:space="preserve"> unconditional logistic regression analysis model. </w:t>
      </w:r>
      <w:r>
        <w:rPr>
          <w:rFonts w:ascii="Times New Roman" w:hAnsi="Times New Roman" w:eastAsia="黑体"/>
          <w:szCs w:val="21"/>
          <w:lang w:val="en-GB"/>
        </w:rPr>
        <w:t>A stepwise</w:t>
      </w:r>
      <w:r>
        <w:rPr>
          <w:rFonts w:ascii="Times New Roman" w:hAnsi="Times New Roman"/>
          <w:szCs w:val="21"/>
          <w:lang w:val="en-GB"/>
        </w:rPr>
        <w:t xml:space="preserve"> regression method was </w:t>
      </w:r>
      <w:r>
        <w:rPr>
          <w:rFonts w:ascii="Times New Roman" w:hAnsi="Times New Roman" w:eastAsia="黑体"/>
          <w:szCs w:val="21"/>
          <w:lang w:val="en-GB"/>
        </w:rPr>
        <w:t>used</w:t>
      </w:r>
      <w:r>
        <w:rPr>
          <w:rFonts w:ascii="Times New Roman" w:hAnsi="Times New Roman"/>
          <w:szCs w:val="21"/>
          <w:lang w:val="en-GB"/>
        </w:rPr>
        <w:t xml:space="preserve"> to </w:t>
      </w:r>
      <w:r>
        <w:rPr>
          <w:rFonts w:ascii="Times New Roman" w:hAnsi="Times New Roman" w:eastAsia="黑体"/>
          <w:szCs w:val="21"/>
          <w:lang w:val="en-GB"/>
        </w:rPr>
        <w:t xml:space="preserve">determine </w:t>
      </w:r>
      <w:r>
        <w:rPr>
          <w:rFonts w:ascii="Times New Roman" w:hAnsi="Times New Roman"/>
          <w:szCs w:val="21"/>
          <w:lang w:val="en-GB"/>
        </w:rPr>
        <w:t xml:space="preserve">the risk factors for pediatric patients </w:t>
      </w:r>
      <w:r>
        <w:rPr>
          <w:rFonts w:ascii="Times New Roman" w:hAnsi="Times New Roman" w:eastAsia="黑体"/>
          <w:szCs w:val="21"/>
          <w:lang w:val="en-GB"/>
        </w:rPr>
        <w:t>with HFNC failure</w:t>
      </w:r>
      <w:r>
        <w:rPr>
          <w:rFonts w:ascii="Times New Roman" w:hAnsi="Times New Roman"/>
          <w:szCs w:val="21"/>
          <w:lang w:val="en-GB"/>
        </w:rPr>
        <w:t xml:space="preserve"> in 48 h. Among them, </w:t>
      </w:r>
      <w:bookmarkStart w:id="2" w:name="OLE_LINK65"/>
      <w:bookmarkStart w:id="3" w:name="OLE_LINK66"/>
      <w:r>
        <w:rPr>
          <w:rFonts w:ascii="Times New Roman" w:hAnsi="Times New Roman"/>
          <w:szCs w:val="21"/>
          <w:lang w:val="en-GB"/>
        </w:rPr>
        <w:t>T</w:t>
      </w:r>
      <w:bookmarkEnd w:id="2"/>
      <w:bookmarkEnd w:id="3"/>
      <w:r>
        <w:rPr>
          <w:rFonts w:ascii="Times New Roman" w:hAnsi="Times New Roman"/>
          <w:szCs w:val="21"/>
          <w:lang w:val="en-GB"/>
        </w:rPr>
        <w:t>he HFNC</w:t>
      </w:r>
      <w:r>
        <w:rPr>
          <w:rFonts w:ascii="Times New Roman" w:hAnsi="Times New Roman" w:eastAsia="黑体"/>
          <w:szCs w:val="21"/>
          <w:lang w:val="en-GB"/>
        </w:rPr>
        <w:t xml:space="preserve"> 48</w:t>
      </w:r>
      <w:r>
        <w:rPr>
          <w:rFonts w:ascii="Times New Roman" w:hAnsi="Times New Roman"/>
          <w:szCs w:val="21"/>
          <w:lang w:val="en-GB"/>
        </w:rPr>
        <w:t xml:space="preserve"> </w:t>
      </w:r>
      <w:r>
        <w:rPr>
          <w:rFonts w:ascii="Times New Roman" w:hAnsi="Times New Roman" w:eastAsia="黑体"/>
          <w:szCs w:val="21"/>
          <w:lang w:val="en-GB"/>
        </w:rPr>
        <w:t>h</w:t>
      </w:r>
      <w:r>
        <w:rPr>
          <w:rFonts w:ascii="Times New Roman" w:hAnsi="Times New Roman"/>
          <w:szCs w:val="21"/>
          <w:lang w:val="en-GB"/>
        </w:rPr>
        <w:t xml:space="preserve"> failure risk increases by more than 4 times when the PRISM III score &gt;4 points or</w:t>
      </w:r>
      <w:r>
        <w:rPr>
          <w:rFonts w:ascii="Times New Roman" w:hAnsi="Times New Roman" w:eastAsia="黑体"/>
          <w:szCs w:val="21"/>
          <w:lang w:val="en-GB"/>
        </w:rPr>
        <w:t xml:space="preserve"> PaCO</w:t>
      </w:r>
      <w:r>
        <w:rPr>
          <w:rFonts w:ascii="Times New Roman" w:hAnsi="Times New Roman" w:eastAsia="黑体"/>
          <w:szCs w:val="21"/>
          <w:vertAlign w:val="subscript"/>
          <w:lang w:val="en-GB"/>
        </w:rPr>
        <w:t xml:space="preserve">2 </w:t>
      </w:r>
      <w:r>
        <w:rPr>
          <w:rFonts w:ascii="Times New Roman" w:hAnsi="Times New Roman" w:eastAsia="黑体"/>
          <w:szCs w:val="21"/>
          <w:lang w:val="en-GB"/>
        </w:rPr>
        <w:t>&gt;43 mmHg</w:t>
      </w:r>
      <w:r>
        <w:rPr>
          <w:rFonts w:ascii="Times New Roman" w:hAnsi="Times New Roman"/>
          <w:szCs w:val="21"/>
          <w:lang w:val="en-GB"/>
        </w:rPr>
        <w:t xml:space="preserve"> (see Table 2).</w:t>
      </w:r>
    </w:p>
    <w:p>
      <w:pPr>
        <w:spacing w:line="480" w:lineRule="auto"/>
        <w:jc w:val="left"/>
        <w:rPr>
          <w:rFonts w:ascii="Arial" w:hAnsi="Arial" w:cs="Arial"/>
          <w:bCs/>
          <w:sz w:val="18"/>
          <w:szCs w:val="18"/>
          <w:lang w:val="en-GB"/>
        </w:rPr>
      </w:pPr>
      <w:r>
        <w:rPr>
          <w:rFonts w:ascii="Arial" w:hAnsi="Arial" w:cs="Arial"/>
          <w:bCs/>
          <w:sz w:val="18"/>
          <w:szCs w:val="18"/>
          <w:lang w:val="en-GB"/>
        </w:rPr>
        <w:t xml:space="preserve">Table 2  Multi-factor Logistic Analysis for </w:t>
      </w:r>
      <w:r>
        <w:rPr>
          <w:rFonts w:ascii="Arial" w:hAnsi="Arial" w:cs="Arial"/>
          <w:sz w:val="18"/>
          <w:szCs w:val="18"/>
          <w:lang w:val="en-GB"/>
        </w:rPr>
        <w:t>high-flow nasal cannula oxygen therapy</w:t>
      </w:r>
      <w:r>
        <w:rPr>
          <w:rFonts w:ascii="Arial" w:hAnsi="Arial" w:cs="Arial"/>
          <w:bCs/>
          <w:sz w:val="18"/>
          <w:szCs w:val="18"/>
          <w:lang w:val="en-GB"/>
        </w:rPr>
        <w:t xml:space="preserve"> 48 h Failure</w:t>
      </w:r>
    </w:p>
    <w:tbl>
      <w:tblPr>
        <w:tblStyle w:val="3"/>
        <w:tblpPr w:leftFromText="180" w:rightFromText="180" w:vertAnchor="text" w:tblpXSpec="right" w:tblpY="1"/>
        <w:tblOverlap w:val="never"/>
        <w:tblW w:w="852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00"/>
        <w:gridCol w:w="1701"/>
        <w:gridCol w:w="1276"/>
        <w:gridCol w:w="850"/>
        <w:gridCol w:w="709"/>
        <w:gridCol w:w="709"/>
        <w:gridCol w:w="127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0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Variant 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Regression coefficients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Standard 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error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i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sz w:val="18"/>
                <w:szCs w:val="18"/>
                <w:lang w:val="en-GB"/>
              </w:rPr>
              <w:t>Wald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P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i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sz w:val="18"/>
                <w:szCs w:val="18"/>
                <w:lang w:val="en-GB"/>
              </w:rPr>
              <w:t>OR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i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sz w:val="18"/>
                <w:szCs w:val="18"/>
                <w:lang w:val="en-GB"/>
              </w:rPr>
              <w:t>95% CI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00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PRISM III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＞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 points</w:t>
            </w:r>
          </w:p>
        </w:tc>
        <w:tc>
          <w:tcPr>
            <w:tcW w:w="170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1.402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0.364</w:t>
            </w:r>
          </w:p>
        </w:tc>
        <w:tc>
          <w:tcPr>
            <w:tcW w:w="8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14.802</w:t>
            </w:r>
          </w:p>
        </w:tc>
        <w:tc>
          <w:tcPr>
            <w:tcW w:w="7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4.064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1.989~8.302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0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PaCO</w:t>
            </w:r>
            <w:r>
              <w:rPr>
                <w:rFonts w:ascii="Arial" w:hAnsi="Arial" w:cs="Arial"/>
                <w:color w:val="000000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＞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43 mmHg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1.508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0.350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18.508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4.516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2.272~8.976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0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Constant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15.684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3.424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20.977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>
      <w:pPr>
        <w:spacing w:line="360" w:lineRule="auto"/>
      </w:pPr>
      <w:r>
        <w:rPr>
          <w:rFonts w:ascii="Arial" w:hAnsi="Arial" w:cs="Arial"/>
          <w:bCs/>
          <w:sz w:val="18"/>
          <w:szCs w:val="18"/>
          <w:lang w:val="en-GB"/>
        </w:rPr>
        <w:t>Note:</w:t>
      </w:r>
      <w:r>
        <w:rPr>
          <w:rFonts w:ascii="Arial" w:hAnsi="Arial" w:cs="Arial"/>
          <w:bCs/>
          <w:kern w:val="0"/>
          <w:sz w:val="18"/>
          <w:szCs w:val="18"/>
          <w:lang w:val="en-GB"/>
        </w:rPr>
        <w:t>Wald</w:t>
      </w:r>
      <w:r>
        <w:rPr>
          <w:rFonts w:hint="eastAsia" w:ascii="Arial" w:hAnsi="Arial" w:cs="Arial"/>
          <w:bCs/>
          <w:kern w:val="0"/>
          <w:sz w:val="18"/>
          <w:szCs w:val="18"/>
          <w:lang w:val="en-US" w:eastAsia="zh-CN"/>
        </w:rPr>
        <w:t>=</w:t>
      </w:r>
      <w:r>
        <w:rPr>
          <w:rFonts w:ascii="Arial" w:hAnsi="Arial" w:cs="Arial"/>
          <w:bCs/>
          <w:kern w:val="0"/>
          <w:sz w:val="18"/>
          <w:szCs w:val="18"/>
          <w:lang w:val="en-GB"/>
        </w:rPr>
        <w:t>Wald test statistics,</w:t>
      </w:r>
      <w:r>
        <w:rPr>
          <w:rFonts w:ascii="Arial" w:hAnsi="Arial" w:cs="Arial"/>
          <w:bCs/>
          <w:sz w:val="18"/>
          <w:szCs w:val="18"/>
          <w:lang w:val="en-GB"/>
        </w:rPr>
        <w:t>OR</w:t>
      </w:r>
      <w:r>
        <w:rPr>
          <w:rFonts w:hint="eastAsia" w:ascii="Arial" w:hAnsi="Arial" w:cs="Arial"/>
          <w:bCs/>
          <w:sz w:val="18"/>
          <w:szCs w:val="18"/>
          <w:lang w:val="en-US" w:eastAsia="zh-CN"/>
        </w:rPr>
        <w:t>=</w:t>
      </w:r>
      <w:r>
        <w:rPr>
          <w:rFonts w:ascii="Arial" w:hAnsi="Arial" w:cs="Arial"/>
          <w:bCs/>
          <w:sz w:val="18"/>
          <w:szCs w:val="18"/>
          <w:lang w:val="en-GB"/>
        </w:rPr>
        <w:t xml:space="preserve">odds ratios,the ratio of the possibility of an event happening to the impossibility of the event happening,95% </w:t>
      </w:r>
      <w:r>
        <w:rPr>
          <w:rFonts w:ascii="Arial" w:hAnsi="Arial" w:cs="Arial"/>
          <w:bCs/>
          <w:iCs/>
          <w:sz w:val="18"/>
          <w:szCs w:val="18"/>
          <w:lang w:val="en-GB"/>
        </w:rPr>
        <w:t>CI</w:t>
      </w:r>
      <w:r>
        <w:rPr>
          <w:rFonts w:hint="eastAsia" w:ascii="Arial" w:hAnsi="Arial" w:cs="Arial"/>
          <w:bCs/>
          <w:iCs/>
          <w:sz w:val="18"/>
          <w:szCs w:val="18"/>
          <w:lang w:val="en-US" w:eastAsia="zh-CN"/>
        </w:rPr>
        <w:t>=</w:t>
      </w:r>
      <w:r>
        <w:rPr>
          <w:rFonts w:ascii="Arial" w:hAnsi="Arial" w:cs="Arial"/>
          <w:bCs/>
          <w:sz w:val="18"/>
          <w:szCs w:val="18"/>
          <w:lang w:val="en-GB"/>
        </w:rPr>
        <w:t>95% confidence intervals for the OR.</w:t>
      </w:r>
      <w:bookmarkStart w:id="4" w:name="_GoBack"/>
      <w:bookmarkEnd w:id="4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9D1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List Paragraph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2020-11-22T15:47:03Z</dcterms:created>
  <dc:creator>LENOVO</dc:creator>
  <cp:lastModifiedBy>LJ</cp:lastModifiedBy>
  <dcterms:modified xsi:type="dcterms:W3CDTF">2020-11-22T15:47:15Z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