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9F" w:rsidRPr="006856AF" w:rsidRDefault="00C5559F" w:rsidP="006856AF">
      <w:pPr>
        <w:pStyle w:val="Heading1"/>
        <w:rPr>
          <w:rFonts w:asciiTheme="majorBidi" w:hAnsiTheme="majorBidi"/>
          <w:color w:val="auto"/>
          <w:sz w:val="28"/>
          <w:szCs w:val="28"/>
        </w:rPr>
      </w:pPr>
      <w:bookmarkStart w:id="0" w:name="_Toc525743569"/>
      <w:r w:rsidRPr="006856AF">
        <w:rPr>
          <w:rFonts w:asciiTheme="majorBidi" w:hAnsiTheme="majorBidi"/>
          <w:color w:val="auto"/>
          <w:sz w:val="28"/>
          <w:szCs w:val="28"/>
        </w:rPr>
        <w:t>Appendices</w:t>
      </w:r>
      <w:bookmarkEnd w:id="0"/>
    </w:p>
    <w:p w:rsidR="003A6C5C" w:rsidRPr="006856AF" w:rsidRDefault="003A6C5C" w:rsidP="0005238E">
      <w:pPr>
        <w:pStyle w:val="Heading2"/>
        <w:spacing w:before="0" w:after="240" w:line="360" w:lineRule="auto"/>
        <w:rPr>
          <w:rFonts w:asciiTheme="majorBidi" w:hAnsiTheme="majorBidi"/>
          <w:color w:val="auto"/>
          <w:sz w:val="24"/>
          <w:szCs w:val="24"/>
          <w:lang w:val="en-US"/>
        </w:rPr>
      </w:pPr>
      <w:r w:rsidRPr="006856AF">
        <w:rPr>
          <w:rFonts w:asciiTheme="majorBidi" w:hAnsiTheme="majorBidi"/>
          <w:color w:val="auto"/>
          <w:sz w:val="24"/>
          <w:szCs w:val="24"/>
          <w:lang w:val="en-GB"/>
        </w:rPr>
        <w:t xml:space="preserve">Appendix 1. </w:t>
      </w:r>
      <w:r w:rsidR="0005238E" w:rsidRPr="006856AF">
        <w:rPr>
          <w:rFonts w:asciiTheme="majorBidi" w:hAnsiTheme="majorBidi"/>
          <w:color w:val="auto"/>
          <w:sz w:val="24"/>
          <w:szCs w:val="24"/>
          <w:lang w:val="en-US"/>
        </w:rPr>
        <w:t xml:space="preserve">GLASS specific antibiotic susceptibility testing against individual organisms </w:t>
      </w:r>
      <w:r w:rsidR="0005238E" w:rsidRPr="006856AF">
        <w:rPr>
          <w:rFonts w:asciiTheme="majorBidi" w:hAnsiTheme="majorBidi"/>
          <w:noProof/>
          <w:color w:val="auto"/>
          <w:sz w:val="24"/>
          <w:szCs w:val="24"/>
          <w:lang w:val="en-US"/>
        </w:rPr>
        <w:t>(WHO, 2020)</w:t>
      </w: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4201"/>
      </w:tblGrid>
      <w:tr w:rsidR="006856AF" w:rsidRPr="006856AF" w:rsidTr="003A6C5C">
        <w:trPr>
          <w:trHeight w:val="1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Organism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Antibacterial class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Antibacterial agents that may be used for AST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Escherichia coli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Sulfonamides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and trimethoprim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Co-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trimoxazole</w:t>
            </w:r>
            <w:proofErr w:type="spellEnd"/>
          </w:p>
        </w:tc>
      </w:tr>
      <w:tr w:rsidR="006856AF" w:rsidRPr="006856AF" w:rsidTr="003A6C5C">
        <w:trPr>
          <w:trHeight w:val="16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Fluoroquinolones</w:t>
            </w:r>
          </w:p>
        </w:tc>
        <w:tc>
          <w:tcPr>
            <w:tcW w:w="4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Ciprofloxacin or levofloxacin</w:t>
            </w:r>
          </w:p>
        </w:tc>
      </w:tr>
      <w:tr w:rsidR="006856AF" w:rsidRPr="006856AF" w:rsidTr="003A6C5C">
        <w:trPr>
          <w:trHeight w:val="1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Ceftriaxone,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cefotaxime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Ceftazidime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Fourth-generation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Cefepime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Carbapenems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Imipenem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meropenem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ertapenem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doripenem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Polymyxins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Colistin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Penicillins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Ampicillin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Klebsiella</w:t>
            </w:r>
            <w:proofErr w:type="spellEnd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 xml:space="preserve">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pneumoniae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Sulfonamides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and trimethoprim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Co-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trimoxazole</w:t>
            </w:r>
            <w:proofErr w:type="spellEnd"/>
          </w:p>
        </w:tc>
      </w:tr>
      <w:tr w:rsidR="006856AF" w:rsidRPr="006856AF" w:rsidTr="003A6C5C">
        <w:trPr>
          <w:trHeight w:val="1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Fluoroquinolones</w:t>
            </w:r>
          </w:p>
        </w:tc>
        <w:tc>
          <w:tcPr>
            <w:tcW w:w="42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Ciprofloxacin or levofloxacin</w:t>
            </w:r>
          </w:p>
        </w:tc>
      </w:tr>
      <w:tr w:rsidR="006856AF" w:rsidRPr="006856AF" w:rsidTr="003A6C5C">
        <w:trPr>
          <w:trHeight w:val="16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Ceftriaxone,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cefotaxime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Ceftazidime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Fourth-generation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Cefepime</w:t>
            </w:r>
            <w:proofErr w:type="spellEnd"/>
          </w:p>
        </w:tc>
      </w:tr>
      <w:tr w:rsidR="006856AF" w:rsidRPr="006856AF" w:rsidTr="003A6C5C">
        <w:trPr>
          <w:trHeight w:val="19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Carbapenems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Imipenem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meropenem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ertapenem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doripenem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Polymyxins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Colistin</w:t>
            </w:r>
            <w:proofErr w:type="spellEnd"/>
          </w:p>
        </w:tc>
      </w:tr>
      <w:tr w:rsidR="006856AF" w:rsidRPr="006856AF" w:rsidTr="003A6C5C">
        <w:trPr>
          <w:trHeight w:val="26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05238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Acinetobacter</w:t>
            </w:r>
            <w:proofErr w:type="spellEnd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 xml:space="preserve"> </w:t>
            </w:r>
            <w:r w:rsidR="0005238E" w:rsidRPr="006856AF">
              <w:rPr>
                <w:rFonts w:asciiTheme="majorBidi" w:eastAsia="Times New Roman" w:hAnsiTheme="majorBidi" w:cstheme="majorBidi"/>
                <w:lang w:eastAsia="en-GB"/>
              </w:rPr>
              <w:t>spp</w:t>
            </w:r>
            <w:r w:rsidR="0005238E"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Tetracyclines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Tigecycline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minocycline</w:t>
            </w:r>
          </w:p>
        </w:tc>
      </w:tr>
      <w:tr w:rsidR="006856AF" w:rsidRPr="006856AF" w:rsidTr="003A6C5C">
        <w:trPr>
          <w:trHeight w:val="2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Aminoglycosides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Gentamicin and amikacin</w:t>
            </w:r>
          </w:p>
        </w:tc>
      </w:tr>
      <w:tr w:rsidR="006856AF" w:rsidRPr="006856AF" w:rsidTr="003A6C5C">
        <w:trPr>
          <w:trHeight w:val="1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Carbapenems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Imipenem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meropenem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ordoripenem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Polymyxins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Colistin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Staphylococcus aureus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Penicillinase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-stable beta-lactams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Cefoxitin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Penicillins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Oxacillin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 xml:space="preserve">Streptococcus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pneumoniae</w:t>
            </w:r>
            <w:proofErr w:type="spellEnd"/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Penicillins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Oxacillin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Penicillin G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Sulfonamides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and trimethoprim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Co-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trimoxazole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Ceftriaxone</w:t>
            </w:r>
          </w:p>
        </w:tc>
      </w:tr>
      <w:tr w:rsidR="006856AF" w:rsidRPr="006856AF" w:rsidTr="0005238E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Cefotaxime</w:t>
            </w:r>
            <w:proofErr w:type="spellEnd"/>
          </w:p>
        </w:tc>
      </w:tr>
      <w:tr w:rsidR="006856AF" w:rsidRPr="006856AF" w:rsidTr="0005238E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Salmonella</w:t>
            </w: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spp.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Fluoroquinolones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Ciprofloxacin or levofloxacin</w:t>
            </w:r>
          </w:p>
        </w:tc>
      </w:tr>
      <w:tr w:rsidR="006856AF" w:rsidRPr="006856AF" w:rsidTr="0005238E">
        <w:trPr>
          <w:trHeight w:val="28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Ceftriaxone,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cefotaxime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ceftazidime</w:t>
            </w:r>
            <w:proofErr w:type="spellEnd"/>
          </w:p>
        </w:tc>
      </w:tr>
      <w:tr w:rsidR="006856AF" w:rsidRPr="006856AF" w:rsidTr="0005238E">
        <w:trPr>
          <w:trHeight w:val="2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Carbapenems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Imipenem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meropenem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ertapenem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doripenem</w:t>
            </w:r>
            <w:proofErr w:type="spellEnd"/>
          </w:p>
        </w:tc>
      </w:tr>
      <w:tr w:rsidR="006856AF" w:rsidRPr="006856AF" w:rsidTr="0005238E">
        <w:trPr>
          <w:trHeight w:val="2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Shigella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spp.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Fluoroquinolones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Ciprofloxacin or levofloxacin</w:t>
            </w:r>
          </w:p>
        </w:tc>
      </w:tr>
      <w:tr w:rsidR="006856AF" w:rsidRPr="006856AF" w:rsidTr="003A6C5C">
        <w:trPr>
          <w:trHeight w:val="2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 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Ceftriaxone,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cefotaxime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Ceftazidime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Macrolides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Azithromycin</w:t>
            </w:r>
          </w:p>
        </w:tc>
      </w:tr>
      <w:tr w:rsidR="006856AF" w:rsidRPr="006856AF" w:rsidTr="003A6C5C">
        <w:trPr>
          <w:trHeight w:val="20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 xml:space="preserve">Neisseria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i/>
                <w:iCs/>
                <w:lang w:eastAsia="en-GB"/>
              </w:rPr>
              <w:t>gonorrhoeae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Third-generation </w:t>
            </w: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cephalosporins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Cefixime</w:t>
            </w:r>
            <w:proofErr w:type="spellEnd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 xml:space="preserve"> or ceftriaxone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Macrolides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Azithromycin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Aminocyclitols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6856AF">
              <w:rPr>
                <w:rFonts w:asciiTheme="majorBidi" w:eastAsia="Times New Roman" w:hAnsiTheme="majorBidi" w:cstheme="majorBidi"/>
                <w:lang w:eastAsia="en-GB"/>
              </w:rPr>
              <w:t>Spectinomycin</w:t>
            </w:r>
            <w:proofErr w:type="spellEnd"/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Fluoroquinolones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Ciprofloxacin</w:t>
            </w:r>
          </w:p>
        </w:tc>
      </w:tr>
      <w:tr w:rsidR="006856AF" w:rsidRPr="006856AF" w:rsidTr="003A6C5C">
        <w:trPr>
          <w:trHeight w:val="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Aminoglycosides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5C" w:rsidRPr="006856AF" w:rsidRDefault="003A6C5C" w:rsidP="00CC1E4F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  <w:r w:rsidRPr="006856AF">
              <w:rPr>
                <w:rFonts w:asciiTheme="majorBidi" w:eastAsia="Times New Roman" w:hAnsiTheme="majorBidi" w:cstheme="majorBidi"/>
                <w:lang w:eastAsia="en-GB"/>
              </w:rPr>
              <w:t>Gentamicin</w:t>
            </w:r>
          </w:p>
        </w:tc>
      </w:tr>
    </w:tbl>
    <w:p w:rsidR="003A6C5C" w:rsidRPr="006856AF" w:rsidRDefault="003A6C5C" w:rsidP="003A6C5C">
      <w:pPr>
        <w:rPr>
          <w:rFonts w:asciiTheme="majorBidi" w:hAnsiTheme="majorBidi" w:cstheme="majorBidi"/>
          <w:sz w:val="24"/>
          <w:szCs w:val="24"/>
        </w:rPr>
      </w:pPr>
    </w:p>
    <w:p w:rsidR="003A6C5C" w:rsidRPr="006856AF" w:rsidRDefault="003A6C5C" w:rsidP="003A6C5C">
      <w:pPr>
        <w:rPr>
          <w:rFonts w:asciiTheme="majorBidi" w:hAnsiTheme="majorBidi" w:cstheme="majorBidi"/>
          <w:sz w:val="24"/>
          <w:szCs w:val="24"/>
        </w:rPr>
      </w:pPr>
    </w:p>
    <w:p w:rsidR="00C5559F" w:rsidRPr="006856AF" w:rsidRDefault="00C5559F" w:rsidP="0005238E">
      <w:pPr>
        <w:pStyle w:val="Heading2"/>
        <w:spacing w:before="0" w:after="240" w:line="360" w:lineRule="auto"/>
        <w:rPr>
          <w:rFonts w:asciiTheme="majorBidi" w:hAnsiTheme="majorBidi"/>
          <w:color w:val="auto"/>
          <w:sz w:val="24"/>
          <w:szCs w:val="24"/>
          <w:lang w:val="en-GB"/>
        </w:rPr>
      </w:pPr>
      <w:bookmarkStart w:id="1" w:name="_Toc525743570"/>
      <w:r w:rsidRPr="006856AF">
        <w:rPr>
          <w:rFonts w:asciiTheme="majorBidi" w:hAnsiTheme="majorBidi"/>
          <w:color w:val="auto"/>
          <w:sz w:val="24"/>
          <w:szCs w:val="24"/>
          <w:lang w:val="en-GB"/>
        </w:rPr>
        <w:lastRenderedPageBreak/>
        <w:t xml:space="preserve">Appendix </w:t>
      </w:r>
      <w:r w:rsidR="0005238E" w:rsidRPr="006856AF">
        <w:rPr>
          <w:rFonts w:asciiTheme="majorBidi" w:hAnsiTheme="majorBidi"/>
          <w:color w:val="auto"/>
          <w:sz w:val="24"/>
          <w:szCs w:val="24"/>
          <w:lang w:val="en-GB"/>
        </w:rPr>
        <w:t>2</w:t>
      </w:r>
      <w:r w:rsidRPr="006856AF">
        <w:rPr>
          <w:rFonts w:asciiTheme="majorBidi" w:hAnsiTheme="majorBidi"/>
          <w:color w:val="auto"/>
          <w:sz w:val="24"/>
          <w:szCs w:val="24"/>
          <w:lang w:val="en-GB"/>
        </w:rPr>
        <w:t>. Search strategy</w:t>
      </w:r>
      <w:bookmarkEnd w:id="1"/>
    </w:p>
    <w:p w:rsidR="00C5559F" w:rsidRPr="006856AF" w:rsidRDefault="00C5559F" w:rsidP="00C5559F">
      <w:pPr>
        <w:spacing w:after="240" w:line="300" w:lineRule="atLeast"/>
        <w:contextualSpacing/>
        <w:rPr>
          <w:rFonts w:asciiTheme="majorBidi" w:hAnsiTheme="majorBidi" w:cstheme="majorBidi"/>
          <w:b/>
          <w:sz w:val="24"/>
          <w:szCs w:val="24"/>
        </w:rPr>
      </w:pPr>
      <w:r w:rsidRPr="006856AF">
        <w:rPr>
          <w:rFonts w:asciiTheme="majorBidi" w:hAnsiTheme="majorBidi" w:cstheme="majorBidi"/>
          <w:b/>
          <w:sz w:val="24"/>
          <w:szCs w:val="24"/>
        </w:rPr>
        <w:t>PubMed</w:t>
      </w:r>
    </w:p>
    <w:p w:rsidR="00C5559F" w:rsidRPr="006856AF" w:rsidRDefault="00C5559F" w:rsidP="00C5559F">
      <w:pPr>
        <w:spacing w:after="240" w:line="300" w:lineRule="atLeast"/>
        <w:contextualSpacing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7883"/>
      </w:tblGrid>
      <w:tr w:rsidR="006856AF" w:rsidRPr="006856AF" w:rsidTr="006A7BDA">
        <w:tc>
          <w:tcPr>
            <w:tcW w:w="1133" w:type="dxa"/>
          </w:tcPr>
          <w:p w:rsidR="00C5559F" w:rsidRPr="006856AF" w:rsidRDefault="00C5559F" w:rsidP="006A7BDA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Item</w:t>
            </w:r>
          </w:p>
        </w:tc>
        <w:tc>
          <w:tcPr>
            <w:tcW w:w="7883" w:type="dxa"/>
          </w:tcPr>
          <w:p w:rsidR="00C5559F" w:rsidRPr="006856AF" w:rsidRDefault="00C5559F" w:rsidP="006A7BDA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Search terms</w:t>
            </w:r>
          </w:p>
        </w:tc>
      </w:tr>
      <w:tr w:rsidR="006856AF" w:rsidRPr="006856AF" w:rsidTr="006A7BDA">
        <w:tc>
          <w:tcPr>
            <w:tcW w:w="1133" w:type="dxa"/>
          </w:tcPr>
          <w:p w:rsidR="00C5559F" w:rsidRPr="006856AF" w:rsidRDefault="00C5559F" w:rsidP="006A7BDA">
            <w:pPr>
              <w:spacing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#1</w:t>
            </w:r>
          </w:p>
        </w:tc>
        <w:tc>
          <w:tcPr>
            <w:tcW w:w="7883" w:type="dxa"/>
          </w:tcPr>
          <w:p w:rsidR="00C5559F" w:rsidRPr="006856AF" w:rsidRDefault="00770E58" w:rsidP="00770E58">
            <w:pPr>
              <w:spacing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"drug resistance, microbial"[</w:t>
            </w:r>
            <w:proofErr w:type="spellStart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MeSH</w:t>
            </w:r>
            <w:proofErr w:type="spellEnd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Terms] OR "drug resistance, bacterial"[</w:t>
            </w:r>
            <w:proofErr w:type="spellStart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MeSH</w:t>
            </w:r>
            <w:proofErr w:type="spellEnd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Terms] AND "Morocco"[</w:t>
            </w:r>
            <w:proofErr w:type="spellStart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MeSH</w:t>
            </w:r>
            <w:proofErr w:type="spellEnd"/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Terms]</w:t>
            </w:r>
          </w:p>
        </w:tc>
      </w:tr>
      <w:tr w:rsidR="00770E58" w:rsidRPr="006856AF" w:rsidTr="006A7BDA">
        <w:tc>
          <w:tcPr>
            <w:tcW w:w="1133" w:type="dxa"/>
          </w:tcPr>
          <w:p w:rsidR="00770E58" w:rsidRPr="006856AF" w:rsidRDefault="00770E58" w:rsidP="00770E58">
            <w:pPr>
              <w:spacing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#2</w:t>
            </w:r>
          </w:p>
        </w:tc>
        <w:tc>
          <w:tcPr>
            <w:tcW w:w="7883" w:type="dxa"/>
          </w:tcPr>
          <w:p w:rsidR="00770E58" w:rsidRPr="006856AF" w:rsidRDefault="00770E58" w:rsidP="00770E58">
            <w:pPr>
              <w:spacing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Cs/>
                <w:sz w:val="24"/>
                <w:szCs w:val="24"/>
              </w:rPr>
              <w:t>1 AND Publication date from 2011/01/01 to 2021/12/20 ; Languages: Arabic, English, French, Spanish</w:t>
            </w:r>
          </w:p>
        </w:tc>
      </w:tr>
    </w:tbl>
    <w:p w:rsidR="00C5559F" w:rsidRPr="006856AF" w:rsidRDefault="00C5559F" w:rsidP="00C5559F">
      <w:pPr>
        <w:spacing w:after="240" w:line="360" w:lineRule="auto"/>
        <w:rPr>
          <w:rFonts w:asciiTheme="majorBidi" w:hAnsiTheme="majorBidi" w:cstheme="majorBidi"/>
          <w:sz w:val="24"/>
          <w:szCs w:val="24"/>
        </w:rPr>
      </w:pPr>
    </w:p>
    <w:p w:rsidR="003E0402" w:rsidRPr="006856AF" w:rsidRDefault="003E0402" w:rsidP="006C1555">
      <w:pPr>
        <w:pStyle w:val="Heading2"/>
        <w:spacing w:before="0" w:after="240" w:line="360" w:lineRule="auto"/>
        <w:rPr>
          <w:rFonts w:asciiTheme="majorBidi" w:hAnsiTheme="majorBidi"/>
          <w:color w:val="auto"/>
          <w:sz w:val="24"/>
          <w:szCs w:val="24"/>
          <w:lang w:val="en-GB"/>
        </w:rPr>
      </w:pPr>
      <w:r w:rsidRPr="006856AF">
        <w:rPr>
          <w:rFonts w:asciiTheme="majorBidi" w:hAnsiTheme="majorBidi"/>
          <w:color w:val="auto"/>
          <w:sz w:val="24"/>
          <w:szCs w:val="24"/>
          <w:lang w:val="en-GB"/>
        </w:rPr>
        <w:t xml:space="preserve">Appendix </w:t>
      </w:r>
      <w:bookmarkStart w:id="2" w:name="_GoBack"/>
      <w:bookmarkEnd w:id="2"/>
      <w:r w:rsidR="006C1555" w:rsidRPr="006856AF">
        <w:rPr>
          <w:rFonts w:asciiTheme="majorBidi" w:hAnsiTheme="majorBidi"/>
          <w:color w:val="auto"/>
          <w:sz w:val="24"/>
          <w:szCs w:val="24"/>
          <w:lang w:val="en-GB"/>
        </w:rPr>
        <w:t>3</w:t>
      </w:r>
      <w:r w:rsidRPr="006856AF">
        <w:rPr>
          <w:rFonts w:asciiTheme="majorBidi" w:hAnsiTheme="majorBidi"/>
          <w:color w:val="auto"/>
          <w:sz w:val="24"/>
          <w:szCs w:val="24"/>
          <w:lang w:val="en-GB"/>
        </w:rPr>
        <w:t>. Joanna Briggs Institute’s critical appraisal checklist for studies reporting prevalence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7"/>
        <w:gridCol w:w="590"/>
        <w:gridCol w:w="510"/>
        <w:gridCol w:w="1030"/>
        <w:gridCol w:w="1479"/>
      </w:tblGrid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Items</w:t>
            </w:r>
          </w:p>
        </w:tc>
        <w:tc>
          <w:tcPr>
            <w:tcW w:w="0" w:type="auto"/>
          </w:tcPr>
          <w:p w:rsidR="003E0402" w:rsidRPr="006856AF" w:rsidRDefault="003E0402" w:rsidP="003E040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:rsidR="003E0402" w:rsidRPr="006856AF" w:rsidRDefault="003E0402" w:rsidP="003E040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3E0402" w:rsidRPr="006856AF" w:rsidRDefault="003E0402" w:rsidP="003E040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Unclear</w:t>
            </w:r>
          </w:p>
        </w:tc>
        <w:tc>
          <w:tcPr>
            <w:tcW w:w="0" w:type="auto"/>
          </w:tcPr>
          <w:p w:rsidR="003E0402" w:rsidRPr="006856AF" w:rsidRDefault="003E0402" w:rsidP="003E040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Not applicable</w:t>
            </w: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</w:rPr>
              <w:t>1. Was the sample frame appropriate to address the target population?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2. Were study participants sampled</w:t>
            </w:r>
            <w:proofErr w:type="gramEnd"/>
            <w:r w:rsidRPr="006856AF">
              <w:rPr>
                <w:rFonts w:asciiTheme="majorBidi" w:hAnsiTheme="majorBidi" w:cstheme="majorBidi"/>
                <w:sz w:val="24"/>
                <w:szCs w:val="24"/>
              </w:rPr>
              <w:t xml:space="preserve"> in an appropriate way?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</w:rPr>
              <w:t>3. Was the sample size adequate?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4. Were the study subjects and the setting described</w:t>
            </w:r>
            <w:proofErr w:type="gramEnd"/>
            <w:r w:rsidRPr="006856AF">
              <w:rPr>
                <w:rFonts w:asciiTheme="majorBidi" w:hAnsiTheme="majorBidi" w:cstheme="majorBidi"/>
                <w:sz w:val="24"/>
                <w:szCs w:val="24"/>
              </w:rPr>
              <w:t xml:space="preserve"> in detail?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5. Was the data analysis conducted</w:t>
            </w:r>
            <w:proofErr w:type="gramEnd"/>
            <w:r w:rsidRPr="006856AF">
              <w:rPr>
                <w:rFonts w:asciiTheme="majorBidi" w:hAnsiTheme="majorBidi" w:cstheme="majorBidi"/>
                <w:sz w:val="24"/>
                <w:szCs w:val="24"/>
              </w:rPr>
              <w:t xml:space="preserve"> with sufficient coverage of the identified sample?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6. Were valid methods used</w:t>
            </w:r>
            <w:proofErr w:type="gramEnd"/>
            <w:r w:rsidRPr="006856AF">
              <w:rPr>
                <w:rFonts w:asciiTheme="majorBidi" w:hAnsiTheme="majorBidi" w:cstheme="majorBidi"/>
                <w:sz w:val="24"/>
                <w:szCs w:val="24"/>
              </w:rPr>
              <w:t xml:space="preserve"> for the identification of the condition?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7. Was the condition measured</w:t>
            </w:r>
            <w:proofErr w:type="gramEnd"/>
            <w:r w:rsidRPr="006856AF">
              <w:rPr>
                <w:rFonts w:asciiTheme="majorBidi" w:hAnsiTheme="majorBidi" w:cstheme="majorBidi"/>
                <w:sz w:val="24"/>
                <w:szCs w:val="24"/>
              </w:rPr>
              <w:t xml:space="preserve"> in a standard, reliable way for all participants?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56AF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856AF">
              <w:rPr>
                <w:rFonts w:asciiTheme="majorBidi" w:hAnsiTheme="majorBidi" w:cstheme="majorBidi"/>
                <w:sz w:val="24"/>
                <w:szCs w:val="24"/>
              </w:rPr>
              <w:t>8. Was there appropriate statistical analysis?</w:t>
            </w:r>
            <w:proofErr w:type="gramEnd"/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0402" w:rsidRPr="006856AF" w:rsidTr="00CA4E1C"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</w:rPr>
              <w:t>9. Was the response rate adequate, and if not, was the low response rate managed appropriately?</w:t>
            </w: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E0402" w:rsidRPr="006856AF" w:rsidRDefault="003E0402" w:rsidP="00CA4E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E0402" w:rsidRPr="006856AF" w:rsidRDefault="003E0402" w:rsidP="00C5559F">
      <w:pPr>
        <w:spacing w:after="240" w:line="360" w:lineRule="auto"/>
        <w:rPr>
          <w:rFonts w:asciiTheme="majorBidi" w:hAnsiTheme="majorBidi" w:cstheme="majorBidi"/>
          <w:sz w:val="24"/>
          <w:szCs w:val="24"/>
        </w:rPr>
      </w:pPr>
    </w:p>
    <w:p w:rsidR="003E0402" w:rsidRPr="006856AF" w:rsidRDefault="003E0402" w:rsidP="00C5559F">
      <w:pPr>
        <w:spacing w:after="240" w:line="360" w:lineRule="auto"/>
        <w:rPr>
          <w:rFonts w:asciiTheme="majorBidi" w:hAnsiTheme="majorBidi" w:cstheme="majorBidi"/>
          <w:sz w:val="24"/>
          <w:szCs w:val="24"/>
        </w:rPr>
      </w:pPr>
    </w:p>
    <w:p w:rsidR="003E0402" w:rsidRPr="006856AF" w:rsidRDefault="003E0402" w:rsidP="00C5559F">
      <w:pPr>
        <w:spacing w:after="240" w:line="360" w:lineRule="auto"/>
        <w:rPr>
          <w:rFonts w:asciiTheme="majorBidi" w:hAnsiTheme="majorBidi" w:cstheme="majorBidi"/>
          <w:sz w:val="24"/>
          <w:szCs w:val="24"/>
        </w:rPr>
      </w:pPr>
    </w:p>
    <w:p w:rsidR="003E0402" w:rsidRPr="006856AF" w:rsidRDefault="003E0402" w:rsidP="00C5559F">
      <w:pPr>
        <w:spacing w:after="240" w:line="360" w:lineRule="auto"/>
        <w:rPr>
          <w:rFonts w:asciiTheme="majorBidi" w:hAnsiTheme="majorBidi" w:cstheme="majorBidi"/>
          <w:sz w:val="24"/>
          <w:szCs w:val="24"/>
        </w:rPr>
      </w:pPr>
    </w:p>
    <w:p w:rsidR="00C5559F" w:rsidRPr="006856AF" w:rsidRDefault="00C5559F" w:rsidP="006C1555">
      <w:pPr>
        <w:pStyle w:val="Heading2"/>
        <w:spacing w:before="0" w:after="240" w:line="360" w:lineRule="auto"/>
        <w:rPr>
          <w:rFonts w:asciiTheme="majorBidi" w:hAnsiTheme="majorBidi"/>
          <w:color w:val="auto"/>
          <w:sz w:val="24"/>
          <w:szCs w:val="24"/>
          <w:lang w:val="en-GB"/>
        </w:rPr>
      </w:pPr>
      <w:bookmarkStart w:id="3" w:name="_Toc525743571"/>
      <w:r w:rsidRPr="006856AF">
        <w:rPr>
          <w:rFonts w:asciiTheme="majorBidi" w:hAnsiTheme="majorBidi"/>
          <w:color w:val="auto"/>
          <w:sz w:val="24"/>
          <w:szCs w:val="24"/>
          <w:lang w:val="en-GB"/>
        </w:rPr>
        <w:lastRenderedPageBreak/>
        <w:t xml:space="preserve">Appendix </w:t>
      </w:r>
      <w:r w:rsidR="006C1555" w:rsidRPr="006856AF">
        <w:rPr>
          <w:rFonts w:asciiTheme="majorBidi" w:hAnsiTheme="majorBidi"/>
          <w:color w:val="auto"/>
          <w:sz w:val="24"/>
          <w:szCs w:val="24"/>
          <w:lang w:val="en-GB"/>
        </w:rPr>
        <w:t>4</w:t>
      </w:r>
      <w:r w:rsidRPr="006856AF">
        <w:rPr>
          <w:rFonts w:asciiTheme="majorBidi" w:hAnsiTheme="majorBidi"/>
          <w:color w:val="auto"/>
          <w:sz w:val="24"/>
          <w:szCs w:val="24"/>
          <w:lang w:val="en-GB"/>
        </w:rPr>
        <w:t>. Data extraction form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856AF" w:rsidRPr="006856AF" w:rsidTr="00770E58">
        <w:tc>
          <w:tcPr>
            <w:tcW w:w="1696" w:type="dxa"/>
          </w:tcPr>
          <w:p w:rsidR="00C5559F" w:rsidRPr="006856AF" w:rsidRDefault="00C5559F" w:rsidP="006856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Article information</w:t>
            </w:r>
          </w:p>
        </w:tc>
        <w:tc>
          <w:tcPr>
            <w:tcW w:w="7320" w:type="dxa"/>
          </w:tcPr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First author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Year of publication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Year(s) of data collection</w:t>
            </w:r>
          </w:p>
        </w:tc>
      </w:tr>
      <w:tr w:rsidR="006856AF" w:rsidRPr="006856AF" w:rsidTr="00770E58">
        <w:tc>
          <w:tcPr>
            <w:tcW w:w="1696" w:type="dxa"/>
          </w:tcPr>
          <w:p w:rsidR="00C5559F" w:rsidRPr="006856AF" w:rsidRDefault="00C5559F" w:rsidP="006856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Study design and methods</w:t>
            </w:r>
          </w:p>
        </w:tc>
        <w:tc>
          <w:tcPr>
            <w:tcW w:w="7320" w:type="dxa"/>
          </w:tcPr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Type of study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Study setting [hospital, primary healthcare, community]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Sample size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Age group [children &lt;18 years; adults =&gt;18 years]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Number of samples collected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Primary outcome measure</w:t>
            </w:r>
          </w:p>
        </w:tc>
      </w:tr>
      <w:tr w:rsidR="006856AF" w:rsidRPr="006856AF" w:rsidTr="00770E58">
        <w:tc>
          <w:tcPr>
            <w:tcW w:w="1696" w:type="dxa"/>
          </w:tcPr>
          <w:p w:rsidR="00C5559F" w:rsidRPr="006856AF" w:rsidRDefault="00C5559F" w:rsidP="006856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Antimicrobial resistances</w:t>
            </w:r>
          </w:p>
        </w:tc>
        <w:tc>
          <w:tcPr>
            <w:tcW w:w="7320" w:type="dxa"/>
          </w:tcPr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Pathogen(s) isolated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Laboratory methodology for pathogen identification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Laboratory methodology for determination of drug susceptibility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Criteria used for interpretation of resistances</w:t>
            </w:r>
          </w:p>
          <w:p w:rsidR="00C5559F" w:rsidRPr="006856AF" w:rsidRDefault="00C5559F" w:rsidP="006856AF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856AF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AMR profile [antibiotic(s) tested; prevalence of AMR microorganisms]</w:t>
            </w:r>
          </w:p>
        </w:tc>
      </w:tr>
      <w:tr w:rsidR="006856AF" w:rsidRPr="006856AF" w:rsidTr="00770E58">
        <w:tc>
          <w:tcPr>
            <w:tcW w:w="1696" w:type="dxa"/>
          </w:tcPr>
          <w:p w:rsidR="00C5559F" w:rsidRPr="006856AF" w:rsidRDefault="00C5559F" w:rsidP="006856A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856AF">
              <w:rPr>
                <w:rFonts w:asciiTheme="majorBidi" w:hAnsiTheme="majorBidi" w:cstheme="majorBidi"/>
                <w:b/>
                <w:sz w:val="24"/>
                <w:szCs w:val="24"/>
              </w:rPr>
              <w:t>Additional comments</w:t>
            </w:r>
          </w:p>
        </w:tc>
        <w:tc>
          <w:tcPr>
            <w:tcW w:w="7320" w:type="dxa"/>
          </w:tcPr>
          <w:p w:rsidR="00C5559F" w:rsidRPr="006856AF" w:rsidRDefault="00C5559F" w:rsidP="006856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5559F" w:rsidRPr="006856AF" w:rsidRDefault="00C5559F" w:rsidP="003E0402">
      <w:pPr>
        <w:rPr>
          <w:rFonts w:asciiTheme="majorBidi" w:hAnsiTheme="majorBidi" w:cstheme="majorBidi"/>
          <w:b/>
          <w:sz w:val="24"/>
          <w:szCs w:val="24"/>
        </w:rPr>
      </w:pPr>
    </w:p>
    <w:p w:rsidR="006A7BDA" w:rsidRPr="006856AF" w:rsidRDefault="006A7BDA">
      <w:pPr>
        <w:rPr>
          <w:rFonts w:asciiTheme="majorBidi" w:hAnsiTheme="majorBidi" w:cstheme="majorBidi"/>
          <w:sz w:val="24"/>
          <w:szCs w:val="24"/>
        </w:rPr>
      </w:pPr>
    </w:p>
    <w:sectPr w:rsidR="006A7BDA" w:rsidRPr="006856AF" w:rsidSect="0005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707D"/>
    <w:multiLevelType w:val="hybridMultilevel"/>
    <w:tmpl w:val="8DAA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AB6"/>
    <w:multiLevelType w:val="hybridMultilevel"/>
    <w:tmpl w:val="DA3E3718"/>
    <w:lvl w:ilvl="0" w:tplc="2160A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E16FF"/>
    <w:multiLevelType w:val="hybridMultilevel"/>
    <w:tmpl w:val="D4AA32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2467C3"/>
    <w:multiLevelType w:val="hybridMultilevel"/>
    <w:tmpl w:val="F52C2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B1FD1"/>
    <w:multiLevelType w:val="hybridMultilevel"/>
    <w:tmpl w:val="8F7881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7F8A"/>
    <w:multiLevelType w:val="hybridMultilevel"/>
    <w:tmpl w:val="453C621E"/>
    <w:lvl w:ilvl="0" w:tplc="2160A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D12EF"/>
    <w:multiLevelType w:val="hybridMultilevel"/>
    <w:tmpl w:val="65723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506CA"/>
    <w:multiLevelType w:val="hybridMultilevel"/>
    <w:tmpl w:val="56904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F94C8C"/>
    <w:multiLevelType w:val="hybridMultilevel"/>
    <w:tmpl w:val="23B64D86"/>
    <w:lvl w:ilvl="0" w:tplc="E3D88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855A4"/>
    <w:multiLevelType w:val="hybridMultilevel"/>
    <w:tmpl w:val="D4D0B9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9F"/>
    <w:rsid w:val="000159F0"/>
    <w:rsid w:val="0005238E"/>
    <w:rsid w:val="001E003F"/>
    <w:rsid w:val="00312A02"/>
    <w:rsid w:val="00323171"/>
    <w:rsid w:val="003A2679"/>
    <w:rsid w:val="003A6C5C"/>
    <w:rsid w:val="003B1D87"/>
    <w:rsid w:val="003E0402"/>
    <w:rsid w:val="006856AF"/>
    <w:rsid w:val="006A7BDA"/>
    <w:rsid w:val="006C1555"/>
    <w:rsid w:val="00770E58"/>
    <w:rsid w:val="00934556"/>
    <w:rsid w:val="00C5559F"/>
    <w:rsid w:val="00D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2784"/>
  <w15:chartTrackingRefBased/>
  <w15:docId w15:val="{91581C02-0E5B-4A89-9C3F-D7B9042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9F"/>
  </w:style>
  <w:style w:type="paragraph" w:styleId="Heading1">
    <w:name w:val="heading 1"/>
    <w:basedOn w:val="Normal"/>
    <w:next w:val="Normal"/>
    <w:link w:val="Heading1Char"/>
    <w:uiPriority w:val="9"/>
    <w:qFormat/>
    <w:rsid w:val="00C55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55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C555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H"/>
    </w:rPr>
  </w:style>
  <w:style w:type="paragraph" w:styleId="TOCHeading">
    <w:name w:val="TOC Heading"/>
    <w:basedOn w:val="Heading1"/>
    <w:next w:val="Normal"/>
    <w:uiPriority w:val="39"/>
    <w:unhideWhenUsed/>
    <w:qFormat/>
    <w:rsid w:val="00C5559F"/>
    <w:pPr>
      <w:outlineLvl w:val="9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5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9F"/>
  </w:style>
  <w:style w:type="paragraph" w:styleId="Footer">
    <w:name w:val="footer"/>
    <w:basedOn w:val="Normal"/>
    <w:link w:val="FooterChar"/>
    <w:uiPriority w:val="99"/>
    <w:unhideWhenUsed/>
    <w:rsid w:val="00C5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9F"/>
  </w:style>
  <w:style w:type="paragraph" w:styleId="ListParagraph">
    <w:name w:val="List Paragraph"/>
    <w:basedOn w:val="Normal"/>
    <w:uiPriority w:val="34"/>
    <w:qFormat/>
    <w:rsid w:val="00C5559F"/>
    <w:pPr>
      <w:ind w:left="720"/>
      <w:contextualSpacing/>
    </w:pPr>
    <w:rPr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C55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59F"/>
    <w:pPr>
      <w:spacing w:line="240" w:lineRule="auto"/>
    </w:pPr>
    <w:rPr>
      <w:sz w:val="20"/>
      <w:szCs w:val="20"/>
      <w:lang w:val="fr-C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59F"/>
    <w:rPr>
      <w:sz w:val="20"/>
      <w:szCs w:val="20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9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arattere"/>
    <w:rsid w:val="00C5559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C5559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attere"/>
    <w:rsid w:val="00C5559F"/>
    <w:pPr>
      <w:spacing w:line="36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C5559F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C5559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555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559F"/>
    <w:pPr>
      <w:tabs>
        <w:tab w:val="right" w:leader="dot" w:pos="9016"/>
      </w:tabs>
      <w:spacing w:after="100" w:line="360" w:lineRule="auto"/>
      <w:ind w:left="22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59F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59F"/>
    <w:rPr>
      <w:b/>
      <w:bCs/>
      <w:sz w:val="20"/>
      <w:szCs w:val="20"/>
      <w:lang w:val="fr-CH"/>
    </w:rPr>
  </w:style>
  <w:style w:type="paragraph" w:styleId="TOC3">
    <w:name w:val="toc 3"/>
    <w:basedOn w:val="Normal"/>
    <w:next w:val="Normal"/>
    <w:autoRedefine/>
    <w:uiPriority w:val="39"/>
    <w:unhideWhenUsed/>
    <w:rsid w:val="00C5559F"/>
    <w:pPr>
      <w:spacing w:after="100"/>
      <w:ind w:left="440"/>
    </w:pPr>
  </w:style>
  <w:style w:type="table" w:styleId="TableGrid">
    <w:name w:val="Table Grid"/>
    <w:basedOn w:val="TableNormal"/>
    <w:uiPriority w:val="39"/>
    <w:rsid w:val="00C5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559F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555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C555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555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55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Truppa</dc:creator>
  <cp:keywords/>
  <dc:description/>
  <cp:lastModifiedBy>PC</cp:lastModifiedBy>
  <cp:revision>4</cp:revision>
  <dcterms:created xsi:type="dcterms:W3CDTF">2022-02-04T23:40:00Z</dcterms:created>
  <dcterms:modified xsi:type="dcterms:W3CDTF">2022-02-10T14:02:00Z</dcterms:modified>
</cp:coreProperties>
</file>