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Appendix Figure 1:</w:t>
      </w:r>
    </w:p>
    <w:p>
      <w:pPr>
        <w:pStyle w:val="Body"/>
        <w:bidi w:val="0"/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Appendix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Figure 1: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Immunohistochemical expression of Kaiso in healthy control oral mucosa (x200).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mc:AlternateContent>
          <mc:Choice Requires="wpg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line">
                  <wp:posOffset>544494</wp:posOffset>
                </wp:positionV>
                <wp:extent cx="4468549" cy="4233672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8549" cy="4233672"/>
                          <a:chOff x="0" y="0"/>
                          <a:chExt cx="4468548" cy="4233671"/>
                        </a:xfrm>
                      </wpg:grpSpPr>
                      <pic:pic xmlns:pic="http://schemas.openxmlformats.org/drawingml/2006/picture">
                        <pic:nvPicPr>
                          <pic:cNvPr id="1073741826" name="Picture 2" descr="Picture 2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52544" t="41885" r="6240" b="19334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76200"/>
                            <a:ext cx="4239949" cy="3941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5" name="Picture 2" descr="Picture 2"/>
                          <pic:cNvPicPr>
                            <a:picLocks noChangeAspect="0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549" cy="423367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8.0pt;margin-top:42.9pt;width:351.9pt;height:333.4pt;z-index:251659264;mso-position-horizontal:absolute;mso-position-horizontal-relative:margin;mso-position-vertical:absolute;mso-position-vertical-relative:line;mso-wrap-distance-left:4.5pt;mso-wrap-distance-top:4.5pt;mso-wrap-distance-right:4.5pt;mso-wrap-distance-bottom:4.5pt;" coordorigin="0,0" coordsize="4468549,4233671">
                <w10:wrap type="through" side="bothSides" anchorx="margin"/>
                <v:shape id="_x0000_s1027" type="#_x0000_t75" style="position:absolute;left:114300;top:76200;width:4239949;height:3941571;">
                  <v:imagedata r:id="rId4" o:title="image1.jpeg" cropleft="52.5%" cropright="6.2%" croptop="41.9%" cropbottom="19.3%"/>
                </v:shape>
                <v:shape id="_x0000_s1028" type="#_x0000_t75" style="position:absolute;left:0;top:0;width:4468549;height:4233671;">
                  <v:imagedata r:id="rId5" o:title=""/>
                </v:shape>
              </v:group>
            </w:pict>
          </mc:Fallback>
        </mc:AlternateConten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bidi w:val="0"/>
      </w:pPr>
      <w:r>
        <w:rPr>
          <w:rtl w:val="0"/>
        </w:rPr>
        <w:t>Appendix Figure 2:</w:t>
      </w:r>
    </w:p>
    <w:p>
      <w:pPr>
        <w:pStyle w:val="Body"/>
        <w:bidi w:val="0"/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drawing xmlns:a="http://schemas.openxmlformats.org/drawingml/2006/main">
          <wp:inline distT="0" distB="0" distL="0" distR="0">
            <wp:extent cx="6506643" cy="3756958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6"/>
              </a:graphicData>
            </a:graphic>
          </wp:inline>
        </w:drawing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Appendix Figure 2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: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Association between histological tumour grade and Kaiso localization. All grade groups showed stronger association with low nuclear Kaiso localization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-value = 0.06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).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Low histological grade showed no difference in cytoplasmic Kaiso localization, whereas moderate grade group (G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II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) showed stronger association with low cytoplasmic Kaiso, and high-grade group (G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III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) showed stronger association with high cytoplasmic Kaiso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-value = 0.16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)</w:t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Appendix Figure 3:</w:t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drawing xmlns:a="http://schemas.openxmlformats.org/drawingml/2006/main">
          <wp:inline distT="0" distB="0" distL="0" distR="0">
            <wp:extent cx="5840922" cy="3213861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7"/>
              </a:graphicData>
            </a:graphic>
          </wp:inline>
        </w:drawing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Appendix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Figure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3.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Association between Kaiso expression and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target proteins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 Both low and strong cyclin D1 expression was most frequently noted in low Kaiso expression group, whereas moderate cyclin D1 expression was most frequently (75%) in strong Kaiso expression group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(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-value = 0.007*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).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No significant variation was noted in expression of c-Myc in relation to Kaiso protein expression. Both low and strong c-Myc expression groups were most frequently recorded with low Kaiso expression groups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(p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-value =0.85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)</w:t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Appendix Table 1:</w:t>
      </w:r>
    </w:p>
    <w:tbl>
      <w:tblPr>
        <w:tblW w:w="93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438"/>
        <w:gridCol w:w="1082"/>
        <w:gridCol w:w="1071"/>
        <w:gridCol w:w="1110"/>
        <w:gridCol w:w="876"/>
        <w:gridCol w:w="1496"/>
        <w:gridCol w:w="1496"/>
        <w:gridCol w:w="781"/>
      </w:tblGrid>
      <w:tr>
        <w:tblPrEx>
          <w:shd w:val="clear" w:color="auto" w:fill="auto"/>
        </w:tblPrEx>
        <w:trPr>
          <w:trHeight w:val="231" w:hRule="atLeast"/>
          <w:tblHeader/>
        </w:trPr>
        <w:tc>
          <w:tcPr>
            <w:tcW w:type="dxa" w:w="9350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 w:val="1"/>
              <w:spacing w:before="0" w:line="240" w:lineRule="auto"/>
              <w:jc w:val="left"/>
              <w:outlineLvl w:val="0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  <w14:textOutline w14:w="12700" w14:cap="flat">
                  <w14:noFill/>
                  <w14:miter w14:lim="400000"/>
                </w14:textOutline>
              </w:rPr>
              <w:t>Appendix Table 1. Correlation between clinicopathological characteristics and Kaiso localization</w:t>
            </w:r>
          </w:p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2520"/>
            <w:gridSpan w:val="2"/>
            <w:vMerge w:val="restart"/>
            <w:tcBorders>
              <w:top w:val="nil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6830"/>
            <w:gridSpan w:val="6"/>
            <w:tcBorders>
              <w:top w:val="nil"/>
              <w:left w:val="single" w:color="ffffff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1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Kaiso localization</w:t>
            </w:r>
          </w:p>
        </w:tc>
      </w:tr>
      <w:tr>
        <w:tblPrEx>
          <w:shd w:val="clear" w:color="auto" w:fill="cadfff"/>
        </w:tblPrEx>
        <w:trPr>
          <w:trHeight w:val="755" w:hRule="atLeast"/>
        </w:trPr>
        <w:tc>
          <w:tcPr>
            <w:tcW w:type="dxa" w:w="2520"/>
            <w:gridSpan w:val="2"/>
            <w:vMerge w:val="continue"/>
            <w:tcBorders>
              <w:top w:val="nil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071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Nuclear positive</w:t>
            </w:r>
          </w:p>
        </w:tc>
        <w:tc>
          <w:tcPr>
            <w:tcW w:type="dxa" w:w="1110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Nuclear negative</w:t>
            </w:r>
          </w:p>
        </w:tc>
        <w:tc>
          <w:tcPr>
            <w:tcW w:type="dxa" w:w="876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-value</w:t>
            </w:r>
          </w:p>
        </w:tc>
        <w:tc>
          <w:tcPr>
            <w:tcW w:type="dxa" w:w="1496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Cytoplasmic positive</w:t>
            </w:r>
          </w:p>
        </w:tc>
        <w:tc>
          <w:tcPr>
            <w:tcW w:type="dxa" w:w="1495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Cytoplasmic negative</w:t>
            </w:r>
          </w:p>
        </w:tc>
        <w:tc>
          <w:tcPr>
            <w:tcW w:type="dxa" w:w="781"/>
            <w:tcBorders>
              <w:top w:val="single" w:color="000000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19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p-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value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restart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1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Gender</w:t>
            </w:r>
          </w:p>
        </w:tc>
        <w:tc>
          <w:tcPr>
            <w:tcW w:type="dxa" w:w="10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Female</w:t>
            </w:r>
          </w:p>
        </w:tc>
        <w:tc>
          <w:tcPr>
            <w:tcW w:type="dxa" w:w="107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11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876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0.25</w:t>
            </w:r>
          </w:p>
        </w:tc>
        <w:tc>
          <w:tcPr>
            <w:tcW w:type="dxa" w:w="149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11</w:t>
            </w:r>
          </w:p>
        </w:tc>
        <w:tc>
          <w:tcPr>
            <w:tcW w:type="dxa" w:w="14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781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1.0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Male</w:t>
            </w:r>
          </w:p>
        </w:tc>
        <w:tc>
          <w:tcPr>
            <w:tcW w:type="dxa" w:w="1071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23</w:t>
            </w:r>
          </w:p>
        </w:tc>
        <w:tc>
          <w:tcPr>
            <w:tcW w:type="dxa" w:w="1110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12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30</w:t>
            </w:r>
          </w:p>
        </w:tc>
        <w:tc>
          <w:tcPr>
            <w:tcW w:type="dxa" w:w="1495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restart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Age</w:t>
            </w:r>
          </w:p>
        </w:tc>
        <w:tc>
          <w:tcPr>
            <w:tcW w:type="dxa" w:w="108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21-30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111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876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0.023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*</w:t>
            </w:r>
          </w:p>
        </w:tc>
        <w:tc>
          <w:tcPr>
            <w:tcW w:type="dxa" w:w="1496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7</w:t>
            </w:r>
          </w:p>
        </w:tc>
        <w:tc>
          <w:tcPr>
            <w:tcW w:type="dxa" w:w="1495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781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0.64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31-40</w:t>
            </w:r>
          </w:p>
        </w:tc>
        <w:tc>
          <w:tcPr>
            <w:tcW w:type="dxa" w:w="107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7</w:t>
            </w:r>
          </w:p>
        </w:tc>
        <w:tc>
          <w:tcPr>
            <w:tcW w:type="dxa" w:w="11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14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41-50</w:t>
            </w:r>
          </w:p>
        </w:tc>
        <w:tc>
          <w:tcPr>
            <w:tcW w:type="dxa" w:w="107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11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14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&gt;50</w:t>
            </w:r>
          </w:p>
        </w:tc>
        <w:tc>
          <w:tcPr>
            <w:tcW w:type="dxa" w:w="1071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16</w:t>
            </w:r>
          </w:p>
        </w:tc>
        <w:tc>
          <w:tcPr>
            <w:tcW w:type="dxa" w:w="1110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1495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restart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Histological grade</w:t>
            </w:r>
          </w:p>
        </w:tc>
        <w:tc>
          <w:tcPr>
            <w:tcW w:type="dxa" w:w="108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13</w:t>
            </w:r>
          </w:p>
        </w:tc>
        <w:tc>
          <w:tcPr>
            <w:tcW w:type="dxa" w:w="111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876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0.52</w:t>
            </w:r>
          </w:p>
        </w:tc>
        <w:tc>
          <w:tcPr>
            <w:tcW w:type="dxa" w:w="1496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1495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81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0.49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II</w:t>
            </w:r>
          </w:p>
        </w:tc>
        <w:tc>
          <w:tcPr>
            <w:tcW w:type="dxa" w:w="107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11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12</w:t>
            </w:r>
          </w:p>
        </w:tc>
        <w:tc>
          <w:tcPr>
            <w:tcW w:type="dxa" w:w="14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III</w:t>
            </w:r>
          </w:p>
        </w:tc>
        <w:tc>
          <w:tcPr>
            <w:tcW w:type="dxa" w:w="1071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</w:t>
            </w:r>
          </w:p>
        </w:tc>
        <w:tc>
          <w:tcPr>
            <w:tcW w:type="dxa" w:w="1110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15</w:t>
            </w:r>
          </w:p>
        </w:tc>
        <w:tc>
          <w:tcPr>
            <w:tcW w:type="dxa" w:w="1495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restart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Lymph node metastasis</w:t>
            </w:r>
          </w:p>
        </w:tc>
        <w:tc>
          <w:tcPr>
            <w:tcW w:type="dxa" w:w="108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N/A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111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876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0.44</w:t>
            </w:r>
          </w:p>
        </w:tc>
        <w:tc>
          <w:tcPr>
            <w:tcW w:type="dxa" w:w="1496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1495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81"/>
            <w:vMerge w:val="restart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0.19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Negative</w:t>
            </w:r>
          </w:p>
        </w:tc>
        <w:tc>
          <w:tcPr>
            <w:tcW w:type="dxa" w:w="107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11</w:t>
            </w:r>
          </w:p>
        </w:tc>
        <w:tc>
          <w:tcPr>
            <w:tcW w:type="dxa" w:w="111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149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1438"/>
            <w:vMerge w:val="continue"/>
            <w:tcBorders>
              <w:top w:val="single" w:color="ffffff" w:sz="8" w:space="0" w:shadow="0" w:frame="0"/>
              <w:left w:val="nil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08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Positive</w:t>
            </w:r>
          </w:p>
        </w:tc>
        <w:tc>
          <w:tcPr>
            <w:tcW w:type="dxa" w:w="1071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19</w:t>
            </w:r>
          </w:p>
        </w:tc>
        <w:tc>
          <w:tcPr>
            <w:tcW w:type="dxa" w:w="1110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876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149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23</w:t>
            </w:r>
          </w:p>
        </w:tc>
        <w:tc>
          <w:tcPr>
            <w:tcW w:type="dxa" w:w="1495"/>
            <w:tcBorders>
              <w:top w:val="single" w:color="ffffff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81"/>
            <w:vMerge w:val="continue"/>
            <w:tcBorders>
              <w:top w:val="single" w:color="ffffff" w:sz="8" w:space="0" w:shadow="0" w:frame="0"/>
              <w:left w:val="single" w:color="ffffff" w:sz="4" w:space="0" w:shadow="0" w:frame="0"/>
              <w:bottom w:val="single" w:color="ffffff" w:sz="8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2520"/>
            <w:gridSpan w:val="2"/>
            <w:tcBorders>
              <w:top w:val="single" w:color="ffffff" w:sz="8" w:space="0" w:shadow="0" w:frame="0"/>
              <w:left w:val="nil"/>
              <w:bottom w:val="nil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33</w:t>
            </w:r>
          </w:p>
        </w:tc>
        <w:tc>
          <w:tcPr>
            <w:tcW w:type="dxa" w:w="111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</w:t>
            </w:r>
          </w:p>
        </w:tc>
        <w:tc>
          <w:tcPr>
            <w:tcW w:type="dxa" w:w="876"/>
            <w:tcBorders>
              <w:top w:val="single" w:color="ffffff" w:sz="8" w:space="0" w:shadow="0" w:frame="0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496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41</w:t>
            </w:r>
          </w:p>
        </w:tc>
        <w:tc>
          <w:tcPr>
            <w:tcW w:type="dxa" w:w="1495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Default"/>
              <w:bidi w:val="0"/>
              <w:spacing w:before="0"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2"/>
                <w:szCs w:val="22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</w:t>
            </w:r>
          </w:p>
        </w:tc>
        <w:tc>
          <w:tcPr>
            <w:tcW w:type="dxa" w:w="781"/>
            <w:tcBorders>
              <w:top w:val="single" w:color="ffffff" w:sz="8" w:space="0" w:shadow="0" w:frame="0"/>
              <w:left w:val="single" w:color="ffffff" w:sz="8" w:space="0" w:shadow="0" w:frame="0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/>
        <w:trPr>
          <w:trHeight w:val="631" w:hRule="atLeast"/>
          <w:tblHeader/>
        </w:trPr>
        <w:tc>
          <w:tcPr>
            <w:tcW w:type="dxa" w:w="9350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35"/>
              <w:left/>
              <w:bottom/>
              <w:right/>
            </w:tcMar>
            <w:vAlign w:val="center"/>
          </w:tcPr>
          <w:p>
            <w:pPr>
              <w:pStyle w:val="Object Caption"/>
            </w:pPr>
            <w:r>
              <w:rPr>
                <w:rFonts w:ascii="Times New Roman" w:hAnsi="Times New Roman"/>
                <w:sz w:val="22"/>
                <w:szCs w:val="22"/>
                <w:rtl w:val="0"/>
                <w:lang w:val="en-US"/>
              </w:rPr>
              <w:t>Values are presented as No. GI, Grade I; GII, Grade II; GIII, Grade III; N/A, Not Available. *</w:t>
            </w:r>
            <w:r>
              <w:rPr>
                <w:rFonts w:ascii="Times New Roman" w:hAnsi="Times New Roman"/>
                <w:i w:val="1"/>
                <w:iCs w:val="1"/>
                <w:sz w:val="22"/>
                <w:szCs w:val="22"/>
                <w:rtl w:val="0"/>
                <w:lang w:val="en-US"/>
              </w:rPr>
              <w:t>p-value &lt;0.05</w:t>
            </w:r>
            <w:r>
              <w:rPr>
                <w:rFonts w:ascii="Times New Roman" w:hAnsi="Times New Roman"/>
                <w:sz w:val="22"/>
                <w:szCs w:val="22"/>
                <w:rtl w:val="0"/>
                <w:lang w:val="en-US"/>
              </w:rPr>
              <w:t>.</w:t>
            </w:r>
          </w:p>
        </w:tc>
      </w:tr>
    </w:tbl>
    <w:p>
      <w:pPr>
        <w:pStyle w:val="Default"/>
        <w:widowControl w:val="0"/>
        <w:bidi w:val="0"/>
        <w:spacing w:before="0" w:line="240" w:lineRule="auto"/>
        <w:ind w:left="108" w:right="0" w:hanging="108"/>
        <w:jc w:val="left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Appendix Table 2:</w:t>
      </w:r>
    </w:p>
    <w:p>
      <w:pPr>
        <w:pStyle w:val="Body"/>
        <w:bidi w:val="0"/>
        <w:spacing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Appendix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Table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>2.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Correlation between clinicopathological characteristics and E-cadherin expression</w:t>
      </w: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675"/>
        <w:gridCol w:w="1409"/>
        <w:gridCol w:w="1830"/>
        <w:gridCol w:w="1854"/>
        <w:gridCol w:w="1189"/>
        <w:gridCol w:w="1393"/>
      </w:tblGrid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167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873"/>
            <w:gridSpan w:val="3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E-cadherin expression</w:t>
            </w:r>
          </w:p>
        </w:tc>
        <w:tc>
          <w:tcPr>
            <w:tcW w:type="dxa" w:w="139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bidi w:val="0"/>
              <w:spacing w:line="312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830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Low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Moderate</w:t>
            </w:r>
          </w:p>
        </w:tc>
        <w:tc>
          <w:tcPr>
            <w:tcW w:type="dxa" w:w="1189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Strong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167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Gender</w:t>
            </w:r>
          </w:p>
        </w:tc>
        <w:tc>
          <w:tcPr>
            <w:tcW w:type="dxa" w:w="14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Female</w:t>
            </w:r>
          </w:p>
        </w:tc>
        <w:tc>
          <w:tcPr>
            <w:tcW w:type="dxa" w:w="1830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189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39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0.036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*</w:t>
            </w:r>
          </w:p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Male</w:t>
            </w:r>
          </w:p>
        </w:tc>
        <w:tc>
          <w:tcPr>
            <w:tcW w:type="dxa" w:w="183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85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11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Age</w:t>
            </w:r>
          </w:p>
        </w:tc>
        <w:tc>
          <w:tcPr>
            <w:tcW w:type="dxa" w:w="140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21-30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85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18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39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0.87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31-40</w:t>
            </w:r>
          </w:p>
        </w:tc>
        <w:tc>
          <w:tcPr>
            <w:tcW w:type="dxa" w:w="1830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854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189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41-50</w:t>
            </w:r>
          </w:p>
        </w:tc>
        <w:tc>
          <w:tcPr>
            <w:tcW w:type="dxa" w:w="1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8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1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&gt;50</w:t>
            </w:r>
          </w:p>
        </w:tc>
        <w:tc>
          <w:tcPr>
            <w:tcW w:type="dxa" w:w="183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85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1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Histological grade</w:t>
            </w:r>
          </w:p>
        </w:tc>
        <w:tc>
          <w:tcPr>
            <w:tcW w:type="dxa" w:w="140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GI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85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18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39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0.37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GII</w:t>
            </w:r>
          </w:p>
        </w:tc>
        <w:tc>
          <w:tcPr>
            <w:tcW w:type="dxa" w:w="1830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854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189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40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GIII</w:t>
            </w:r>
          </w:p>
        </w:tc>
        <w:tc>
          <w:tcPr>
            <w:tcW w:type="dxa" w:w="183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85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1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Lymph node metastasis</w:t>
            </w:r>
          </w:p>
        </w:tc>
        <w:tc>
          <w:tcPr>
            <w:tcW w:type="dxa" w:w="140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N/A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85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18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39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0.175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  <w:tc>
          <w:tcPr>
            <w:tcW w:type="dxa" w:w="14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Negative</w:t>
            </w:r>
          </w:p>
        </w:tc>
        <w:tc>
          <w:tcPr>
            <w:tcW w:type="dxa" w:w="1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8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1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67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  <w:tc>
          <w:tcPr>
            <w:tcW w:type="dxa" w:w="140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Positive</w:t>
            </w:r>
          </w:p>
        </w:tc>
        <w:tc>
          <w:tcPr>
            <w:tcW w:type="dxa" w:w="183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85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12</w:t>
            </w:r>
          </w:p>
        </w:tc>
        <w:tc>
          <w:tcPr>
            <w:tcW w:type="dxa" w:w="11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39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</w:tr>
      <w:tr>
        <w:tblPrEx>
          <w:shd w:val="clear" w:color="auto" w:fill="cdd4e9"/>
        </w:tblPrEx>
        <w:trPr>
          <w:trHeight w:val="305" w:hRule="atLeast"/>
        </w:trPr>
        <w:tc>
          <w:tcPr>
            <w:tcW w:type="dxa" w:w="308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1854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19</w:t>
            </w:r>
          </w:p>
        </w:tc>
        <w:tc>
          <w:tcPr>
            <w:tcW w:type="dxa" w:w="1189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11</w:t>
            </w:r>
          </w:p>
        </w:tc>
        <w:tc>
          <w:tcPr>
            <w:tcW w:type="dxa" w:w="13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000000"/>
          <w:rtl w:val="0"/>
        </w:rPr>
        <w:br w:type="page"/>
      </w: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Appendix table 3:</w:t>
      </w: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Table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>3.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Correlation between clinicopathological characteristics and p120ctn localization.</w:t>
      </w:r>
    </w:p>
    <w:tbl>
      <w:tblPr>
        <w:tblW w:w="93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007"/>
        <w:gridCol w:w="1572"/>
        <w:gridCol w:w="2006"/>
        <w:gridCol w:w="2021"/>
        <w:gridCol w:w="1749"/>
      </w:tblGrid>
      <w:tr>
        <w:tblPrEx>
          <w:shd w:val="clear" w:color="auto" w:fill="cdd4e9"/>
        </w:tblPrEx>
        <w:trPr>
          <w:trHeight w:val="745" w:hRule="atLeast"/>
        </w:trPr>
        <w:tc>
          <w:tcPr>
            <w:tcW w:type="dxa" w:w="3579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27"/>
            <w:gridSpan w:val="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12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P120ctn localization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</w:rPr>
            </w:r>
          </w:p>
        </w:tc>
        <w:tc>
          <w:tcPr>
            <w:tcW w:type="dxa" w:w="174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p-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value</w:t>
            </w:r>
          </w:p>
        </w:tc>
      </w:tr>
      <w:tr>
        <w:tblPrEx>
          <w:shd w:val="clear" w:color="auto" w:fill="cdd4e9"/>
        </w:tblPrEx>
        <w:trPr>
          <w:trHeight w:val="862" w:hRule="atLeast"/>
        </w:trPr>
        <w:tc>
          <w:tcPr>
            <w:tcW w:type="dxa" w:w="3579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006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14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rtl w:val="0"/>
                <w:lang w:val="en-US"/>
              </w:rPr>
              <w:t>Membranous</w:t>
            </w:r>
          </w:p>
        </w:tc>
        <w:tc>
          <w:tcPr>
            <w:tcW w:type="dxa" w:w="2021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14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rtl w:val="0"/>
                <w:lang w:val="en-US"/>
              </w:rPr>
              <w:t>Reduced membranous/ ectopic cytoplasmic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00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Gender</w:t>
            </w:r>
          </w:p>
        </w:tc>
        <w:tc>
          <w:tcPr>
            <w:tcW w:type="dxa" w:w="15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Female</w:t>
            </w:r>
          </w:p>
        </w:tc>
        <w:tc>
          <w:tcPr>
            <w:tcW w:type="dxa" w:w="2006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021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74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0.8</w:t>
            </w:r>
          </w:p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Male</w:t>
            </w:r>
          </w:p>
        </w:tc>
        <w:tc>
          <w:tcPr>
            <w:tcW w:type="dxa" w:w="200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202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28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Age</w:t>
            </w:r>
          </w:p>
        </w:tc>
        <w:tc>
          <w:tcPr>
            <w:tcW w:type="dxa" w:w="157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21-30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021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74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0.87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31-40</w:t>
            </w:r>
          </w:p>
        </w:tc>
        <w:tc>
          <w:tcPr>
            <w:tcW w:type="dxa" w:w="2006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41-50</w:t>
            </w:r>
          </w:p>
        </w:tc>
        <w:tc>
          <w:tcPr>
            <w:tcW w:type="dxa" w:w="20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&gt;50</w:t>
            </w:r>
          </w:p>
        </w:tc>
        <w:tc>
          <w:tcPr>
            <w:tcW w:type="dxa" w:w="200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202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13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Histological grade</w:t>
            </w:r>
          </w:p>
        </w:tc>
        <w:tc>
          <w:tcPr>
            <w:tcW w:type="dxa" w:w="157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I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2021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12</w:t>
            </w:r>
          </w:p>
        </w:tc>
        <w:tc>
          <w:tcPr>
            <w:tcW w:type="dxa" w:w="174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0.37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GII</w:t>
            </w:r>
          </w:p>
        </w:tc>
        <w:tc>
          <w:tcPr>
            <w:tcW w:type="dxa" w:w="2006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14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57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GIII</w:t>
            </w:r>
          </w:p>
        </w:tc>
        <w:tc>
          <w:tcPr>
            <w:tcW w:type="dxa" w:w="200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202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12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Lymph node metastasis</w:t>
            </w:r>
          </w:p>
        </w:tc>
        <w:tc>
          <w:tcPr>
            <w:tcW w:type="dxa" w:w="157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N/A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021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74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0.175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  <w:tc>
          <w:tcPr>
            <w:tcW w:type="dxa" w:w="15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Negative</w:t>
            </w:r>
          </w:p>
        </w:tc>
        <w:tc>
          <w:tcPr>
            <w:tcW w:type="dxa" w:w="20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15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00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  <w:tc>
          <w:tcPr>
            <w:tcW w:type="dxa" w:w="157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Positive</w:t>
            </w:r>
          </w:p>
        </w:tc>
        <w:tc>
          <w:tcPr>
            <w:tcW w:type="dxa" w:w="200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202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19</w:t>
            </w:r>
          </w:p>
        </w:tc>
        <w:tc>
          <w:tcPr>
            <w:tcW w:type="dxa" w:w="174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7eaf4"/>
          </w:tcPr>
          <w:p/>
        </w:tc>
      </w:tr>
      <w:tr>
        <w:tblPrEx>
          <w:shd w:val="clear" w:color="auto" w:fill="cdd4e9"/>
        </w:tblPrEx>
        <w:trPr>
          <w:trHeight w:val="305" w:hRule="atLeast"/>
        </w:trPr>
        <w:tc>
          <w:tcPr>
            <w:tcW w:type="dxa" w:w="357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06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2021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line="3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38</w:t>
            </w:r>
          </w:p>
        </w:tc>
        <w:tc>
          <w:tcPr>
            <w:tcW w:type="dxa" w:w="17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Appendix Figures 6 and 7:</w:t>
      </w:r>
    </w:p>
    <w:p>
      <w:pPr>
        <w:pStyle w:val="Body"/>
        <w:widowControl w:val="0"/>
        <w:bidi w:val="0"/>
        <w:spacing w:after="1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36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Appendix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</w:rPr>
        <w:t xml:space="preserve">Figure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>6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: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Association of nuclear Kaiso localization with nuclear p120ctn localization. 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</w:rPr>
        <w:t>P-</w:t>
      </w:r>
      <w:r>
        <w:rPr>
          <w:rFonts w:ascii="Times New Roman" w:hAnsi="Times New Roman"/>
          <w:sz w:val="24"/>
          <w:szCs w:val="24"/>
          <w:u w:color="000000"/>
          <w:rtl w:val="0"/>
        </w:rPr>
        <w:t>value= 0.25</w:t>
      </w:r>
      <w:r>
        <w:drawing xmlns:a="http://schemas.openxmlformats.org/drawingml/2006/main">
          <wp:inline distT="0" distB="0" distL="0" distR="0">
            <wp:extent cx="6229012" cy="3553743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8"/>
              </a:graphicData>
            </a:graphic>
          </wp:inline>
        </w:drawing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Fonts w:ascii="Times New Roman" w:cs="Times New Roman" w:hAnsi="Times New Roman" w:eastAsia="Times New Roman"/>
          <w:u w:color="000000"/>
          <w:rtl w:val="0"/>
        </w:rPr>
      </w:pPr>
      <w:r>
        <w:rPr>
          <w:rFonts w:ascii="Times New Roman" w:hAnsi="Times New Roman"/>
          <w:u w:color="000000"/>
          <w:rtl w:val="0"/>
          <w:lang w:val="en-US"/>
        </w:rPr>
        <w:t xml:space="preserve">Appendix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it-IT"/>
        </w:rPr>
        <w:t xml:space="preserve">Figure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n-US"/>
        </w:rPr>
        <w:t>7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: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 Association of cytoplasmic Kaiso localization with cytoplasmic p120ctn localization. 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</w:rPr>
        <w:t>P-</w:t>
      </w:r>
      <w:r>
        <w:rPr>
          <w:rFonts w:ascii="Times New Roman" w:hAnsi="Times New Roman"/>
          <w:sz w:val="24"/>
          <w:szCs w:val="24"/>
          <w:u w:color="000000"/>
          <w:rtl w:val="0"/>
        </w:rPr>
        <w:t>value= 0.65</w:t>
      </w:r>
    </w:p>
    <w:p>
      <w:pPr>
        <w:pStyle w:val="Body"/>
        <w:bidi w:val="0"/>
        <w:spacing w:after="160" w:line="259" w:lineRule="auto"/>
        <w:ind w:left="0" w:right="0" w:firstLine="0"/>
        <w:jc w:val="left"/>
        <w:rPr>
          <w:rtl w:val="0"/>
        </w:rPr>
      </w:pPr>
      <w:r>
        <w:drawing xmlns:a="http://schemas.openxmlformats.org/drawingml/2006/main">
          <wp:inline distT="0" distB="0" distL="0" distR="0">
            <wp:extent cx="6907721" cy="3652784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9"/>
              </a:graphicData>
            </a:graphic>
          </wp:inline>
        </w:drawing>
      </w:r>
      <w:r>
        <w:rPr>
          <w:rFonts w:ascii="Calibri" w:cs="Calibri" w:hAnsi="Calibri" w:eastAsia="Calibri"/>
          <w:u w:color="000000"/>
          <w:rtl w:val="0"/>
        </w:rPr>
      </w:r>
    </w:p>
    <w:sectPr>
      <w:headerReference w:type="default" r:id="rId10"/>
      <w:footerReference w:type="default" r:id="rId11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Object Caption">
    <w:name w:val="Object Caption"/>
    <w:next w:val="Object Captio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 Light" w:cs="Arial Unicode MS" w:hAnsi="Helvetica Neue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chart" Target="charts/chart3.xml"/><Relationship Id="rId9" Type="http://schemas.openxmlformats.org/officeDocument/2006/relationships/chart" Target="charts/chart4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theme" Target="theme/theme1.xml"/></Relationships>
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1.xlsx"/></Relationships>
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2.xlsx"/></Relationships>
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3.xlsx"/></Relationships>
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4.xlsx"/></Relationships>
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title>
      <c:tx>
        <c:rich>
          <a:bodyPr rot="0"/>
          <a:lstStyle/>
          <a:p>
            <a:pPr>
              <a:defRPr b="1" i="0" strike="noStrike" sz="1200" u="none">
                <a:solidFill>
                  <a:srgbClr val="000000"/>
                </a:solidFill>
                <a:latin typeface="Times New Roman"/>
              </a:defRPr>
            </a:pPr>
            <a:r>
              <a:rPr b="1" i="0" strike="noStrike" sz="1200" u="none">
                <a:solidFill>
                  <a:srgbClr val="000000"/>
                </a:solidFill>
                <a:latin typeface="Times New Roman"/>
              </a:rPr>
              <a:t> Kaiso localization vs Tumour grade</a:t>
            </a:r>
          </a:p>
        </c:rich>
      </c:tx>
      <c:layout>
        <c:manualLayout>
          <c:xMode val="edge"/>
          <c:yMode val="edge"/>
          <c:x val="0.220254"/>
          <c:y val="0"/>
          <c:w val="0.362393"/>
          <c:h val="0.084731"/>
        </c:manualLayout>
      </c:layout>
      <c:overlay val="1"/>
      <c:spPr>
        <a:noFill/>
        <a:effectLst/>
      </c:spPr>
    </c:title>
    <c:autoTitleDeleted val="1"/>
    <c:plotArea>
      <c:layout>
        <c:manualLayout>
          <c:layoutTarget val="inner"/>
          <c:xMode val="edge"/>
          <c:yMode val="edge"/>
          <c:x val="0.0989013"/>
          <c:y val="0.084731"/>
          <c:w val="0.693265"/>
          <c:h val="0.78820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High nuclear Kaiso</c:v>
                </c:pt>
              </c:strCache>
            </c:strRef>
          </c:tx>
          <c:spPr>
            <a:solidFill>
              <a:srgbClr val="52585F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GI</c:v>
                </c:pt>
                <c:pt idx="1">
                  <c:v>GII</c:v>
                </c:pt>
                <c:pt idx="2">
                  <c:v>GIII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7.000000</c:v>
                </c:pt>
                <c:pt idx="1">
                  <c:v>2.000000</c:v>
                </c:pt>
                <c:pt idx="2">
                  <c:v>6.000000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Low nuclear Kaiso</c:v>
                </c:pt>
              </c:strCache>
            </c:strRef>
          </c:tx>
          <c:spPr>
            <a:solidFill>
              <a:srgbClr val="798089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GI</c:v>
                </c:pt>
                <c:pt idx="1">
                  <c:v>GII</c:v>
                </c:pt>
                <c:pt idx="2">
                  <c:v>GIII</c:v>
                </c:pt>
              </c:strCache>
            </c:strRef>
          </c:cat>
          <c:val>
            <c:numRef>
              <c:f>Sheet1!$C$2:$C$4</c:f>
              <c:numCache>
                <c:ptCount val="3"/>
                <c:pt idx="0">
                  <c:v>9.000000</c:v>
                </c:pt>
                <c:pt idx="1">
                  <c:v>13.000000</c:v>
                </c:pt>
                <c:pt idx="2">
                  <c:v>10.000000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cytoplasmic Kaiso</c:v>
                </c:pt>
              </c:strCache>
            </c:strRef>
          </c:tx>
          <c:spPr>
            <a:solidFill>
              <a:srgbClr val="A7ABAF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GI</c:v>
                </c:pt>
                <c:pt idx="1">
                  <c:v>GII</c:v>
                </c:pt>
                <c:pt idx="2">
                  <c:v>GIII</c:v>
                </c:pt>
              </c:strCache>
            </c:strRef>
          </c:cat>
          <c:val>
            <c:numRef>
              <c:f>Sheet1!$D$2:$D$4</c:f>
              <c:numCache>
                <c:ptCount val="3"/>
                <c:pt idx="0">
                  <c:v>8.000000</c:v>
                </c:pt>
                <c:pt idx="1">
                  <c:v>11.000000</c:v>
                </c:pt>
                <c:pt idx="2">
                  <c:v>5.000000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cytoplasmic Kaiso</c:v>
                </c:pt>
              </c:strCache>
            </c:strRef>
          </c:tx>
          <c:spPr>
            <a:solidFill>
              <a:srgbClr val="1D1D1E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GI</c:v>
                </c:pt>
                <c:pt idx="1">
                  <c:v>GII</c:v>
                </c:pt>
                <c:pt idx="2">
                  <c:v>GIII</c:v>
                </c:pt>
              </c:strCache>
            </c:strRef>
          </c:cat>
          <c:val>
            <c:numRef>
              <c:f>Sheet1!$E$2:$E$4</c:f>
              <c:numCache>
                <c:ptCount val="3"/>
                <c:pt idx="0">
                  <c:v>8.000000</c:v>
                </c:pt>
                <c:pt idx="1">
                  <c:v>4.000000</c:v>
                </c:pt>
                <c:pt idx="2">
                  <c:v>11.000000</c:v>
                </c:pt>
              </c:numCache>
            </c:numRef>
          </c:val>
        </c:ser>
        <c:gapWidth val="360"/>
        <c:overlap val="0"/>
        <c:axId val="2094734552"/>
        <c:axId val="2094734553"/>
      </c:barChart>
      <c:catAx>
        <c:axId val="2094734552"/>
        <c:scaling>
          <c:orientation val="maxMin"/>
        </c:scaling>
        <c:delete val="0"/>
        <c:axPos val="l"/>
        <c:title>
          <c:tx>
            <c:rich>
              <a:bodyPr rot="-5400000"/>
              <a:lstStyle/>
              <a:p>
                <a:pPr>
                  <a:defRPr b="1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1" i="0" strike="noStrike" sz="1200" u="none">
                    <a:solidFill>
                      <a:srgbClr val="000000"/>
                    </a:solidFill>
                    <a:latin typeface="Times New Roman"/>
                  </a:rPr>
                  <a:t>Histological Grade</a:t>
                </a:r>
              </a:p>
            </c:rich>
          </c:tx>
          <c:layout/>
          <c:overlay val="1"/>
        </c:title>
        <c:numFmt formatCode="General" sourceLinked="0"/>
        <c:majorTickMark val="none"/>
        <c:minorTickMark val="none"/>
        <c:tickLblPos val="nextTo"/>
        <c:spPr>
          <a:ln w="12700" cap="flat">
            <a:noFill/>
            <a:miter lim="400000"/>
          </a:ln>
        </c:spPr>
        <c:txPr>
          <a:bodyPr rot="-270000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b="1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1" i="0" strike="noStrike" sz="1200" u="none">
                    <a:solidFill>
                      <a:srgbClr val="000000"/>
                    </a:solidFill>
                    <a:latin typeface="Times New Roman"/>
                  </a:rPr>
                  <a:t>Kaiso localization</a:t>
                </a:r>
              </a:p>
            </c:rich>
          </c:tx>
          <c:layout/>
          <c:overlay val="1"/>
        </c:title>
        <c:numFmt formatCode="0" sourceLinked="0"/>
        <c:majorTickMark val="none"/>
        <c:minorTickMark val="none"/>
        <c:tickLblPos val="high"/>
        <c:spPr>
          <a:ln w="12700" cap="flat">
            <a:noFill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2"/>
        <c:crosses val="autoZero"/>
        <c:crossBetween val="between"/>
        <c:majorUnit val="3.5"/>
        <c:minorUnit val="1.75"/>
      </c:valAx>
      <c:spPr>
        <a:noFill/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48211"/>
          <c:y val="0.22765"/>
          <c:w val="0.251789"/>
          <c:h val="0.167993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noFill/>
    <a:ln>
      <a:noFill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title>
      <c:tx>
        <c:rich>
          <a:bodyPr rot="0"/>
          <a:lstStyle/>
          <a:p>
            <a:pPr>
              <a:defRPr b="1" i="0" strike="noStrike" sz="1200" u="none">
                <a:solidFill>
                  <a:srgbClr val="000000"/>
                </a:solidFill>
                <a:latin typeface="Times New Roman"/>
              </a:defRPr>
            </a:pPr>
            <a:r>
              <a:rPr b="1" i="0" strike="noStrike" sz="1200" u="none">
                <a:solidFill>
                  <a:srgbClr val="000000"/>
                </a:solidFill>
                <a:latin typeface="Times New Roman"/>
              </a:rPr>
              <a:t>Kaiso expression vs Targets</a:t>
            </a:r>
          </a:p>
        </c:rich>
      </c:tx>
      <c:layout>
        <c:manualLayout>
          <c:xMode val="edge"/>
          <c:yMode val="edge"/>
          <c:x val="0.310707"/>
          <c:y val="0"/>
          <c:w val="0.30947"/>
          <c:h val="0.0990494"/>
        </c:manualLayout>
      </c:layout>
      <c:overlay val="1"/>
      <c:spPr>
        <a:noFill/>
        <a:effectLst/>
      </c:spPr>
    </c:title>
    <c:autoTitleDeleted val="1"/>
    <c:plotArea>
      <c:layout>
        <c:manualLayout>
          <c:layoutTarget val="inner"/>
          <c:xMode val="edge"/>
          <c:yMode val="edge"/>
          <c:x val="0.156456"/>
          <c:y val="0.0990494"/>
          <c:w val="0.767906"/>
          <c:h val="0.75452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Cyclin D1</c:v>
                </c:pt>
              </c:strCache>
            </c:strRef>
          </c:tx>
          <c:spPr>
            <a:solidFill>
              <a:srgbClr val="52585F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6.000000</c:v>
                </c:pt>
                <c:pt idx="1">
                  <c:v>1.000000</c:v>
                </c:pt>
                <c:pt idx="2">
                  <c:v>0.000000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Moderate Cyclin D1</c:v>
                </c:pt>
              </c:strCache>
            </c:strRef>
          </c:tx>
          <c:spPr>
            <a:solidFill>
              <a:srgbClr val="798089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Sheet1!$C$2:$C$4</c:f>
              <c:numCache>
                <c:ptCount val="3"/>
                <c:pt idx="0">
                  <c:v>1.000000</c:v>
                </c:pt>
                <c:pt idx="1">
                  <c:v>0.000000</c:v>
                </c:pt>
                <c:pt idx="2">
                  <c:v>3.000000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Strong Cyclin D1</c:v>
                </c:pt>
              </c:strCache>
            </c:strRef>
          </c:tx>
          <c:spPr>
            <a:solidFill>
              <a:srgbClr val="A7ABAF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Sheet1!$D$2:$D$4</c:f>
              <c:numCache>
                <c:ptCount val="3"/>
                <c:pt idx="0">
                  <c:v>9.000000</c:v>
                </c:pt>
                <c:pt idx="1">
                  <c:v>1.000000</c:v>
                </c:pt>
                <c:pt idx="2">
                  <c:v>0.000000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Low c-Myc</c:v>
                </c:pt>
              </c:strCache>
            </c:strRef>
          </c:tx>
          <c:spPr>
            <a:solidFill>
              <a:srgbClr val="1D1D1E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Sheet1!$E$2:$E$4</c:f>
              <c:numCache>
                <c:ptCount val="3"/>
                <c:pt idx="0">
                  <c:v>6.000000</c:v>
                </c:pt>
                <c:pt idx="1">
                  <c:v>0.000000</c:v>
                </c:pt>
                <c:pt idx="2">
                  <c:v>1.000000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Moderate c-Myc</c:v>
                </c:pt>
              </c:strCache>
            </c:strRef>
          </c:tx>
          <c:spPr>
            <a:solidFill>
              <a:srgbClr val="8D939F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Sheet1!$F$2:$F$4</c:f>
              <c:numCache>
                <c:ptCount val="3"/>
                <c:pt idx="0">
                  <c:v>3.000000</c:v>
                </c:pt>
                <c:pt idx="1">
                  <c:v>1.000000</c:v>
                </c:pt>
                <c:pt idx="2">
                  <c:v>0.000000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Strong c-Myc</c:v>
                </c:pt>
              </c:strCache>
            </c:strRef>
          </c:tx>
          <c:spPr>
            <a:solidFill>
              <a:srgbClr val="323232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Low </c:v>
                </c:pt>
                <c:pt idx="1">
                  <c:v>Moderate </c:v>
                </c:pt>
                <c:pt idx="2">
                  <c:v>Strong </c:v>
                </c:pt>
              </c:strCache>
            </c:strRef>
          </c:cat>
          <c:val>
            <c:numRef>
              <c:f>Sheet1!$G$2:$G$4</c:f>
              <c:numCache>
                <c:ptCount val="3"/>
                <c:pt idx="0">
                  <c:v>7.000000</c:v>
                </c:pt>
                <c:pt idx="1">
                  <c:v>1.000000</c:v>
                </c:pt>
                <c:pt idx="2">
                  <c:v>2.000000</c:v>
                </c:pt>
              </c:numCache>
            </c:numRef>
          </c:val>
        </c:ser>
        <c:gapWidth val="380"/>
        <c:overlap val="0"/>
        <c:axId val="2094734552"/>
        <c:axId val="2094734553"/>
      </c:barChart>
      <c:catAx>
        <c:axId val="2094734552"/>
        <c:scaling>
          <c:orientation val="maxMin"/>
        </c:scaling>
        <c:delete val="0"/>
        <c:axPos val="l"/>
        <c:title>
          <c:tx>
            <c:rich>
              <a:bodyPr rot="-5400000"/>
              <a:lstStyle/>
              <a:p>
                <a:pPr>
                  <a:defRPr b="1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1" i="0" strike="noStrike" sz="1200" u="none">
                    <a:solidFill>
                      <a:srgbClr val="000000"/>
                    </a:solidFill>
                    <a:latin typeface="Times New Roman"/>
                  </a:rPr>
                  <a:t>Kaiso</a:t>
                </a:r>
              </a:p>
            </c:rich>
          </c:tx>
          <c:layout/>
          <c:overlay val="1"/>
        </c:title>
        <c:numFmt formatCode="General" sourceLinked="0"/>
        <c:majorTickMark val="none"/>
        <c:minorTickMark val="none"/>
        <c:tickLblPos val="nextTo"/>
        <c:spPr>
          <a:ln w="12700" cap="flat">
            <a:noFill/>
            <a:miter lim="400000"/>
          </a:ln>
        </c:spPr>
        <c:txPr>
          <a:bodyPr rot="-2700000"/>
          <a:lstStyle/>
          <a:p>
            <a:pPr>
              <a:defRPr b="0" i="0" strike="noStrike" sz="11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b="1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1" i="0" strike="noStrike" sz="1200" u="none">
                    <a:solidFill>
                      <a:srgbClr val="000000"/>
                    </a:solidFill>
                    <a:latin typeface="Times New Roman"/>
                  </a:rPr>
                  <a:t>Targets</a:t>
                </a:r>
              </a:p>
            </c:rich>
          </c:tx>
          <c:layout/>
          <c:overlay val="1"/>
        </c:title>
        <c:numFmt formatCode="0" sourceLinked="0"/>
        <c:majorTickMark val="none"/>
        <c:minorTickMark val="none"/>
        <c:tickLblPos val="high"/>
        <c:spPr>
          <a:ln w="12700" cap="flat">
            <a:noFill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2"/>
        <c:crosses val="autoZero"/>
        <c:crossBetween val="between"/>
        <c:majorUnit val="2.25"/>
        <c:minorUnit val="1.125"/>
      </c:valAx>
      <c:spPr>
        <a:noFill/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52128"/>
          <c:y val="0.441899"/>
          <c:w val="0.247872"/>
          <c:h val="0.275736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noFill/>
    <a:ln>
      <a:noFill/>
    </a:ln>
    <a:effectLst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title>
      <c:tx>
        <c:rich>
          <a:bodyPr rot="0"/>
          <a:lstStyle/>
          <a:p>
            <a:pPr>
              <a:defRPr b="1" i="0" strike="noStrike" sz="1200" u="none">
                <a:solidFill>
                  <a:srgbClr val="000000"/>
                </a:solidFill>
                <a:latin typeface="Times New Roman"/>
              </a:defRPr>
            </a:pPr>
            <a:r>
              <a:rPr b="1" i="0" strike="noStrike" sz="1200" u="none">
                <a:solidFill>
                  <a:srgbClr val="000000"/>
                </a:solidFill>
                <a:latin typeface="Times New Roman"/>
              </a:rPr>
              <a:t>Nuclear Kaiso vs p120ctn</a:t>
            </a:r>
          </a:p>
        </c:rich>
      </c:tx>
      <c:layout>
        <c:manualLayout>
          <c:xMode val="edge"/>
          <c:yMode val="edge"/>
          <c:x val="0.241749"/>
          <c:y val="0"/>
          <c:w val="0.265723"/>
          <c:h val="0.0895763"/>
        </c:manualLayout>
      </c:layout>
      <c:overlay val="1"/>
      <c:spPr>
        <a:noFill/>
        <a:effectLst/>
      </c:spPr>
    </c:title>
    <c:autoTitleDeleted val="1"/>
    <c:plotArea>
      <c:layout>
        <c:manualLayout>
          <c:layoutTarget val="inner"/>
          <c:xMode val="edge"/>
          <c:yMode val="edge"/>
          <c:x val="0.0842348"/>
          <c:y val="0.0895763"/>
          <c:w val="0.664987"/>
          <c:h val="0.77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High nuclear Kaiso</c:v>
                </c:pt>
              </c:strCache>
            </c:strRef>
          </c:tx>
          <c:spPr>
            <a:solidFill>
              <a:srgbClr val="858685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High </c:v>
                </c:pt>
                <c:pt idx="1">
                  <c:v>Low</c:v>
                </c:pt>
              </c:strCache>
            </c:strRef>
          </c:cat>
          <c:val>
            <c:numRef>
              <c:f>Sheet1!$B$2:$B$3</c:f>
              <c:numCache>
                <c:ptCount val="2"/>
                <c:pt idx="0">
                  <c:v>5.000000</c:v>
                </c:pt>
                <c:pt idx="1">
                  <c:v>10.000000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Low nuclear Kaiso</c:v>
                </c:pt>
              </c:strCache>
            </c:strRef>
          </c:tx>
          <c:spPr>
            <a:solidFill>
              <a:srgbClr val="CCCDCB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High </c:v>
                </c:pt>
                <c:pt idx="1">
                  <c:v>Low</c:v>
                </c:pt>
              </c:strCache>
            </c:strRef>
          </c:cat>
          <c:val>
            <c:numRef>
              <c:f>Sheet1!$C$2:$C$3</c:f>
              <c:numCache>
                <c:ptCount val="2"/>
                <c:pt idx="0">
                  <c:v>5.000000</c:v>
                </c:pt>
                <c:pt idx="1">
                  <c:v>27.000000</c:v>
                </c:pt>
              </c:numCache>
            </c:numRef>
          </c:val>
        </c:ser>
        <c:gapWidth val="40"/>
        <c:overlap val="-70"/>
        <c:axId val="2094734552"/>
        <c:axId val="2094734553"/>
      </c:barChart>
      <c:catAx>
        <c:axId val="2094734552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b="0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0" i="0" strike="noStrike" sz="1200" u="none">
                    <a:solidFill>
                      <a:srgbClr val="000000"/>
                    </a:solidFill>
                    <a:latin typeface="Times New Roman"/>
                  </a:rPr>
                  <a:t>Nuclear p120ctn</a:t>
                </a:r>
              </a:p>
            </c:rich>
          </c:tx>
          <c:layout/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000000"/>
            </a:solidFill>
            <a:prstDash val="solid"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b="0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0" i="0" strike="noStrike" sz="1200" u="none">
                    <a:solidFill>
                      <a:srgbClr val="000000"/>
                    </a:solidFill>
                    <a:latin typeface="Times New Roman"/>
                  </a:rPr>
                  <a:t>Nuclear Kaiso</a:t>
                </a:r>
              </a:p>
            </c:rich>
          </c:tx>
          <c:layout/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noFill/>
            <a:prstDash val="solid"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2"/>
        <c:crosses val="autoZero"/>
        <c:crossBetween val="between"/>
        <c:majorUnit val="7.5"/>
        <c:minorUnit val="3.75"/>
      </c:valAx>
      <c:spPr>
        <a:noFill/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75727"/>
          <c:y val="0.416574"/>
          <c:w val="0.224273"/>
          <c:h val="0.100585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noFill/>
    <a:ln>
      <a:noFill/>
    </a:ln>
    <a:effectLst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title>
      <c:tx>
        <c:rich>
          <a:bodyPr rot="0"/>
          <a:lstStyle/>
          <a:p>
            <a:pPr>
              <a:defRPr b="1" i="0" strike="noStrike" sz="1200" u="none">
                <a:solidFill>
                  <a:srgbClr val="000000"/>
                </a:solidFill>
                <a:latin typeface="Times New Roman"/>
              </a:defRPr>
            </a:pPr>
            <a:r>
              <a:rPr b="1" i="0" strike="noStrike" sz="1200" u="none">
                <a:solidFill>
                  <a:srgbClr val="000000"/>
                </a:solidFill>
                <a:latin typeface="Times New Roman"/>
              </a:rPr>
              <a:t>Cytoplasmic Kaiso vs p120 catenin</a:t>
            </a:r>
          </a:p>
        </c:rich>
      </c:tx>
      <c:layout>
        <c:manualLayout>
          <c:xMode val="edge"/>
          <c:yMode val="edge"/>
          <c:x val="0.199394"/>
          <c:y val="0"/>
          <c:w val="0.327271"/>
          <c:h val="0.0871475"/>
        </c:manualLayout>
      </c:layout>
      <c:overlay val="1"/>
      <c:spPr>
        <a:noFill/>
        <a:effectLst/>
      </c:spPr>
    </c:title>
    <c:autoTitleDeleted val="1"/>
    <c:plotArea>
      <c:layout>
        <c:manualLayout>
          <c:layoutTarget val="inner"/>
          <c:xMode val="edge"/>
          <c:yMode val="edge"/>
          <c:x val="0.0759584"/>
          <c:y val="0.0871475"/>
          <c:w val="0.650102"/>
          <c:h val="0.780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High cytoplasmic Kaiso</c:v>
                </c:pt>
              </c:strCache>
            </c:strRef>
          </c:tx>
          <c:spPr>
            <a:solidFill>
              <a:srgbClr val="858685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High</c:v>
                </c:pt>
                <c:pt idx="1">
                  <c:v>Low </c:v>
                </c:pt>
              </c:strCache>
            </c:strRef>
          </c:cat>
          <c:val>
            <c:numRef>
              <c:f>Sheet1!$B$2:$B$3</c:f>
              <c:numCache>
                <c:ptCount val="2"/>
                <c:pt idx="0">
                  <c:v>10.000000</c:v>
                </c:pt>
                <c:pt idx="1">
                  <c:v>13.000000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Low cytoplasmic Kaiso</c:v>
                </c:pt>
              </c:strCache>
            </c:strRef>
          </c:tx>
          <c:spPr>
            <a:solidFill>
              <a:srgbClr val="CCCDCB"/>
            </a:solidFill>
            <a:ln w="12700" cap="flat">
              <a:noFill/>
              <a:miter lim="400000"/>
            </a:ln>
            <a:effectLst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200" u="none">
                    <a:solidFill>
                      <a:srgbClr val="FFFFFF"/>
                    </a:solidFill>
                    <a:latin typeface="Times New Roman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High</c:v>
                </c:pt>
                <c:pt idx="1">
                  <c:v>Low </c:v>
                </c:pt>
              </c:strCache>
            </c:strRef>
          </c:cat>
          <c:val>
            <c:numRef>
              <c:f>Sheet1!$C$2:$C$3</c:f>
              <c:numCache>
                <c:ptCount val="2"/>
                <c:pt idx="0">
                  <c:v>12.000000</c:v>
                </c:pt>
                <c:pt idx="1">
                  <c:v>12.000000</c:v>
                </c:pt>
              </c:numCache>
            </c:numRef>
          </c:val>
        </c:ser>
        <c:gapWidth val="40"/>
        <c:overlap val="-70"/>
        <c:axId val="2094734552"/>
        <c:axId val="2094734553"/>
      </c:barChart>
      <c:catAx>
        <c:axId val="2094734552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b="0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0" i="0" strike="noStrike" sz="1200" u="none">
                    <a:solidFill>
                      <a:srgbClr val="000000"/>
                    </a:solidFill>
                    <a:latin typeface="Times New Roman"/>
                  </a:rPr>
                  <a:t>Cytoplasmic p120 ctn</a:t>
                </a:r>
              </a:p>
            </c:rich>
          </c:tx>
          <c:layout/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000000"/>
            </a:solidFill>
            <a:prstDash val="solid"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b="0" i="0" strike="noStrike" sz="1200" u="none">
                    <a:solidFill>
                      <a:srgbClr val="000000"/>
                    </a:solidFill>
                    <a:latin typeface="Times New Roman"/>
                  </a:defRPr>
                </a:pPr>
                <a:r>
                  <a:rPr b="0" i="0" strike="noStrike" sz="1200" u="none">
                    <a:solidFill>
                      <a:srgbClr val="000000"/>
                    </a:solidFill>
                    <a:latin typeface="Times New Roman"/>
                  </a:rPr>
                  <a:t>Cytoplasmic Kaiso</a:t>
                </a:r>
              </a:p>
            </c:rich>
          </c:tx>
          <c:layout/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noFill/>
            <a:prstDash val="solid"/>
            <a:miter lim="400000"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Times New Roman"/>
              </a:defRPr>
            </a:pPr>
          </a:p>
        </c:txPr>
        <c:crossAx val="2094734552"/>
        <c:crosses val="autoZero"/>
        <c:crossBetween val="between"/>
        <c:majorUnit val="3.25"/>
        <c:minorUnit val="1.625"/>
      </c:valAx>
      <c:spPr>
        <a:noFill/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62831"/>
          <c:y val="0.415901"/>
          <c:w val="0.237169"/>
          <c:h val="0.0985357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noFill/>
    <a:ln>
      <a:noFill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