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28EAE" w14:textId="01A3817A" w:rsidR="00632668" w:rsidRPr="008A615C" w:rsidRDefault="008A615C" w:rsidP="008A615C">
      <w:pPr>
        <w:spacing w:after="0" w:line="480" w:lineRule="auto"/>
        <w:rPr>
          <w:rFonts w:ascii="Calibri" w:hAnsi="Calibri" w:cs="Calibri"/>
          <w:b/>
          <w:bCs/>
          <w:color w:val="000000" w:themeColor="text1"/>
          <w:sz w:val="24"/>
          <w:szCs w:val="24"/>
        </w:rPr>
      </w:pPr>
      <w:r>
        <w:rPr>
          <w:rFonts w:ascii="Calibri" w:hAnsi="Calibri" w:cs="Calibri"/>
          <w:b/>
          <w:bCs/>
          <w:color w:val="000000" w:themeColor="text1"/>
          <w:sz w:val="24"/>
          <w:szCs w:val="24"/>
        </w:rPr>
        <w:t>SUPPLEMENTAL METHODS</w:t>
      </w:r>
    </w:p>
    <w:p w14:paraId="7DB42F0B" w14:textId="1089A711" w:rsidR="00E749F1" w:rsidRPr="008A615C" w:rsidRDefault="00E749F1" w:rsidP="008A615C">
      <w:pPr>
        <w:spacing w:after="0" w:line="480" w:lineRule="auto"/>
        <w:rPr>
          <w:rFonts w:ascii="Calibri" w:eastAsia="Times New Roman" w:hAnsi="Calibri" w:cs="Calibri"/>
          <w:b/>
          <w:bCs/>
        </w:rPr>
      </w:pPr>
      <w:r w:rsidRPr="008A615C">
        <w:rPr>
          <w:rFonts w:ascii="Calibri" w:eastAsia="Times New Roman" w:hAnsi="Calibri" w:cs="Calibri"/>
          <w:b/>
          <w:bCs/>
        </w:rPr>
        <w:t>Tympanometry and acoustic stapedial reflexes</w:t>
      </w:r>
    </w:p>
    <w:p w14:paraId="0BDAE2F0" w14:textId="6ECF9175" w:rsidR="00E749F1" w:rsidRPr="008A615C" w:rsidRDefault="00E749F1" w:rsidP="008A615C">
      <w:pPr>
        <w:spacing w:after="0" w:line="480" w:lineRule="auto"/>
        <w:rPr>
          <w:rFonts w:ascii="Calibri" w:eastAsia="Times New Roman" w:hAnsi="Calibri" w:cs="Calibri"/>
        </w:rPr>
      </w:pPr>
      <w:r w:rsidRPr="008A615C">
        <w:rPr>
          <w:rFonts w:ascii="Calibri" w:eastAsia="Times New Roman" w:hAnsi="Calibri" w:cs="Calibri"/>
        </w:rPr>
        <w:t xml:space="preserve">Tympanometry and acoustic stapedial reflex thresholds (0.5, 1, and 2 kHz), were obtained using a </w:t>
      </w:r>
      <w:proofErr w:type="spellStart"/>
      <w:r w:rsidRPr="008A615C">
        <w:rPr>
          <w:rFonts w:ascii="Calibri" w:eastAsia="Times New Roman" w:hAnsi="Calibri" w:cs="Calibri"/>
        </w:rPr>
        <w:t>TympStar</w:t>
      </w:r>
      <w:proofErr w:type="spellEnd"/>
      <w:r w:rsidRPr="008A615C">
        <w:rPr>
          <w:rFonts w:ascii="Calibri" w:eastAsia="Times New Roman" w:hAnsi="Calibri" w:cs="Calibri"/>
        </w:rPr>
        <w:t xml:space="preserve"> immittance bridge (</w:t>
      </w:r>
      <w:proofErr w:type="spellStart"/>
      <w:r w:rsidRPr="008A615C">
        <w:rPr>
          <w:rFonts w:ascii="Calibri" w:eastAsia="Times New Roman" w:hAnsi="Calibri" w:cs="Calibri"/>
        </w:rPr>
        <w:t>Grason</w:t>
      </w:r>
      <w:proofErr w:type="spellEnd"/>
      <w:r w:rsidRPr="008A615C">
        <w:rPr>
          <w:rFonts w:ascii="Calibri" w:eastAsia="Times New Roman" w:hAnsi="Calibri" w:cs="Calibri"/>
        </w:rPr>
        <w:t xml:space="preserve"> Stadler, Inc.).  Data were interpreted using published reference ranges</w:t>
      </w:r>
      <w:r w:rsidR="00431EE5" w:rsidRPr="008A615C">
        <w:rPr>
          <w:rFonts w:ascii="Calibri" w:eastAsia="Times New Roman" w:hAnsi="Calibri" w:cs="Calibri"/>
          <w:vertAlign w:val="superscript"/>
        </w:rPr>
        <w:t>1,2</w:t>
      </w:r>
      <w:r w:rsidRPr="008A615C">
        <w:rPr>
          <w:rFonts w:ascii="Calibri" w:eastAsia="Times New Roman" w:hAnsi="Calibri" w:cs="Calibri"/>
        </w:rPr>
        <w:t xml:space="preserve"> and tympanogram types (A, As, Ad, B, C) were assigned based on peak admittance and peak pressure (Table S1).</w:t>
      </w:r>
    </w:p>
    <w:p w14:paraId="3338DC7B" w14:textId="77777777" w:rsidR="00141F99" w:rsidRPr="008A615C" w:rsidRDefault="00141F99" w:rsidP="008A615C">
      <w:pPr>
        <w:spacing w:after="0" w:line="480" w:lineRule="auto"/>
        <w:rPr>
          <w:rFonts w:ascii="Calibri" w:eastAsia="Times New Roman" w:hAnsi="Calibri" w:cs="Calibri"/>
        </w:rPr>
      </w:pPr>
    </w:p>
    <w:p w14:paraId="700890E5" w14:textId="06595C18" w:rsidR="00E749F1" w:rsidRPr="008A615C" w:rsidRDefault="00E749F1" w:rsidP="008A615C">
      <w:pPr>
        <w:spacing w:after="0" w:line="480" w:lineRule="auto"/>
        <w:rPr>
          <w:rFonts w:ascii="Calibri" w:eastAsia="Times New Roman" w:hAnsi="Calibri" w:cs="Calibri"/>
          <w:b/>
          <w:bCs/>
        </w:rPr>
      </w:pPr>
      <w:r w:rsidRPr="008A615C">
        <w:rPr>
          <w:rFonts w:ascii="Calibri" w:eastAsia="Times New Roman" w:hAnsi="Calibri" w:cs="Calibri"/>
          <w:b/>
          <w:bCs/>
        </w:rPr>
        <w:t>Distortion product otoacoustic emissions (DPOAE)</w:t>
      </w:r>
    </w:p>
    <w:p w14:paraId="3733B5DB" w14:textId="4DC61C1B" w:rsidR="00E749F1" w:rsidRPr="008A615C" w:rsidRDefault="00E749F1" w:rsidP="008A615C">
      <w:pPr>
        <w:spacing w:after="0" w:line="480" w:lineRule="auto"/>
        <w:rPr>
          <w:rFonts w:ascii="Calibri" w:eastAsia="Times New Roman" w:hAnsi="Calibri" w:cs="Calibri"/>
        </w:rPr>
      </w:pPr>
      <w:r w:rsidRPr="008A615C">
        <w:rPr>
          <w:rFonts w:ascii="Calibri" w:eastAsia="Times New Roman" w:hAnsi="Calibri" w:cs="Calibri"/>
        </w:rPr>
        <w:t xml:space="preserve">DPOAE were evaluated using an Echoport Otoacoustics Emission System (ILO v6, Otodynamics, Inc.). Eliciting stimuli were presented in quarter octave bands from 842 to 7996 Hz, using an f2/f1 ratio of 1.2 and L1 and L2 of 65- and 55-dB SPL, respectively. DPOAEs were interpreted as present when the signal-to-noise ratio exceeded 6 </w:t>
      </w:r>
      <w:proofErr w:type="spellStart"/>
      <w:r w:rsidRPr="008A615C">
        <w:rPr>
          <w:rFonts w:ascii="Calibri" w:eastAsia="Times New Roman" w:hAnsi="Calibri" w:cs="Calibri"/>
        </w:rPr>
        <w:t>dB.</w:t>
      </w:r>
      <w:proofErr w:type="spellEnd"/>
      <w:r w:rsidRPr="008A615C">
        <w:rPr>
          <w:rFonts w:ascii="Calibri" w:eastAsia="Times New Roman" w:hAnsi="Calibri" w:cs="Calibri"/>
        </w:rPr>
        <w:t xml:space="preserve">  </w:t>
      </w:r>
    </w:p>
    <w:p w14:paraId="5AAF4227" w14:textId="77777777" w:rsidR="00E749F1" w:rsidRPr="008A615C" w:rsidRDefault="00E749F1" w:rsidP="008A615C">
      <w:pPr>
        <w:spacing w:after="0" w:line="480" w:lineRule="auto"/>
        <w:rPr>
          <w:rFonts w:ascii="Calibri" w:eastAsia="Times New Roman" w:hAnsi="Calibri" w:cs="Calibri"/>
          <w:b/>
          <w:bCs/>
        </w:rPr>
      </w:pPr>
    </w:p>
    <w:p w14:paraId="4A9D6A74" w14:textId="7DAC6BC4" w:rsidR="005F39F6" w:rsidRPr="008A615C" w:rsidRDefault="005F39F6" w:rsidP="008A615C">
      <w:pPr>
        <w:spacing w:after="0" w:line="480" w:lineRule="auto"/>
        <w:rPr>
          <w:rFonts w:ascii="Calibri" w:eastAsia="Times New Roman" w:hAnsi="Calibri" w:cs="Calibri"/>
          <w:b/>
          <w:bCs/>
        </w:rPr>
      </w:pPr>
      <w:r w:rsidRPr="008A615C">
        <w:rPr>
          <w:rFonts w:ascii="Calibri" w:eastAsia="Times New Roman" w:hAnsi="Calibri" w:cs="Calibri"/>
          <w:b/>
          <w:bCs/>
        </w:rPr>
        <w:t>Murine model</w:t>
      </w:r>
    </w:p>
    <w:p w14:paraId="1409B477" w14:textId="53053251" w:rsidR="005F39F6" w:rsidRPr="008A615C" w:rsidRDefault="005F39F6" w:rsidP="008A615C">
      <w:pPr>
        <w:spacing w:line="480" w:lineRule="auto"/>
        <w:ind w:firstLine="720"/>
        <w:rPr>
          <w:rFonts w:ascii="Calibri" w:hAnsi="Calibri" w:cs="Calibri"/>
        </w:rPr>
      </w:pPr>
      <w:r w:rsidRPr="008A615C">
        <w:rPr>
          <w:rFonts w:ascii="Calibri" w:hAnsi="Calibri" w:cs="Calibri"/>
        </w:rPr>
        <w:t>The animals were housed in pathogen</w:t>
      </w:r>
      <w:r w:rsidR="00120459" w:rsidRPr="008A615C">
        <w:rPr>
          <w:rFonts w:ascii="Calibri" w:hAnsi="Calibri" w:cs="Calibri"/>
        </w:rPr>
        <w:t>-</w:t>
      </w:r>
      <w:r w:rsidRPr="008A615C">
        <w:rPr>
          <w:rFonts w:ascii="Calibri" w:hAnsi="Calibri" w:cs="Calibri"/>
        </w:rPr>
        <w:t xml:space="preserve">free conditions and fed a regular chow diet with access to food and water </w:t>
      </w:r>
      <w:r w:rsidRPr="008A615C">
        <w:rPr>
          <w:rFonts w:ascii="Calibri" w:hAnsi="Calibri" w:cs="Calibri"/>
          <w:i/>
          <w:iCs/>
        </w:rPr>
        <w:t>ad libitum</w:t>
      </w:r>
      <w:r w:rsidRPr="008A615C">
        <w:rPr>
          <w:rFonts w:ascii="Calibri" w:hAnsi="Calibri" w:cs="Calibri"/>
        </w:rPr>
        <w:t>. Animal care and maintenance were provided through Yale University Animal Resource Center (YARC) at Yale University (New Haven), and all procedures were approved by the Animal Care and Use Committee of Yale University and complied with the US NIH guide for the care and use of laboratory animals. Ossicles</w:t>
      </w:r>
      <w:r w:rsidR="00684B28" w:rsidRPr="008A615C">
        <w:rPr>
          <w:rFonts w:ascii="Calibri" w:hAnsi="Calibri" w:cs="Calibri"/>
        </w:rPr>
        <w:t xml:space="preserve"> were extracted at 23 weeks of age under a stereomicroscope,</w:t>
      </w:r>
      <w:r w:rsidRPr="008A615C">
        <w:rPr>
          <w:rFonts w:ascii="Calibri" w:hAnsi="Calibri" w:cs="Calibri"/>
        </w:rPr>
        <w:t xml:space="preserve"> dehydrated in an ascending ethanol series and embedded </w:t>
      </w:r>
      <w:r w:rsidR="00C848FF" w:rsidRPr="008A615C">
        <w:rPr>
          <w:rFonts w:ascii="Calibri" w:hAnsi="Calibri" w:cs="Calibri"/>
        </w:rPr>
        <w:t xml:space="preserve">without </w:t>
      </w:r>
      <w:r w:rsidR="00C04705" w:rsidRPr="008A615C">
        <w:rPr>
          <w:rFonts w:ascii="Calibri" w:hAnsi="Calibri" w:cs="Calibri"/>
        </w:rPr>
        <w:t>de-</w:t>
      </w:r>
      <w:r w:rsidR="00C848FF" w:rsidRPr="008A615C">
        <w:rPr>
          <w:rFonts w:ascii="Calibri" w:hAnsi="Calibri" w:cs="Calibri"/>
        </w:rPr>
        <w:t xml:space="preserve">calcification </w:t>
      </w:r>
      <w:r w:rsidRPr="008A615C">
        <w:rPr>
          <w:rFonts w:ascii="Calibri" w:hAnsi="Calibri" w:cs="Calibri"/>
        </w:rPr>
        <w:t>in methyl-methacrylate. Quantitative backscattered electron imaging (</w:t>
      </w:r>
      <w:proofErr w:type="spellStart"/>
      <w:r w:rsidRPr="008A615C">
        <w:rPr>
          <w:rFonts w:ascii="Calibri" w:hAnsi="Calibri" w:cs="Calibri"/>
        </w:rPr>
        <w:t>qBEI</w:t>
      </w:r>
      <w:proofErr w:type="spellEnd"/>
      <w:r w:rsidRPr="008A615C">
        <w:rPr>
          <w:rFonts w:ascii="Calibri" w:hAnsi="Calibri" w:cs="Calibri"/>
        </w:rPr>
        <w:t>) was performed using a scanning electron microscope (LEO 435 VP, LEO Electron Microscopy Ltd.; Cambridge, England) with a backscattered electron detector (Type 202; K.E. Developments Ltd.; Cambridge, UK) as described previously</w:t>
      </w:r>
      <w:r w:rsidR="00F57293" w:rsidRPr="008A615C">
        <w:rPr>
          <w:rFonts w:ascii="Calibri" w:hAnsi="Calibri" w:cs="Calibri"/>
          <w:vertAlign w:val="superscript"/>
        </w:rPr>
        <w:t>3,4</w:t>
      </w:r>
      <w:r w:rsidR="00F57293" w:rsidRPr="008A615C">
        <w:rPr>
          <w:rFonts w:ascii="Calibri" w:hAnsi="Calibri" w:cs="Calibri"/>
        </w:rPr>
        <w:t>.</w:t>
      </w:r>
      <w:r w:rsidRPr="008A615C">
        <w:rPr>
          <w:rFonts w:ascii="Calibri" w:hAnsi="Calibri" w:cs="Calibri"/>
        </w:rPr>
        <w:t xml:space="preserve"> Briefly, the working distance of the scanning microscope was operated constantly at 20 kV </w:t>
      </w:r>
      <w:r w:rsidRPr="008A615C">
        <w:rPr>
          <w:rFonts w:ascii="Calibri" w:hAnsi="Calibri" w:cs="Calibri"/>
        </w:rPr>
        <w:lastRenderedPageBreak/>
        <w:t xml:space="preserve">and 680 </w:t>
      </w:r>
      <w:proofErr w:type="spellStart"/>
      <w:r w:rsidRPr="008A615C">
        <w:rPr>
          <w:rFonts w:ascii="Calibri" w:hAnsi="Calibri" w:cs="Calibri"/>
        </w:rPr>
        <w:t>pA.</w:t>
      </w:r>
      <w:proofErr w:type="spellEnd"/>
      <w:r w:rsidRPr="008A615C">
        <w:rPr>
          <w:rFonts w:ascii="Calibri" w:hAnsi="Calibri" w:cs="Calibri"/>
        </w:rPr>
        <w:t xml:space="preserve"> Analysis of </w:t>
      </w:r>
      <w:proofErr w:type="spellStart"/>
      <w:r w:rsidRPr="008A615C">
        <w:rPr>
          <w:rFonts w:ascii="Calibri" w:hAnsi="Calibri" w:cs="Calibri"/>
        </w:rPr>
        <w:t>qBEI</w:t>
      </w:r>
      <w:proofErr w:type="spellEnd"/>
      <w:r w:rsidRPr="008A615C">
        <w:rPr>
          <w:rFonts w:ascii="Calibri" w:hAnsi="Calibri" w:cs="Calibri"/>
        </w:rPr>
        <w:t xml:space="preserve"> images was performed by using ImageJ analysis software (ImageJ 1.42, NIH, Bethesda, USA) and a customized MATLAB-based program (</w:t>
      </w:r>
      <w:proofErr w:type="spellStart"/>
      <w:r w:rsidRPr="008A615C">
        <w:rPr>
          <w:rFonts w:ascii="Calibri" w:hAnsi="Calibri" w:cs="Calibri"/>
        </w:rPr>
        <w:t>TheMathWorks</w:t>
      </w:r>
      <w:proofErr w:type="spellEnd"/>
      <w:r w:rsidRPr="008A615C">
        <w:rPr>
          <w:rFonts w:ascii="Calibri" w:hAnsi="Calibri" w:cs="Calibri"/>
        </w:rPr>
        <w:t>, Inc., Natick, USA). Based on the gray values, which are proportional to the calcium content, the mean calcium content (</w:t>
      </w:r>
      <w:proofErr w:type="spellStart"/>
      <w:r w:rsidRPr="008A615C">
        <w:rPr>
          <w:rFonts w:ascii="Calibri" w:hAnsi="Calibri" w:cs="Calibri"/>
        </w:rPr>
        <w:t>Ca</w:t>
      </w:r>
      <w:r w:rsidRPr="008A615C">
        <w:rPr>
          <w:rFonts w:ascii="Calibri" w:hAnsi="Calibri" w:cs="Calibri"/>
          <w:vertAlign w:val="subscript"/>
        </w:rPr>
        <w:t>Mean</w:t>
      </w:r>
      <w:proofErr w:type="spellEnd"/>
      <w:r w:rsidRPr="008A615C">
        <w:rPr>
          <w:rFonts w:ascii="Calibri" w:hAnsi="Calibri" w:cs="Calibri"/>
        </w:rPr>
        <w:t xml:space="preserve">, </w:t>
      </w:r>
      <w:proofErr w:type="spellStart"/>
      <w:r w:rsidRPr="008A615C">
        <w:rPr>
          <w:rFonts w:ascii="Calibri" w:hAnsi="Calibri" w:cs="Calibri"/>
        </w:rPr>
        <w:t>wt</w:t>
      </w:r>
      <w:proofErr w:type="spellEnd"/>
      <w:r w:rsidRPr="008A615C">
        <w:rPr>
          <w:rFonts w:ascii="Calibri" w:hAnsi="Calibri" w:cs="Calibri"/>
        </w:rPr>
        <w:t>%) and the mineralization heterogeneity (</w:t>
      </w:r>
      <w:proofErr w:type="spellStart"/>
      <w:r w:rsidRPr="008A615C">
        <w:rPr>
          <w:rFonts w:ascii="Calibri" w:hAnsi="Calibri" w:cs="Calibri"/>
        </w:rPr>
        <w:t>Ca</w:t>
      </w:r>
      <w:r w:rsidRPr="008A615C">
        <w:rPr>
          <w:rFonts w:ascii="Calibri" w:hAnsi="Calibri" w:cs="Calibri"/>
          <w:vertAlign w:val="subscript"/>
        </w:rPr>
        <w:t>Width</w:t>
      </w:r>
      <w:proofErr w:type="spellEnd"/>
      <w:r w:rsidRPr="008A615C">
        <w:rPr>
          <w:rFonts w:ascii="Calibri" w:hAnsi="Calibri" w:cs="Calibri"/>
        </w:rPr>
        <w:t xml:space="preserve">, </w:t>
      </w:r>
      <w:proofErr w:type="spellStart"/>
      <w:r w:rsidRPr="008A615C">
        <w:rPr>
          <w:rFonts w:ascii="Calibri" w:hAnsi="Calibri" w:cs="Calibri"/>
        </w:rPr>
        <w:t>wt</w:t>
      </w:r>
      <w:proofErr w:type="spellEnd"/>
      <w:r w:rsidRPr="008A615C">
        <w:rPr>
          <w:rFonts w:ascii="Calibri" w:hAnsi="Calibri" w:cs="Calibri"/>
        </w:rPr>
        <w:t>%) were determined. Furthermore, the number of the osteocyte lacunae (</w:t>
      </w:r>
      <w:proofErr w:type="spellStart"/>
      <w:r w:rsidRPr="008A615C">
        <w:rPr>
          <w:rFonts w:ascii="Calibri" w:hAnsi="Calibri" w:cs="Calibri"/>
        </w:rPr>
        <w:t>N.Ot.Lc</w:t>
      </w:r>
      <w:proofErr w:type="spellEnd"/>
      <w:r w:rsidRPr="008A615C">
        <w:rPr>
          <w:rFonts w:ascii="Calibri" w:hAnsi="Calibri" w:cs="Calibri"/>
        </w:rPr>
        <w:t>/</w:t>
      </w:r>
      <w:proofErr w:type="spellStart"/>
      <w:r w:rsidRPr="008A615C">
        <w:rPr>
          <w:rFonts w:ascii="Calibri" w:hAnsi="Calibri" w:cs="Calibri"/>
        </w:rPr>
        <w:t>B.Ar</w:t>
      </w:r>
      <w:proofErr w:type="spellEnd"/>
      <w:r w:rsidRPr="008A615C">
        <w:rPr>
          <w:rFonts w:ascii="Calibri" w:hAnsi="Calibri" w:cs="Calibri"/>
        </w:rPr>
        <w:t>, 1/mm2) and mean osteocyte lacunar area (</w:t>
      </w:r>
      <w:proofErr w:type="spellStart"/>
      <w:r w:rsidRPr="008A615C">
        <w:rPr>
          <w:rFonts w:ascii="Calibri" w:hAnsi="Calibri" w:cs="Calibri"/>
        </w:rPr>
        <w:t>Lc.Ar</w:t>
      </w:r>
      <w:proofErr w:type="spellEnd"/>
      <w:r w:rsidRPr="008A615C">
        <w:rPr>
          <w:rFonts w:ascii="Calibri" w:hAnsi="Calibri" w:cs="Calibri"/>
        </w:rPr>
        <w:t xml:space="preserve">, </w:t>
      </w:r>
      <w:r w:rsidR="007E6C54" w:rsidRPr="008A615C">
        <w:rPr>
          <w:rFonts w:ascii="Calibri" w:hAnsi="Calibri" w:cs="Calibri"/>
        </w:rPr>
        <w:t>µ</w:t>
      </w:r>
      <w:r w:rsidRPr="008A615C">
        <w:rPr>
          <w:rFonts w:ascii="Calibri" w:hAnsi="Calibri" w:cs="Calibri"/>
        </w:rPr>
        <w:t>m</w:t>
      </w:r>
      <w:r w:rsidRPr="008A615C">
        <w:rPr>
          <w:rFonts w:ascii="Calibri" w:hAnsi="Calibri" w:cs="Calibri"/>
          <w:vertAlign w:val="superscript"/>
        </w:rPr>
        <w:t>2</w:t>
      </w:r>
      <w:r w:rsidRPr="008A615C">
        <w:rPr>
          <w:rFonts w:ascii="Calibri" w:hAnsi="Calibri" w:cs="Calibri"/>
        </w:rPr>
        <w:t xml:space="preserve">) were measured using ImageJ. Statistical analysis was performed using unpaired student’s </w:t>
      </w:r>
      <w:r w:rsidRPr="008A615C">
        <w:rPr>
          <w:rFonts w:ascii="Calibri" w:hAnsi="Calibri" w:cs="Calibri"/>
          <w:i/>
          <w:iCs/>
        </w:rPr>
        <w:t>t</w:t>
      </w:r>
      <w:r w:rsidRPr="008A615C">
        <w:rPr>
          <w:rFonts w:ascii="Calibri" w:hAnsi="Calibri" w:cs="Calibri"/>
        </w:rPr>
        <w:t>-test.</w:t>
      </w:r>
    </w:p>
    <w:p w14:paraId="3BCE5052" w14:textId="77777777" w:rsidR="005F39F6" w:rsidRPr="008A615C" w:rsidRDefault="005F39F6" w:rsidP="008A615C">
      <w:pPr>
        <w:spacing w:after="0" w:line="480" w:lineRule="auto"/>
        <w:rPr>
          <w:rFonts w:ascii="Calibri" w:hAnsi="Calibri" w:cs="Calibri"/>
          <w:b/>
          <w:bCs/>
          <w:color w:val="000000" w:themeColor="text1"/>
        </w:rPr>
      </w:pPr>
    </w:p>
    <w:p w14:paraId="5A552E01" w14:textId="325E69D5" w:rsidR="005F39F6" w:rsidRPr="008A615C" w:rsidRDefault="008A615C" w:rsidP="008A615C">
      <w:pPr>
        <w:spacing w:after="0" w:line="480" w:lineRule="auto"/>
        <w:rPr>
          <w:rFonts w:ascii="Calibri" w:hAnsi="Calibri" w:cs="Calibri"/>
          <w:b/>
          <w:bCs/>
          <w:color w:val="000000" w:themeColor="text1"/>
        </w:rPr>
      </w:pPr>
      <w:r>
        <w:rPr>
          <w:rFonts w:ascii="Calibri" w:hAnsi="Calibri" w:cs="Calibri"/>
          <w:b/>
          <w:bCs/>
          <w:color w:val="000000" w:themeColor="text1"/>
        </w:rPr>
        <w:t>SUPPLEMENTAL RESULTS</w:t>
      </w:r>
    </w:p>
    <w:p w14:paraId="31A9A560" w14:textId="3A352CF0" w:rsidR="005F39F6" w:rsidRPr="008A615C" w:rsidRDefault="005F39F6" w:rsidP="008A615C">
      <w:pPr>
        <w:spacing w:after="0" w:line="480" w:lineRule="auto"/>
        <w:rPr>
          <w:rFonts w:ascii="Calibri" w:hAnsi="Calibri" w:cs="Calibri"/>
          <w:b/>
          <w:bCs/>
          <w:color w:val="000000" w:themeColor="text1"/>
        </w:rPr>
      </w:pPr>
      <w:r w:rsidRPr="008A615C">
        <w:rPr>
          <w:rFonts w:ascii="Calibri" w:hAnsi="Calibri" w:cs="Calibri"/>
          <w:b/>
          <w:bCs/>
          <w:color w:val="000000" w:themeColor="text1"/>
        </w:rPr>
        <w:t>Relationship between hearing and factors related to GACI status</w:t>
      </w:r>
    </w:p>
    <w:p w14:paraId="2509D695" w14:textId="5B9EFC1E" w:rsidR="004C6EA4" w:rsidRPr="008A615C" w:rsidRDefault="004C6EA4" w:rsidP="008A615C">
      <w:pPr>
        <w:spacing w:after="0" w:line="480" w:lineRule="auto"/>
        <w:rPr>
          <w:rFonts w:ascii="Calibri" w:hAnsi="Calibri" w:cs="Calibri"/>
          <w:b/>
          <w:bCs/>
        </w:rPr>
      </w:pPr>
      <w:r w:rsidRPr="008A615C">
        <w:rPr>
          <w:rFonts w:ascii="Calibri" w:hAnsi="Calibri" w:cs="Calibri"/>
          <w:color w:val="000000" w:themeColor="text1"/>
        </w:rPr>
        <w:t xml:space="preserve">For purposes of Spearman correlation, the patient with EVA and pathogenic variants in </w:t>
      </w:r>
      <w:r w:rsidRPr="008A615C">
        <w:rPr>
          <w:rFonts w:ascii="Calibri" w:hAnsi="Calibri" w:cs="Calibri"/>
          <w:i/>
          <w:iCs/>
          <w:color w:val="000000" w:themeColor="text1"/>
        </w:rPr>
        <w:t>SLC26A4</w:t>
      </w:r>
      <w:r w:rsidRPr="008A615C">
        <w:rPr>
          <w:rFonts w:ascii="Calibri" w:hAnsi="Calibri" w:cs="Calibri"/>
          <w:color w:val="000000" w:themeColor="text1"/>
        </w:rPr>
        <w:t xml:space="preserve"> was excluded from analysis</w:t>
      </w:r>
      <w:r w:rsidRPr="008A615C">
        <w:rPr>
          <w:rFonts w:ascii="Calibri" w:hAnsi="Calibri" w:cs="Calibri"/>
          <w:b/>
          <w:bCs/>
          <w:color w:val="000000" w:themeColor="text1"/>
        </w:rPr>
        <w:t>.</w:t>
      </w:r>
    </w:p>
    <w:p w14:paraId="5D2128CA" w14:textId="77777777" w:rsidR="004C6EA4" w:rsidRPr="008A615C" w:rsidRDefault="004C6EA4" w:rsidP="008A615C">
      <w:pPr>
        <w:spacing w:after="0" w:line="480" w:lineRule="auto"/>
        <w:rPr>
          <w:rFonts w:ascii="Calibri" w:hAnsi="Calibri" w:cs="Calibri"/>
          <w:b/>
          <w:bCs/>
          <w:color w:val="000000" w:themeColor="text1"/>
        </w:rPr>
      </w:pPr>
    </w:p>
    <w:p w14:paraId="02D67462" w14:textId="78AB4273" w:rsidR="005F39F6" w:rsidRPr="008A615C" w:rsidRDefault="005F39F6" w:rsidP="008A615C">
      <w:pPr>
        <w:spacing w:after="0" w:line="480" w:lineRule="auto"/>
        <w:rPr>
          <w:rFonts w:ascii="Calibri" w:hAnsi="Calibri" w:cs="Calibri"/>
          <w:b/>
          <w:bCs/>
          <w:color w:val="000000" w:themeColor="text1"/>
        </w:rPr>
      </w:pPr>
      <w:r w:rsidRPr="008A615C">
        <w:rPr>
          <w:rFonts w:ascii="Calibri" w:hAnsi="Calibri" w:cs="Calibri"/>
          <w:b/>
          <w:bCs/>
          <w:color w:val="000000" w:themeColor="text1"/>
        </w:rPr>
        <w:t>FGF23</w:t>
      </w:r>
    </w:p>
    <w:p w14:paraId="783B7B3C" w14:textId="7D662A9E"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 xml:space="preserve">Intact FGF23 (iFGF23) was measured in 91.3% (21/23) of all GACI patients and 75% (6/8) of those with hearing impairment. The median iFGF23 value in all patients was 75 </w:t>
      </w:r>
      <w:proofErr w:type="spellStart"/>
      <w:r w:rsidRPr="008A615C">
        <w:rPr>
          <w:rFonts w:ascii="Calibri" w:hAnsi="Calibri" w:cs="Calibri"/>
          <w:color w:val="000000" w:themeColor="text1"/>
        </w:rPr>
        <w:t>pg</w:t>
      </w:r>
      <w:proofErr w:type="spellEnd"/>
      <w:r w:rsidRPr="008A615C">
        <w:rPr>
          <w:rFonts w:ascii="Calibri" w:hAnsi="Calibri" w:cs="Calibri"/>
          <w:color w:val="000000" w:themeColor="text1"/>
        </w:rPr>
        <w:t xml:space="preserve">/mL (range 13-168) and the median iFGF23 in HL patients was 83.5 </w:t>
      </w:r>
      <w:proofErr w:type="spellStart"/>
      <w:r w:rsidRPr="008A615C">
        <w:rPr>
          <w:rFonts w:ascii="Calibri" w:hAnsi="Calibri" w:cs="Calibri"/>
          <w:color w:val="000000" w:themeColor="text1"/>
        </w:rPr>
        <w:t>pg</w:t>
      </w:r>
      <w:proofErr w:type="spellEnd"/>
      <w:r w:rsidRPr="008A615C">
        <w:rPr>
          <w:rFonts w:ascii="Calibri" w:hAnsi="Calibri" w:cs="Calibri"/>
          <w:color w:val="000000" w:themeColor="text1"/>
        </w:rPr>
        <w:t xml:space="preserve">/mL (range 29-148); normal values for iFGF23 are typically between 22-63 </w:t>
      </w:r>
      <w:proofErr w:type="spellStart"/>
      <w:r w:rsidRPr="008A615C">
        <w:rPr>
          <w:rFonts w:ascii="Calibri" w:hAnsi="Calibri" w:cs="Calibri"/>
          <w:color w:val="000000" w:themeColor="text1"/>
        </w:rPr>
        <w:t>pg</w:t>
      </w:r>
      <w:proofErr w:type="spellEnd"/>
      <w:r w:rsidRPr="008A615C">
        <w:rPr>
          <w:rFonts w:ascii="Calibri" w:hAnsi="Calibri" w:cs="Calibri"/>
          <w:color w:val="000000" w:themeColor="text1"/>
        </w:rPr>
        <w:t>/</w:t>
      </w:r>
      <w:proofErr w:type="spellStart"/>
      <w:r w:rsidRPr="008A615C">
        <w:rPr>
          <w:rFonts w:ascii="Calibri" w:hAnsi="Calibri" w:cs="Calibri"/>
          <w:color w:val="000000" w:themeColor="text1"/>
        </w:rPr>
        <w:t>mL.</w:t>
      </w:r>
      <w:proofErr w:type="spellEnd"/>
      <w:r w:rsidRPr="008A615C">
        <w:rPr>
          <w:rFonts w:ascii="Calibri" w:hAnsi="Calibri" w:cs="Calibri"/>
          <w:color w:val="000000" w:themeColor="text1"/>
        </w:rPr>
        <w:t xml:space="preserve"> Thirteen patients had intact FGF23 results and complete audiograms. </w:t>
      </w:r>
      <w:r w:rsidR="008734AB" w:rsidRPr="008A615C">
        <w:rPr>
          <w:rFonts w:ascii="Calibri" w:hAnsi="Calibri" w:cs="Calibri"/>
          <w:color w:val="000000" w:themeColor="text1"/>
        </w:rPr>
        <w:t xml:space="preserve">One patient was excluded from analysis due to bilateral EVA and pathogenic variants in </w:t>
      </w:r>
      <w:r w:rsidR="008734AB" w:rsidRPr="008A615C">
        <w:rPr>
          <w:rFonts w:ascii="Calibri" w:hAnsi="Calibri" w:cs="Calibri"/>
          <w:i/>
          <w:iCs/>
          <w:color w:val="000000" w:themeColor="text1"/>
        </w:rPr>
        <w:t>SLC26A4</w:t>
      </w:r>
      <w:r w:rsidR="008734AB" w:rsidRPr="008A615C">
        <w:rPr>
          <w:rFonts w:ascii="Calibri" w:hAnsi="Calibri" w:cs="Calibri"/>
          <w:color w:val="000000" w:themeColor="text1"/>
        </w:rPr>
        <w:t xml:space="preserve">. </w:t>
      </w:r>
      <w:r w:rsidRPr="008A615C">
        <w:rPr>
          <w:rFonts w:ascii="Calibri" w:hAnsi="Calibri" w:cs="Calibri"/>
          <w:color w:val="000000" w:themeColor="text1"/>
        </w:rPr>
        <w:t xml:space="preserve">Spearman correlation did not reveal any significant association </w:t>
      </w:r>
      <w:r w:rsidR="00424472" w:rsidRPr="008A615C">
        <w:rPr>
          <w:rFonts w:ascii="Calibri" w:hAnsi="Calibri" w:cs="Calibri"/>
          <w:color w:val="000000" w:themeColor="text1"/>
        </w:rPr>
        <w:t xml:space="preserve">between intact FGF23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AC 4F-PTA (p=0.46).</w:t>
      </w:r>
    </w:p>
    <w:p w14:paraId="1CF3B060" w14:textId="251A28DB"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 xml:space="preserve">C-terminal FGF23 (cFGF23) was measured in 73.9% (17/23) of all patients and 87.5% (7/8) of those with HL. Excluding one patient with extremely elevated cFGF23 due to prior burosumab use, the median cFGF23 was 167 RU/mL (range 73-426) and the median in HL patients was 176 (range 138 to 143); normal values for cFGF23 are below or equal to 230 RU/mL in children and &lt;=180 RU/mL in adults. </w:t>
      </w:r>
      <w:r w:rsidRPr="008A615C">
        <w:rPr>
          <w:rFonts w:ascii="Calibri" w:hAnsi="Calibri" w:cs="Calibri"/>
          <w:color w:val="000000" w:themeColor="text1"/>
        </w:rPr>
        <w:lastRenderedPageBreak/>
        <w:t>Eleven patients had cFGF23 results and complete audiograms. Excluding one patient with prior burosumab use</w:t>
      </w:r>
      <w:r w:rsidR="009F6CC5" w:rsidRPr="008A615C">
        <w:rPr>
          <w:rFonts w:ascii="Calibri" w:hAnsi="Calibri" w:cs="Calibri"/>
          <w:color w:val="000000" w:themeColor="text1"/>
        </w:rPr>
        <w:t xml:space="preserve"> and </w:t>
      </w:r>
      <w:r w:rsidR="004C6EA4" w:rsidRPr="008A615C">
        <w:rPr>
          <w:rFonts w:ascii="Calibri" w:hAnsi="Calibri" w:cs="Calibri"/>
          <w:color w:val="000000" w:themeColor="text1"/>
        </w:rPr>
        <w:t xml:space="preserve">the patient with bilateral EVA, </w:t>
      </w:r>
      <w:r w:rsidRPr="008A615C">
        <w:rPr>
          <w:rFonts w:ascii="Calibri" w:hAnsi="Calibri" w:cs="Calibri"/>
          <w:color w:val="000000" w:themeColor="text1"/>
        </w:rPr>
        <w:t xml:space="preserve">Spearman correlation between cFGF23 levels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AC 4F-PTA was not significant (p=0.</w:t>
      </w:r>
      <w:r w:rsidR="008734AB" w:rsidRPr="008A615C">
        <w:rPr>
          <w:rFonts w:ascii="Calibri" w:hAnsi="Calibri" w:cs="Calibri"/>
          <w:color w:val="000000" w:themeColor="text1"/>
        </w:rPr>
        <w:t>35</w:t>
      </w:r>
      <w:r w:rsidRPr="008A615C">
        <w:rPr>
          <w:rFonts w:ascii="Calibri" w:hAnsi="Calibri" w:cs="Calibri"/>
          <w:color w:val="000000" w:themeColor="text1"/>
        </w:rPr>
        <w:t xml:space="preserve">). </w:t>
      </w:r>
    </w:p>
    <w:p w14:paraId="4BC21BEE" w14:textId="77777777" w:rsidR="005F39F6" w:rsidRPr="008A615C" w:rsidRDefault="005F39F6" w:rsidP="008A615C">
      <w:pPr>
        <w:spacing w:after="0" w:line="480" w:lineRule="auto"/>
        <w:rPr>
          <w:rFonts w:ascii="Calibri" w:hAnsi="Calibri" w:cs="Calibri"/>
          <w:b/>
          <w:bCs/>
          <w:color w:val="000000" w:themeColor="text1"/>
        </w:rPr>
      </w:pPr>
    </w:p>
    <w:p w14:paraId="70B6571E" w14:textId="77777777" w:rsidR="005F39F6" w:rsidRPr="008A615C" w:rsidRDefault="005F39F6" w:rsidP="008A615C">
      <w:pPr>
        <w:spacing w:after="0" w:line="480" w:lineRule="auto"/>
        <w:rPr>
          <w:rFonts w:ascii="Calibri" w:hAnsi="Calibri" w:cs="Calibri"/>
          <w:color w:val="000000" w:themeColor="text1"/>
        </w:rPr>
      </w:pPr>
      <w:r w:rsidRPr="008A615C">
        <w:rPr>
          <w:rFonts w:ascii="Calibri" w:hAnsi="Calibri" w:cs="Calibri"/>
          <w:b/>
          <w:bCs/>
          <w:color w:val="000000" w:themeColor="text1"/>
        </w:rPr>
        <w:t>Hypophosphatemia</w:t>
      </w:r>
    </w:p>
    <w:p w14:paraId="1E391C0D" w14:textId="3E9E4630"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 xml:space="preserve">60.9% (14/23) of all GACI patients were diagnosed with hypophosphatemia while 75% (6/8) of HL patients were diagnosed with hypophosphatemia. Plasma phosphate levels obtained at the time of audiology visit were normalized to Z-scores using the provided normal range. The median phosphate Z-score in all 23 patients was </w:t>
      </w:r>
      <w:r w:rsidR="00EC1B55" w:rsidRPr="008A615C">
        <w:rPr>
          <w:rFonts w:ascii="Calibri" w:hAnsi="Calibri" w:cs="Calibri"/>
          <w:color w:val="000000" w:themeColor="text1"/>
        </w:rPr>
        <w:t>-</w:t>
      </w:r>
      <w:r w:rsidRPr="008A615C">
        <w:rPr>
          <w:rFonts w:ascii="Calibri" w:hAnsi="Calibri" w:cs="Calibri"/>
          <w:color w:val="000000" w:themeColor="text1"/>
        </w:rPr>
        <w:t xml:space="preserve">2.3 (-5.2 </w:t>
      </w:r>
      <w:r w:rsidR="00EC1B55" w:rsidRPr="008A615C">
        <w:rPr>
          <w:rFonts w:ascii="Calibri" w:hAnsi="Calibri" w:cs="Calibri"/>
          <w:color w:val="000000" w:themeColor="text1"/>
        </w:rPr>
        <w:t>to</w:t>
      </w:r>
      <w:r w:rsidRPr="008A615C">
        <w:rPr>
          <w:rFonts w:ascii="Calibri" w:hAnsi="Calibri" w:cs="Calibri"/>
          <w:color w:val="000000" w:themeColor="text1"/>
        </w:rPr>
        <w:t xml:space="preserve"> 1.4). The median phosphate Z-score in HL individuals was -2.4 (-5.2</w:t>
      </w:r>
      <w:r w:rsidR="00EC1B55" w:rsidRPr="008A615C">
        <w:rPr>
          <w:rFonts w:ascii="Calibri" w:hAnsi="Calibri" w:cs="Calibri"/>
          <w:color w:val="000000" w:themeColor="text1"/>
        </w:rPr>
        <w:t xml:space="preserve"> to</w:t>
      </w:r>
      <w:r w:rsidRPr="008A615C">
        <w:rPr>
          <w:rFonts w:ascii="Calibri" w:hAnsi="Calibri" w:cs="Calibri"/>
          <w:color w:val="000000" w:themeColor="text1"/>
        </w:rPr>
        <w:t xml:space="preserve"> -0.8). Spearman correlation between phosphate Z-scores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AC 4F-PTA was not significant (p=0.</w:t>
      </w:r>
      <w:r w:rsidR="004C6EA4" w:rsidRPr="008A615C">
        <w:rPr>
          <w:rFonts w:ascii="Calibri" w:hAnsi="Calibri" w:cs="Calibri"/>
          <w:color w:val="000000" w:themeColor="text1"/>
        </w:rPr>
        <w:t>75</w:t>
      </w:r>
      <w:r w:rsidRPr="008A615C">
        <w:rPr>
          <w:rFonts w:ascii="Calibri" w:hAnsi="Calibri" w:cs="Calibri"/>
          <w:color w:val="000000" w:themeColor="text1"/>
        </w:rPr>
        <w:t>).</w:t>
      </w:r>
    </w:p>
    <w:p w14:paraId="0FF5E5D5" w14:textId="77777777" w:rsidR="005F39F6" w:rsidRPr="008A615C" w:rsidRDefault="005F39F6" w:rsidP="008A615C">
      <w:pPr>
        <w:spacing w:after="0" w:line="480" w:lineRule="auto"/>
        <w:rPr>
          <w:rFonts w:ascii="Calibri" w:hAnsi="Calibri" w:cs="Calibri"/>
          <w:b/>
          <w:bCs/>
          <w:color w:val="000000" w:themeColor="text1"/>
        </w:rPr>
      </w:pPr>
    </w:p>
    <w:p w14:paraId="677EDE50" w14:textId="77777777" w:rsidR="005F39F6" w:rsidRPr="008A615C" w:rsidRDefault="005F39F6" w:rsidP="008A615C">
      <w:pPr>
        <w:spacing w:after="0" w:line="480" w:lineRule="auto"/>
        <w:rPr>
          <w:rFonts w:ascii="Calibri" w:hAnsi="Calibri" w:cs="Calibri"/>
          <w:b/>
          <w:bCs/>
          <w:color w:val="000000" w:themeColor="text1"/>
        </w:rPr>
      </w:pPr>
      <w:r w:rsidRPr="008A615C">
        <w:rPr>
          <w:rFonts w:ascii="Calibri" w:hAnsi="Calibri" w:cs="Calibri"/>
          <w:b/>
          <w:bCs/>
          <w:color w:val="000000" w:themeColor="text1"/>
        </w:rPr>
        <w:t>Treatment of Hypophosphatemic Rickets</w:t>
      </w:r>
    </w:p>
    <w:p w14:paraId="09239D46" w14:textId="3896D059"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Rickets treatment with calcitriol and phosphorus supplementation was administered in 56.2% (13/23) of all patients and 75% (6/8) in all HL patients. Of those receiving rickets treatment, the median age of initiation was 6.7 years in all patients and 6.3 years in all HL patients. Twelve patients had records of rickets treatment and complete audiograms; Spearman correlation between age of rickets treatment initiation and binaural AC 4F-PTA was not significant (p=0.35).</w:t>
      </w:r>
    </w:p>
    <w:p w14:paraId="365543B9" w14:textId="178CC3C4"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In patients receiving treatment for rickets, the median duration of treatment, from initiation to time of most recent audiologic evaluation, was 1.</w:t>
      </w:r>
      <w:r w:rsidR="00E73715" w:rsidRPr="008A615C">
        <w:rPr>
          <w:rFonts w:ascii="Calibri" w:hAnsi="Calibri" w:cs="Calibri"/>
          <w:color w:val="000000" w:themeColor="text1"/>
        </w:rPr>
        <w:t>6</w:t>
      </w:r>
      <w:r w:rsidRPr="008A615C">
        <w:rPr>
          <w:rFonts w:ascii="Calibri" w:hAnsi="Calibri" w:cs="Calibri"/>
          <w:color w:val="000000" w:themeColor="text1"/>
        </w:rPr>
        <w:t xml:space="preserve"> years (range 0.1</w:t>
      </w:r>
      <w:r w:rsidR="00E73715" w:rsidRPr="008A615C">
        <w:rPr>
          <w:rFonts w:ascii="Calibri" w:hAnsi="Calibri" w:cs="Calibri"/>
          <w:color w:val="000000" w:themeColor="text1"/>
        </w:rPr>
        <w:t>3</w:t>
      </w:r>
      <w:r w:rsidRPr="008A615C">
        <w:rPr>
          <w:rFonts w:ascii="Calibri" w:hAnsi="Calibri" w:cs="Calibri"/>
          <w:color w:val="000000" w:themeColor="text1"/>
        </w:rPr>
        <w:t xml:space="preserve">-29.7). Spearman correlation between duration of rickets treatment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AC 4F-PTA was not significant (p=0.26).</w:t>
      </w:r>
    </w:p>
    <w:p w14:paraId="0013DA04" w14:textId="77777777" w:rsidR="005F39F6" w:rsidRPr="008A615C" w:rsidRDefault="005F39F6" w:rsidP="008A615C">
      <w:pPr>
        <w:spacing w:after="0" w:line="480" w:lineRule="auto"/>
        <w:rPr>
          <w:rFonts w:ascii="Calibri" w:hAnsi="Calibri" w:cs="Calibri"/>
          <w:b/>
          <w:bCs/>
          <w:color w:val="000000" w:themeColor="text1"/>
        </w:rPr>
      </w:pPr>
    </w:p>
    <w:p w14:paraId="149F7BB6" w14:textId="77777777" w:rsidR="005F39F6" w:rsidRPr="008A615C" w:rsidRDefault="005F39F6" w:rsidP="008A615C">
      <w:pPr>
        <w:spacing w:after="0" w:line="480" w:lineRule="auto"/>
        <w:rPr>
          <w:rFonts w:ascii="Calibri" w:hAnsi="Calibri" w:cs="Calibri"/>
          <w:b/>
          <w:bCs/>
          <w:color w:val="000000" w:themeColor="text1"/>
        </w:rPr>
      </w:pPr>
      <w:r w:rsidRPr="008A615C">
        <w:rPr>
          <w:rFonts w:ascii="Calibri" w:hAnsi="Calibri" w:cs="Calibri"/>
          <w:b/>
          <w:bCs/>
          <w:color w:val="000000" w:themeColor="text1"/>
        </w:rPr>
        <w:t>Cardiovascular burden of disease</w:t>
      </w:r>
    </w:p>
    <w:p w14:paraId="4559A7B2" w14:textId="77777777" w:rsidR="005F39F6" w:rsidRPr="008A615C" w:rsidRDefault="005F39F6" w:rsidP="008A615C">
      <w:pPr>
        <w:spacing w:after="0" w:line="480" w:lineRule="auto"/>
        <w:rPr>
          <w:rFonts w:ascii="Calibri" w:hAnsi="Calibri" w:cs="Calibri"/>
          <w:color w:val="000000" w:themeColor="text1"/>
          <w:u w:val="single"/>
        </w:rPr>
      </w:pPr>
      <w:r w:rsidRPr="008A615C">
        <w:rPr>
          <w:rFonts w:ascii="Calibri" w:hAnsi="Calibri" w:cs="Calibri"/>
          <w:color w:val="000000" w:themeColor="text1"/>
          <w:u w:val="single"/>
        </w:rPr>
        <w:t>Age of onset of calcification</w:t>
      </w:r>
    </w:p>
    <w:p w14:paraId="1B83301A" w14:textId="637DD327"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lastRenderedPageBreak/>
        <w:t xml:space="preserve">Thirteen patients had information about age of calcification onset and complete audiology evaluations. </w:t>
      </w:r>
      <w:r w:rsidR="00EA0D86" w:rsidRPr="008A615C">
        <w:rPr>
          <w:rFonts w:ascii="Calibri" w:hAnsi="Calibri" w:cs="Calibri"/>
          <w:color w:val="000000" w:themeColor="text1"/>
        </w:rPr>
        <w:t xml:space="preserve">Excluding the EVA patient, </w:t>
      </w:r>
      <w:r w:rsidRPr="008A615C">
        <w:rPr>
          <w:rFonts w:ascii="Calibri" w:hAnsi="Calibri" w:cs="Calibri"/>
          <w:color w:val="000000" w:themeColor="text1"/>
        </w:rPr>
        <w:t xml:space="preserve">Spearman correlation between age of calcification onset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 xml:space="preserve">binaural AC 4F-PTA was </w:t>
      </w:r>
      <w:r w:rsidR="009F6CC5" w:rsidRPr="008A615C">
        <w:rPr>
          <w:rFonts w:ascii="Calibri" w:hAnsi="Calibri" w:cs="Calibri"/>
          <w:color w:val="000000" w:themeColor="text1"/>
        </w:rPr>
        <w:t xml:space="preserve">not </w:t>
      </w:r>
      <w:r w:rsidRPr="008A615C">
        <w:rPr>
          <w:rFonts w:ascii="Calibri" w:hAnsi="Calibri" w:cs="Calibri"/>
          <w:color w:val="000000" w:themeColor="text1"/>
        </w:rPr>
        <w:t>significant (p=0.</w:t>
      </w:r>
      <w:r w:rsidR="009F6CC5" w:rsidRPr="008A615C">
        <w:rPr>
          <w:rFonts w:ascii="Calibri" w:hAnsi="Calibri" w:cs="Calibri"/>
          <w:color w:val="000000" w:themeColor="text1"/>
        </w:rPr>
        <w:t>1</w:t>
      </w:r>
      <w:r w:rsidR="00EA0D86" w:rsidRPr="008A615C">
        <w:rPr>
          <w:rFonts w:ascii="Calibri" w:hAnsi="Calibri" w:cs="Calibri"/>
          <w:color w:val="000000" w:themeColor="text1"/>
        </w:rPr>
        <w:t>1</w:t>
      </w:r>
      <w:r w:rsidRPr="008A615C">
        <w:rPr>
          <w:rFonts w:ascii="Calibri" w:hAnsi="Calibri" w:cs="Calibri"/>
          <w:color w:val="000000" w:themeColor="text1"/>
        </w:rPr>
        <w:t>).</w:t>
      </w:r>
      <w:r w:rsidR="00EA0D86" w:rsidRPr="008A615C">
        <w:rPr>
          <w:rFonts w:ascii="Calibri" w:hAnsi="Calibri" w:cs="Calibri"/>
          <w:color w:val="000000" w:themeColor="text1"/>
        </w:rPr>
        <w:t xml:space="preserve"> </w:t>
      </w:r>
    </w:p>
    <w:p w14:paraId="4A5E39FB" w14:textId="77777777" w:rsidR="003C720D" w:rsidRPr="008A615C" w:rsidRDefault="003C720D" w:rsidP="008A615C">
      <w:pPr>
        <w:spacing w:after="0" w:line="480" w:lineRule="auto"/>
        <w:rPr>
          <w:rFonts w:ascii="Calibri" w:hAnsi="Calibri" w:cs="Calibri"/>
          <w:color w:val="000000" w:themeColor="text1"/>
          <w:u w:val="single"/>
        </w:rPr>
      </w:pPr>
    </w:p>
    <w:p w14:paraId="12D90DF2" w14:textId="38C3CB62" w:rsidR="005F39F6" w:rsidRPr="008A615C" w:rsidRDefault="005F39F6" w:rsidP="008A615C">
      <w:pPr>
        <w:spacing w:after="0" w:line="480" w:lineRule="auto"/>
        <w:rPr>
          <w:rFonts w:ascii="Calibri" w:hAnsi="Calibri" w:cs="Calibri"/>
          <w:color w:val="000000" w:themeColor="text1"/>
          <w:u w:val="single"/>
        </w:rPr>
      </w:pPr>
      <w:r w:rsidRPr="008A615C">
        <w:rPr>
          <w:rFonts w:ascii="Calibri" w:hAnsi="Calibri" w:cs="Calibri"/>
          <w:color w:val="000000" w:themeColor="text1"/>
          <w:u w:val="single"/>
        </w:rPr>
        <w:t>Number of ongoing and resolved antihypertensive and/or heart failure medications</w:t>
      </w:r>
    </w:p>
    <w:p w14:paraId="2BF8AEBE" w14:textId="16BFA103" w:rsidR="005F39F6"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 xml:space="preserve">Fifteen patients had medication information and complete audiology evaluations. Spearman correlation between number of ongoing and resolved antihypertensive and/or heart failure medications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AC 4F-PTA was not significant (p=0.</w:t>
      </w:r>
      <w:r w:rsidR="00EA0D86" w:rsidRPr="008A615C">
        <w:rPr>
          <w:rFonts w:ascii="Calibri" w:hAnsi="Calibri" w:cs="Calibri"/>
          <w:color w:val="000000" w:themeColor="text1"/>
        </w:rPr>
        <w:t>53,</w:t>
      </w:r>
      <w:r w:rsidRPr="008A615C">
        <w:rPr>
          <w:rFonts w:ascii="Calibri" w:hAnsi="Calibri" w:cs="Calibri"/>
          <w:color w:val="000000" w:themeColor="text1"/>
        </w:rPr>
        <w:t xml:space="preserve"> p=0.</w:t>
      </w:r>
      <w:r w:rsidR="00EA0D86" w:rsidRPr="008A615C">
        <w:rPr>
          <w:rFonts w:ascii="Calibri" w:hAnsi="Calibri" w:cs="Calibri"/>
          <w:color w:val="000000" w:themeColor="text1"/>
        </w:rPr>
        <w:t>98</w:t>
      </w:r>
      <w:r w:rsidRPr="008A615C">
        <w:rPr>
          <w:rFonts w:ascii="Calibri" w:hAnsi="Calibri" w:cs="Calibri"/>
          <w:color w:val="000000" w:themeColor="text1"/>
        </w:rPr>
        <w:t xml:space="preserve"> respectively).</w:t>
      </w:r>
    </w:p>
    <w:p w14:paraId="7E5480D7" w14:textId="77777777" w:rsidR="005F39F6" w:rsidRPr="008A615C" w:rsidRDefault="005F39F6" w:rsidP="008A615C">
      <w:pPr>
        <w:spacing w:after="0" w:line="480" w:lineRule="auto"/>
        <w:rPr>
          <w:rFonts w:ascii="Calibri" w:hAnsi="Calibri" w:cs="Calibri"/>
          <w:b/>
          <w:bCs/>
          <w:color w:val="000000" w:themeColor="text1"/>
        </w:rPr>
      </w:pPr>
    </w:p>
    <w:p w14:paraId="0ADFC5CC" w14:textId="77777777" w:rsidR="005F39F6" w:rsidRPr="008A615C" w:rsidRDefault="005F39F6" w:rsidP="008A615C">
      <w:pPr>
        <w:spacing w:after="0" w:line="480" w:lineRule="auto"/>
        <w:rPr>
          <w:rFonts w:ascii="Calibri" w:hAnsi="Calibri" w:cs="Calibri"/>
          <w:b/>
          <w:bCs/>
          <w:color w:val="000000" w:themeColor="text1"/>
        </w:rPr>
      </w:pPr>
      <w:r w:rsidRPr="008A615C">
        <w:rPr>
          <w:rFonts w:ascii="Calibri" w:hAnsi="Calibri" w:cs="Calibri"/>
          <w:b/>
          <w:bCs/>
          <w:color w:val="000000" w:themeColor="text1"/>
        </w:rPr>
        <w:t>Bisphosphonate (BP) use</w:t>
      </w:r>
    </w:p>
    <w:p w14:paraId="1F264839" w14:textId="3B747703" w:rsidR="009B7DF5" w:rsidRPr="008A615C" w:rsidRDefault="005F39F6" w:rsidP="008A615C">
      <w:pPr>
        <w:spacing w:after="0" w:line="480" w:lineRule="auto"/>
        <w:ind w:firstLine="720"/>
        <w:rPr>
          <w:rFonts w:ascii="Calibri" w:hAnsi="Calibri" w:cs="Calibri"/>
          <w:color w:val="000000" w:themeColor="text1"/>
        </w:rPr>
      </w:pPr>
      <w:r w:rsidRPr="008A615C">
        <w:rPr>
          <w:rFonts w:ascii="Calibri" w:hAnsi="Calibri" w:cs="Calibri"/>
          <w:color w:val="000000" w:themeColor="text1"/>
        </w:rPr>
        <w:t xml:space="preserve">The prevalence of BP use is 60.9% (14/23) in all GACI patients and 50% (4/8) in all HL patients. Of those receiving BPs, the median age of initiation was 20 days in all patients and 25 days in HL patients; the mean duration of BP use is 16.4 months in all patients, and 12.5 months in HL patients. Administered BPs included etidronate (10 patients), pamidronate (8 patients), and risedronate (1 patient); some patients received more than one type of bisphosphonate during their lifetimes. Eight patients had records of BP initiation and complete audiograms. Spearman correlation between age of BP initiation and duration of use and </w:t>
      </w:r>
      <w:r w:rsidR="007E60A1" w:rsidRPr="008A615C">
        <w:rPr>
          <w:rFonts w:ascii="Calibri" w:hAnsi="Calibri" w:cs="Calibri"/>
          <w:color w:val="000000" w:themeColor="text1"/>
        </w:rPr>
        <w:t xml:space="preserve">average of </w:t>
      </w:r>
      <w:r w:rsidRPr="008A615C">
        <w:rPr>
          <w:rFonts w:ascii="Calibri" w:hAnsi="Calibri" w:cs="Calibri"/>
          <w:color w:val="000000" w:themeColor="text1"/>
        </w:rPr>
        <w:t>binaural 4F-PTAs was not significant (p=0.55</w:t>
      </w:r>
      <w:r w:rsidR="00050634" w:rsidRPr="008A615C">
        <w:rPr>
          <w:rFonts w:ascii="Calibri" w:hAnsi="Calibri" w:cs="Calibri"/>
          <w:color w:val="000000" w:themeColor="text1"/>
        </w:rPr>
        <w:t xml:space="preserve"> and</w:t>
      </w:r>
      <w:r w:rsidRPr="008A615C">
        <w:rPr>
          <w:rFonts w:ascii="Calibri" w:hAnsi="Calibri" w:cs="Calibri"/>
          <w:color w:val="000000" w:themeColor="text1"/>
        </w:rPr>
        <w:t xml:space="preserve"> </w:t>
      </w:r>
      <w:r w:rsidR="00050634" w:rsidRPr="008A615C">
        <w:rPr>
          <w:rFonts w:ascii="Calibri" w:hAnsi="Calibri" w:cs="Calibri"/>
          <w:color w:val="000000" w:themeColor="text1"/>
        </w:rPr>
        <w:t>p=</w:t>
      </w:r>
      <w:r w:rsidRPr="008A615C">
        <w:rPr>
          <w:rFonts w:ascii="Calibri" w:hAnsi="Calibri" w:cs="Calibri"/>
          <w:color w:val="000000" w:themeColor="text1"/>
        </w:rPr>
        <w:t xml:space="preserve">0.94, respectively). </w:t>
      </w:r>
    </w:p>
    <w:p w14:paraId="21C1BF0C" w14:textId="77777777" w:rsidR="00431EE5" w:rsidRPr="008A615C" w:rsidRDefault="00431EE5" w:rsidP="008A615C">
      <w:pPr>
        <w:spacing w:after="0" w:line="480" w:lineRule="auto"/>
        <w:rPr>
          <w:rFonts w:ascii="Calibri" w:hAnsi="Calibri" w:cs="Calibri"/>
          <w:b/>
          <w:bCs/>
          <w:color w:val="000000" w:themeColor="text1"/>
          <w:sz w:val="32"/>
          <w:szCs w:val="32"/>
        </w:rPr>
      </w:pPr>
    </w:p>
    <w:p w14:paraId="1074BAA7" w14:textId="77777777" w:rsidR="00207503" w:rsidRPr="008A615C" w:rsidRDefault="00207503" w:rsidP="008A615C">
      <w:pPr>
        <w:spacing w:after="0" w:line="480" w:lineRule="auto"/>
        <w:rPr>
          <w:rFonts w:ascii="Calibri" w:hAnsi="Calibri" w:cs="Calibri"/>
          <w:color w:val="000000" w:themeColor="text1"/>
          <w:sz w:val="28"/>
          <w:szCs w:val="28"/>
        </w:rPr>
      </w:pPr>
    </w:p>
    <w:p w14:paraId="2B8447B3" w14:textId="77777777" w:rsidR="00E749F1" w:rsidRPr="008A615C" w:rsidRDefault="00E749F1" w:rsidP="008A615C">
      <w:pPr>
        <w:spacing w:after="0" w:line="480" w:lineRule="auto"/>
        <w:rPr>
          <w:rFonts w:ascii="Calibri" w:hAnsi="Calibri" w:cs="Calibri"/>
          <w:sz w:val="28"/>
          <w:szCs w:val="28"/>
        </w:rPr>
      </w:pPr>
      <w:r w:rsidRPr="008A615C">
        <w:rPr>
          <w:rFonts w:ascii="Calibri" w:hAnsi="Calibri" w:cs="Calibri"/>
          <w:sz w:val="28"/>
          <w:szCs w:val="28"/>
        </w:rPr>
        <w:br w:type="page"/>
      </w:r>
    </w:p>
    <w:p w14:paraId="31955B88" w14:textId="0C4056BB" w:rsidR="005F39F6" w:rsidRPr="008A615C" w:rsidRDefault="009E52C5" w:rsidP="008A615C">
      <w:pPr>
        <w:spacing w:before="240" w:after="0" w:line="480" w:lineRule="auto"/>
        <w:rPr>
          <w:rFonts w:ascii="Calibri" w:hAnsi="Calibri" w:cs="Calibri"/>
          <w:b/>
          <w:bCs/>
          <w:sz w:val="24"/>
          <w:szCs w:val="24"/>
        </w:rPr>
      </w:pPr>
      <w:r w:rsidRPr="008A615C">
        <w:rPr>
          <w:rFonts w:ascii="Calibri" w:hAnsi="Calibri" w:cs="Calibri"/>
          <w:b/>
          <w:bCs/>
          <w:sz w:val="24"/>
          <w:szCs w:val="24"/>
        </w:rPr>
        <w:lastRenderedPageBreak/>
        <w:t>Supplemental Tables</w:t>
      </w:r>
    </w:p>
    <w:p w14:paraId="29668325" w14:textId="6B27E9AF" w:rsidR="009E52C5" w:rsidRPr="008A615C" w:rsidRDefault="009E52C5" w:rsidP="008A615C">
      <w:pPr>
        <w:pBdr>
          <w:bottom w:val="single" w:sz="4" w:space="1" w:color="auto"/>
        </w:pBdr>
        <w:spacing w:line="480" w:lineRule="auto"/>
        <w:rPr>
          <w:rFonts w:ascii="Calibri" w:hAnsi="Calibri" w:cs="Calibri"/>
          <w:b/>
          <w:bCs/>
          <w:sz w:val="24"/>
          <w:szCs w:val="24"/>
        </w:rPr>
      </w:pPr>
      <w:r w:rsidRPr="008A615C">
        <w:rPr>
          <w:rFonts w:ascii="Calibri" w:hAnsi="Calibri" w:cs="Calibri"/>
          <w:b/>
          <w:bCs/>
          <w:sz w:val="24"/>
          <w:szCs w:val="24"/>
        </w:rPr>
        <w:t>Table S1.  Audiology interpretation criteria</w:t>
      </w:r>
      <w:r w:rsidR="009B7DF5" w:rsidRPr="008A615C">
        <w:rPr>
          <w:rFonts w:ascii="Calibri" w:hAnsi="Calibri" w:cs="Calibri"/>
          <w:b/>
          <w:bCs/>
          <w:sz w:val="24"/>
          <w:szCs w:val="24"/>
          <w:vertAlign w:val="superscript"/>
        </w:rPr>
        <w:t>1,5</w:t>
      </w:r>
    </w:p>
    <w:tbl>
      <w:tblPr>
        <w:tblStyle w:val="TableGrid"/>
        <w:tblW w:w="8635" w:type="dxa"/>
        <w:tblLayout w:type="fixed"/>
        <w:tblLook w:val="04A0" w:firstRow="1" w:lastRow="0" w:firstColumn="1" w:lastColumn="0" w:noHBand="0" w:noVBand="1"/>
      </w:tblPr>
      <w:tblGrid>
        <w:gridCol w:w="2515"/>
        <w:gridCol w:w="3060"/>
        <w:gridCol w:w="3060"/>
      </w:tblGrid>
      <w:tr w:rsidR="009E52C5" w:rsidRPr="008A615C" w14:paraId="190F26CC" w14:textId="77777777" w:rsidTr="00E749F1">
        <w:tc>
          <w:tcPr>
            <w:tcW w:w="8635" w:type="dxa"/>
            <w:gridSpan w:val="3"/>
            <w:shd w:val="clear" w:color="auto" w:fill="D9E2F3" w:themeFill="accent1" w:themeFillTint="33"/>
            <w:vAlign w:val="center"/>
          </w:tcPr>
          <w:p w14:paraId="5CC1FCE1"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b/>
                <w:sz w:val="21"/>
                <w:szCs w:val="21"/>
              </w:rPr>
              <w:t>Degree of Hearing Loss</w:t>
            </w:r>
          </w:p>
        </w:tc>
      </w:tr>
      <w:tr w:rsidR="009E52C5" w:rsidRPr="008A615C" w14:paraId="093AF86F" w14:textId="77777777" w:rsidTr="00E749F1">
        <w:tc>
          <w:tcPr>
            <w:tcW w:w="2515" w:type="dxa"/>
            <w:vAlign w:val="center"/>
          </w:tcPr>
          <w:p w14:paraId="75501887" w14:textId="77777777" w:rsidR="009E52C5" w:rsidRPr="006F6977" w:rsidRDefault="009E52C5" w:rsidP="008A615C">
            <w:pPr>
              <w:spacing w:line="240" w:lineRule="auto"/>
              <w:rPr>
                <w:rFonts w:ascii="Calibri" w:hAnsi="Calibri" w:cs="Calibri"/>
                <w:b/>
                <w:i/>
                <w:sz w:val="21"/>
                <w:szCs w:val="21"/>
              </w:rPr>
            </w:pPr>
            <w:r w:rsidRPr="006F6977">
              <w:rPr>
                <w:rFonts w:ascii="Calibri" w:hAnsi="Calibri" w:cs="Calibri"/>
                <w:b/>
                <w:i/>
                <w:sz w:val="21"/>
                <w:szCs w:val="21"/>
              </w:rPr>
              <w:t>Descriptor</w:t>
            </w:r>
          </w:p>
        </w:tc>
        <w:tc>
          <w:tcPr>
            <w:tcW w:w="6120" w:type="dxa"/>
            <w:gridSpan w:val="2"/>
            <w:vAlign w:val="center"/>
          </w:tcPr>
          <w:p w14:paraId="1CC9EAA2" w14:textId="327FD35D" w:rsidR="009E52C5" w:rsidRPr="006F6977" w:rsidRDefault="00814A4F" w:rsidP="008A615C">
            <w:pPr>
              <w:spacing w:line="240" w:lineRule="auto"/>
              <w:rPr>
                <w:rFonts w:ascii="Calibri" w:hAnsi="Calibri" w:cs="Calibri"/>
                <w:b/>
                <w:i/>
                <w:sz w:val="21"/>
                <w:szCs w:val="21"/>
              </w:rPr>
            </w:pPr>
            <w:r w:rsidRPr="006F6977">
              <w:rPr>
                <w:rFonts w:ascii="Calibri" w:hAnsi="Calibri" w:cs="Calibri"/>
                <w:b/>
                <w:i/>
                <w:sz w:val="21"/>
                <w:szCs w:val="21"/>
              </w:rPr>
              <w:t>Criteria</w:t>
            </w:r>
            <w:r w:rsidRPr="006F6977">
              <w:rPr>
                <w:rFonts w:ascii="Calibri" w:hAnsi="Calibri" w:cs="Calibri"/>
                <w:b/>
                <w:i/>
                <w:sz w:val="21"/>
                <w:szCs w:val="21"/>
                <w:vertAlign w:val="superscript"/>
              </w:rPr>
              <w:t>5</w:t>
            </w:r>
          </w:p>
        </w:tc>
      </w:tr>
      <w:tr w:rsidR="009E52C5" w:rsidRPr="008A615C" w14:paraId="57317EB2" w14:textId="77777777" w:rsidTr="00E749F1">
        <w:tc>
          <w:tcPr>
            <w:tcW w:w="2515" w:type="dxa"/>
            <w:vAlign w:val="center"/>
          </w:tcPr>
          <w:p w14:paraId="36597AEA" w14:textId="77777777" w:rsidR="009E52C5" w:rsidRPr="006F6977" w:rsidRDefault="009E52C5" w:rsidP="008A615C">
            <w:pPr>
              <w:spacing w:line="240" w:lineRule="auto"/>
              <w:rPr>
                <w:rFonts w:ascii="Calibri" w:hAnsi="Calibri" w:cs="Calibri"/>
                <w:bCs/>
                <w:iCs/>
                <w:sz w:val="21"/>
                <w:szCs w:val="21"/>
              </w:rPr>
            </w:pPr>
            <w:r w:rsidRPr="006F6977">
              <w:rPr>
                <w:rFonts w:ascii="Calibri" w:hAnsi="Calibri" w:cs="Calibri"/>
                <w:bCs/>
                <w:iCs/>
                <w:sz w:val="21"/>
                <w:szCs w:val="21"/>
              </w:rPr>
              <w:t xml:space="preserve">   Mild</w:t>
            </w:r>
          </w:p>
        </w:tc>
        <w:tc>
          <w:tcPr>
            <w:tcW w:w="6120" w:type="dxa"/>
            <w:gridSpan w:val="2"/>
            <w:vAlign w:val="center"/>
          </w:tcPr>
          <w:p w14:paraId="21CD2C84"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4F-PTA &gt;20 and ≤40 dBHL</w:t>
            </w:r>
          </w:p>
        </w:tc>
      </w:tr>
      <w:tr w:rsidR="009E52C5" w:rsidRPr="008A615C" w14:paraId="0706E46C" w14:textId="77777777" w:rsidTr="00E749F1">
        <w:tc>
          <w:tcPr>
            <w:tcW w:w="2515" w:type="dxa"/>
            <w:vAlign w:val="center"/>
          </w:tcPr>
          <w:p w14:paraId="20D65C17" w14:textId="77777777" w:rsidR="009E52C5" w:rsidRPr="006F6977" w:rsidRDefault="009E52C5" w:rsidP="008A615C">
            <w:pPr>
              <w:spacing w:line="240" w:lineRule="auto"/>
              <w:ind w:left="60"/>
              <w:rPr>
                <w:rFonts w:ascii="Calibri" w:hAnsi="Calibri" w:cs="Calibri"/>
                <w:bCs/>
                <w:iCs/>
                <w:sz w:val="21"/>
                <w:szCs w:val="21"/>
              </w:rPr>
            </w:pPr>
            <w:r w:rsidRPr="006F6977">
              <w:rPr>
                <w:rFonts w:ascii="Calibri" w:hAnsi="Calibri" w:cs="Calibri"/>
                <w:bCs/>
                <w:iCs/>
                <w:sz w:val="21"/>
                <w:szCs w:val="21"/>
              </w:rPr>
              <w:t xml:space="preserve">  Moderate</w:t>
            </w:r>
          </w:p>
        </w:tc>
        <w:tc>
          <w:tcPr>
            <w:tcW w:w="6120" w:type="dxa"/>
            <w:gridSpan w:val="2"/>
            <w:vAlign w:val="center"/>
          </w:tcPr>
          <w:p w14:paraId="5A97A7A2" w14:textId="77777777" w:rsidR="009E52C5" w:rsidRPr="006F6977" w:rsidRDefault="009E52C5" w:rsidP="008A615C">
            <w:pPr>
              <w:spacing w:line="240" w:lineRule="auto"/>
              <w:rPr>
                <w:rFonts w:ascii="Calibri" w:hAnsi="Calibri" w:cs="Calibri"/>
                <w:b/>
                <w:i/>
                <w:sz w:val="21"/>
                <w:szCs w:val="21"/>
              </w:rPr>
            </w:pPr>
            <w:r w:rsidRPr="006F6977">
              <w:rPr>
                <w:rFonts w:ascii="Calibri" w:hAnsi="Calibri" w:cs="Calibri"/>
                <w:sz w:val="21"/>
                <w:szCs w:val="21"/>
              </w:rPr>
              <w:t>4F-PTA &gt;40 and ≤70 dBHL</w:t>
            </w:r>
          </w:p>
        </w:tc>
      </w:tr>
      <w:tr w:rsidR="009E52C5" w:rsidRPr="008A615C" w14:paraId="37B3E0F9" w14:textId="77777777" w:rsidTr="00E749F1">
        <w:tc>
          <w:tcPr>
            <w:tcW w:w="2515" w:type="dxa"/>
            <w:vAlign w:val="center"/>
          </w:tcPr>
          <w:p w14:paraId="2E75AC4C" w14:textId="77777777" w:rsidR="009E52C5" w:rsidRPr="006F6977" w:rsidRDefault="009E52C5" w:rsidP="008A615C">
            <w:pPr>
              <w:spacing w:line="240" w:lineRule="auto"/>
              <w:ind w:left="60"/>
              <w:rPr>
                <w:rFonts w:ascii="Calibri" w:hAnsi="Calibri" w:cs="Calibri"/>
                <w:bCs/>
                <w:iCs/>
                <w:sz w:val="21"/>
                <w:szCs w:val="21"/>
              </w:rPr>
            </w:pPr>
            <w:r w:rsidRPr="006F6977">
              <w:rPr>
                <w:rFonts w:ascii="Calibri" w:hAnsi="Calibri" w:cs="Calibri"/>
                <w:bCs/>
                <w:iCs/>
                <w:sz w:val="21"/>
                <w:szCs w:val="21"/>
              </w:rPr>
              <w:t xml:space="preserve">  Severe</w:t>
            </w:r>
          </w:p>
        </w:tc>
        <w:tc>
          <w:tcPr>
            <w:tcW w:w="6120" w:type="dxa"/>
            <w:gridSpan w:val="2"/>
            <w:vAlign w:val="center"/>
          </w:tcPr>
          <w:p w14:paraId="735FA7C3"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4F-PTA &gt;70 and ≤90 dBHL</w:t>
            </w:r>
          </w:p>
        </w:tc>
      </w:tr>
      <w:tr w:rsidR="009E52C5" w:rsidRPr="008A615C" w14:paraId="453E4348" w14:textId="77777777" w:rsidTr="00E749F1">
        <w:tc>
          <w:tcPr>
            <w:tcW w:w="2515" w:type="dxa"/>
            <w:tcBorders>
              <w:bottom w:val="single" w:sz="4" w:space="0" w:color="auto"/>
            </w:tcBorders>
            <w:vAlign w:val="center"/>
          </w:tcPr>
          <w:p w14:paraId="0ACA7120" w14:textId="77777777" w:rsidR="009E52C5" w:rsidRPr="006F6977" w:rsidRDefault="009E52C5" w:rsidP="008A615C">
            <w:pPr>
              <w:spacing w:line="240" w:lineRule="auto"/>
              <w:ind w:left="60"/>
              <w:rPr>
                <w:rFonts w:ascii="Calibri" w:hAnsi="Calibri" w:cs="Calibri"/>
                <w:bCs/>
                <w:iCs/>
                <w:sz w:val="21"/>
                <w:szCs w:val="21"/>
              </w:rPr>
            </w:pPr>
            <w:r w:rsidRPr="006F6977">
              <w:rPr>
                <w:rFonts w:ascii="Calibri" w:hAnsi="Calibri" w:cs="Calibri"/>
                <w:bCs/>
                <w:iCs/>
                <w:sz w:val="21"/>
                <w:szCs w:val="21"/>
              </w:rPr>
              <w:t xml:space="preserve">  Profound</w:t>
            </w:r>
          </w:p>
        </w:tc>
        <w:tc>
          <w:tcPr>
            <w:tcW w:w="6120" w:type="dxa"/>
            <w:gridSpan w:val="2"/>
            <w:tcBorders>
              <w:bottom w:val="single" w:sz="4" w:space="0" w:color="auto"/>
            </w:tcBorders>
            <w:vAlign w:val="center"/>
          </w:tcPr>
          <w:p w14:paraId="136282BD"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4F-PTA &gt;90 dBHL</w:t>
            </w:r>
          </w:p>
        </w:tc>
      </w:tr>
      <w:tr w:rsidR="009E52C5" w:rsidRPr="008A615C" w14:paraId="49B91EC3" w14:textId="77777777" w:rsidTr="00E749F1">
        <w:tc>
          <w:tcPr>
            <w:tcW w:w="8635" w:type="dxa"/>
            <w:gridSpan w:val="3"/>
            <w:shd w:val="clear" w:color="auto" w:fill="D9E2F3" w:themeFill="accent1" w:themeFillTint="33"/>
            <w:vAlign w:val="center"/>
          </w:tcPr>
          <w:p w14:paraId="00A80AF6" w14:textId="77777777" w:rsidR="009E52C5" w:rsidRPr="006F6977" w:rsidRDefault="009E52C5" w:rsidP="008A615C">
            <w:pPr>
              <w:spacing w:line="240" w:lineRule="auto"/>
              <w:rPr>
                <w:rFonts w:ascii="Calibri" w:hAnsi="Calibri" w:cs="Calibri"/>
                <w:iCs/>
                <w:sz w:val="21"/>
                <w:szCs w:val="21"/>
              </w:rPr>
            </w:pPr>
            <w:r w:rsidRPr="006F6977">
              <w:rPr>
                <w:rFonts w:ascii="Calibri" w:hAnsi="Calibri" w:cs="Calibri"/>
                <w:b/>
                <w:iCs/>
                <w:sz w:val="21"/>
                <w:szCs w:val="21"/>
              </w:rPr>
              <w:t>Type of Hearing Loss</w:t>
            </w:r>
          </w:p>
        </w:tc>
      </w:tr>
      <w:tr w:rsidR="009E52C5" w:rsidRPr="008A615C" w14:paraId="0C5FCFB2" w14:textId="77777777" w:rsidTr="00E749F1">
        <w:tc>
          <w:tcPr>
            <w:tcW w:w="2515" w:type="dxa"/>
            <w:vAlign w:val="center"/>
          </w:tcPr>
          <w:p w14:paraId="5DDDFCCD" w14:textId="77777777" w:rsidR="009E52C5" w:rsidRPr="006F6977" w:rsidRDefault="009E52C5" w:rsidP="008A615C">
            <w:pPr>
              <w:spacing w:line="240" w:lineRule="auto"/>
              <w:rPr>
                <w:rFonts w:ascii="Calibri" w:hAnsi="Calibri" w:cs="Calibri"/>
                <w:b/>
                <w:i/>
                <w:sz w:val="21"/>
                <w:szCs w:val="21"/>
              </w:rPr>
            </w:pPr>
            <w:r w:rsidRPr="006F6977">
              <w:rPr>
                <w:rFonts w:ascii="Calibri" w:hAnsi="Calibri" w:cs="Calibri"/>
                <w:b/>
                <w:i/>
                <w:sz w:val="21"/>
                <w:szCs w:val="21"/>
              </w:rPr>
              <w:t>Descriptor</w:t>
            </w:r>
          </w:p>
        </w:tc>
        <w:tc>
          <w:tcPr>
            <w:tcW w:w="6120" w:type="dxa"/>
            <w:gridSpan w:val="2"/>
            <w:vAlign w:val="center"/>
          </w:tcPr>
          <w:p w14:paraId="2838213C" w14:textId="45CA544E" w:rsidR="009E52C5" w:rsidRPr="006F6977" w:rsidRDefault="00814A4F" w:rsidP="008A615C">
            <w:pPr>
              <w:spacing w:line="240" w:lineRule="auto"/>
              <w:rPr>
                <w:rFonts w:ascii="Calibri" w:hAnsi="Calibri" w:cs="Calibri"/>
                <w:b/>
                <w:i/>
                <w:sz w:val="21"/>
                <w:szCs w:val="21"/>
              </w:rPr>
            </w:pPr>
            <w:r w:rsidRPr="006F6977">
              <w:rPr>
                <w:rFonts w:ascii="Calibri" w:hAnsi="Calibri" w:cs="Calibri"/>
                <w:b/>
                <w:i/>
                <w:sz w:val="21"/>
                <w:szCs w:val="21"/>
              </w:rPr>
              <w:t>Criteria</w:t>
            </w:r>
            <w:r w:rsidRPr="006F6977">
              <w:rPr>
                <w:rFonts w:ascii="Calibri" w:hAnsi="Calibri" w:cs="Calibri"/>
                <w:b/>
                <w:i/>
                <w:sz w:val="21"/>
                <w:szCs w:val="21"/>
                <w:vertAlign w:val="superscript"/>
              </w:rPr>
              <w:t>5</w:t>
            </w:r>
          </w:p>
        </w:tc>
      </w:tr>
      <w:tr w:rsidR="009E52C5" w:rsidRPr="008A615C" w14:paraId="7ED80D66" w14:textId="77777777" w:rsidTr="00E749F1">
        <w:tc>
          <w:tcPr>
            <w:tcW w:w="2515" w:type="dxa"/>
            <w:vAlign w:val="center"/>
          </w:tcPr>
          <w:p w14:paraId="52AF8B6C" w14:textId="77777777" w:rsidR="009E52C5" w:rsidRPr="006F6977" w:rsidRDefault="009E52C5" w:rsidP="008A615C">
            <w:pPr>
              <w:spacing w:line="240" w:lineRule="auto"/>
              <w:rPr>
                <w:rFonts w:ascii="Calibri" w:hAnsi="Calibri" w:cs="Calibri"/>
                <w:bCs/>
                <w:iCs/>
                <w:sz w:val="21"/>
                <w:szCs w:val="21"/>
              </w:rPr>
            </w:pPr>
            <w:r w:rsidRPr="006F6977">
              <w:rPr>
                <w:rFonts w:ascii="Calibri" w:hAnsi="Calibri" w:cs="Calibri"/>
                <w:bCs/>
                <w:iCs/>
                <w:sz w:val="21"/>
                <w:szCs w:val="21"/>
              </w:rPr>
              <w:t xml:space="preserve">   Conductive</w:t>
            </w:r>
          </w:p>
        </w:tc>
        <w:tc>
          <w:tcPr>
            <w:tcW w:w="6120" w:type="dxa"/>
            <w:gridSpan w:val="2"/>
            <w:vAlign w:val="center"/>
          </w:tcPr>
          <w:p w14:paraId="33848B12" w14:textId="65D9C9CE"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3F-PTA: air-bone gap ≥1</w:t>
            </w:r>
            <w:r w:rsidR="009B7DF5" w:rsidRPr="006F6977">
              <w:rPr>
                <w:rFonts w:ascii="Calibri" w:hAnsi="Calibri" w:cs="Calibri"/>
                <w:sz w:val="21"/>
                <w:szCs w:val="21"/>
              </w:rPr>
              <w:t>0</w:t>
            </w:r>
            <w:r w:rsidRPr="006F6977">
              <w:rPr>
                <w:rFonts w:ascii="Calibri" w:hAnsi="Calibri" w:cs="Calibri"/>
                <w:sz w:val="21"/>
                <w:szCs w:val="21"/>
              </w:rPr>
              <w:t xml:space="preserve"> dB and bone </w:t>
            </w:r>
            <w:r w:rsidR="00F35EB4" w:rsidRPr="006F6977">
              <w:rPr>
                <w:rFonts w:ascii="Calibri" w:hAnsi="Calibri" w:cs="Calibri"/>
                <w:sz w:val="21"/>
                <w:szCs w:val="21"/>
              </w:rPr>
              <w:t xml:space="preserve">conduction </w:t>
            </w:r>
            <w:r w:rsidRPr="006F6977">
              <w:rPr>
                <w:rFonts w:ascii="Calibri" w:hAnsi="Calibri" w:cs="Calibri"/>
                <w:sz w:val="21"/>
                <w:szCs w:val="21"/>
              </w:rPr>
              <w:t xml:space="preserve">≤20 </w:t>
            </w:r>
            <w:proofErr w:type="spellStart"/>
            <w:r w:rsidRPr="006F6977">
              <w:rPr>
                <w:rFonts w:ascii="Calibri" w:hAnsi="Calibri" w:cs="Calibri"/>
                <w:sz w:val="21"/>
                <w:szCs w:val="21"/>
              </w:rPr>
              <w:t>dBHL</w:t>
            </w:r>
            <w:proofErr w:type="spellEnd"/>
          </w:p>
        </w:tc>
      </w:tr>
      <w:tr w:rsidR="009E52C5" w:rsidRPr="008A615C" w14:paraId="5F4B91D7" w14:textId="77777777" w:rsidTr="00E749F1">
        <w:tc>
          <w:tcPr>
            <w:tcW w:w="2515" w:type="dxa"/>
            <w:vAlign w:val="center"/>
          </w:tcPr>
          <w:p w14:paraId="4186F66B" w14:textId="77777777" w:rsidR="009E52C5" w:rsidRPr="006F6977" w:rsidRDefault="009E52C5" w:rsidP="008A615C">
            <w:pPr>
              <w:spacing w:line="240" w:lineRule="auto"/>
              <w:rPr>
                <w:rFonts w:ascii="Calibri" w:hAnsi="Calibri" w:cs="Calibri"/>
                <w:bCs/>
                <w:iCs/>
                <w:sz w:val="21"/>
                <w:szCs w:val="21"/>
              </w:rPr>
            </w:pPr>
            <w:r w:rsidRPr="006F6977">
              <w:rPr>
                <w:rFonts w:ascii="Calibri" w:hAnsi="Calibri" w:cs="Calibri"/>
                <w:bCs/>
                <w:iCs/>
                <w:sz w:val="21"/>
                <w:szCs w:val="21"/>
              </w:rPr>
              <w:t xml:space="preserve">   Sensorineural</w:t>
            </w:r>
          </w:p>
        </w:tc>
        <w:tc>
          <w:tcPr>
            <w:tcW w:w="6120" w:type="dxa"/>
            <w:gridSpan w:val="2"/>
            <w:vAlign w:val="center"/>
          </w:tcPr>
          <w:p w14:paraId="71A84427" w14:textId="3C6BD2B2"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3F-PTA: air-bone gap &lt;1</w:t>
            </w:r>
            <w:r w:rsidR="009B7DF5" w:rsidRPr="006F6977">
              <w:rPr>
                <w:rFonts w:ascii="Calibri" w:hAnsi="Calibri" w:cs="Calibri"/>
                <w:sz w:val="21"/>
                <w:szCs w:val="21"/>
              </w:rPr>
              <w:t>0</w:t>
            </w:r>
            <w:r w:rsidRPr="006F6977">
              <w:rPr>
                <w:rFonts w:ascii="Calibri" w:hAnsi="Calibri" w:cs="Calibri"/>
                <w:sz w:val="21"/>
                <w:szCs w:val="21"/>
              </w:rPr>
              <w:t xml:space="preserve"> dB and bone conduction &gt;20 dBHL</w:t>
            </w:r>
          </w:p>
        </w:tc>
      </w:tr>
      <w:tr w:rsidR="009E52C5" w:rsidRPr="008A615C" w14:paraId="4F611068" w14:textId="77777777" w:rsidTr="00E749F1">
        <w:tc>
          <w:tcPr>
            <w:tcW w:w="2515" w:type="dxa"/>
            <w:tcBorders>
              <w:bottom w:val="single" w:sz="4" w:space="0" w:color="auto"/>
            </w:tcBorders>
            <w:vAlign w:val="center"/>
          </w:tcPr>
          <w:p w14:paraId="7126C0BD" w14:textId="77777777" w:rsidR="009E52C5" w:rsidRPr="006F6977" w:rsidRDefault="009E52C5" w:rsidP="008A615C">
            <w:pPr>
              <w:spacing w:line="240" w:lineRule="auto"/>
              <w:rPr>
                <w:rFonts w:ascii="Calibri" w:hAnsi="Calibri" w:cs="Calibri"/>
                <w:bCs/>
                <w:iCs/>
                <w:sz w:val="21"/>
                <w:szCs w:val="21"/>
              </w:rPr>
            </w:pPr>
            <w:r w:rsidRPr="006F6977">
              <w:rPr>
                <w:rFonts w:ascii="Calibri" w:hAnsi="Calibri" w:cs="Calibri"/>
                <w:b/>
                <w:i/>
                <w:sz w:val="21"/>
                <w:szCs w:val="21"/>
              </w:rPr>
              <w:t xml:space="preserve">   </w:t>
            </w:r>
            <w:r w:rsidRPr="006F6977">
              <w:rPr>
                <w:rFonts w:ascii="Calibri" w:hAnsi="Calibri" w:cs="Calibri"/>
                <w:bCs/>
                <w:iCs/>
                <w:sz w:val="21"/>
                <w:szCs w:val="21"/>
              </w:rPr>
              <w:t>Mixed</w:t>
            </w:r>
          </w:p>
        </w:tc>
        <w:tc>
          <w:tcPr>
            <w:tcW w:w="6120" w:type="dxa"/>
            <w:gridSpan w:val="2"/>
            <w:tcBorders>
              <w:bottom w:val="single" w:sz="4" w:space="0" w:color="auto"/>
            </w:tcBorders>
            <w:vAlign w:val="center"/>
          </w:tcPr>
          <w:p w14:paraId="76BD187B"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sz w:val="21"/>
                <w:szCs w:val="21"/>
              </w:rPr>
              <w:t>3F-PTA: air-bone gap ≥15 dB with bone conduction &gt;20 dBHL</w:t>
            </w:r>
          </w:p>
        </w:tc>
      </w:tr>
      <w:tr w:rsidR="009E52C5" w:rsidRPr="008A615C" w14:paraId="1AAD74C7" w14:textId="77777777" w:rsidTr="00E749F1">
        <w:tc>
          <w:tcPr>
            <w:tcW w:w="8635" w:type="dxa"/>
            <w:gridSpan w:val="3"/>
            <w:shd w:val="clear" w:color="auto" w:fill="D9E2F3" w:themeFill="accent1" w:themeFillTint="33"/>
            <w:vAlign w:val="center"/>
          </w:tcPr>
          <w:p w14:paraId="59BF4B02" w14:textId="77777777" w:rsidR="009E52C5" w:rsidRPr="006F6977" w:rsidRDefault="009E52C5" w:rsidP="008A615C">
            <w:pPr>
              <w:spacing w:line="240" w:lineRule="auto"/>
              <w:rPr>
                <w:rFonts w:ascii="Calibri" w:hAnsi="Calibri" w:cs="Calibri"/>
                <w:sz w:val="21"/>
                <w:szCs w:val="21"/>
              </w:rPr>
            </w:pPr>
            <w:r w:rsidRPr="006F6977">
              <w:rPr>
                <w:rFonts w:ascii="Calibri" w:hAnsi="Calibri" w:cs="Calibri"/>
                <w:b/>
                <w:sz w:val="21"/>
                <w:szCs w:val="21"/>
              </w:rPr>
              <w:t>Tympanogram types</w:t>
            </w:r>
          </w:p>
        </w:tc>
      </w:tr>
      <w:tr w:rsidR="00E749F1" w:rsidRPr="008A615C" w14:paraId="72F01897" w14:textId="77777777" w:rsidTr="00E749F1">
        <w:trPr>
          <w:trHeight w:val="246"/>
        </w:trPr>
        <w:tc>
          <w:tcPr>
            <w:tcW w:w="2515" w:type="dxa"/>
            <w:vMerge w:val="restart"/>
            <w:vAlign w:val="center"/>
          </w:tcPr>
          <w:p w14:paraId="0B65C319" w14:textId="334F7409" w:rsidR="00E749F1" w:rsidRPr="006F6977" w:rsidRDefault="00E749F1" w:rsidP="008A615C">
            <w:pPr>
              <w:spacing w:line="240" w:lineRule="auto"/>
              <w:rPr>
                <w:rFonts w:ascii="Calibri" w:hAnsi="Calibri" w:cs="Calibri"/>
                <w:b/>
                <w:i/>
                <w:sz w:val="21"/>
                <w:szCs w:val="21"/>
              </w:rPr>
            </w:pPr>
            <w:r w:rsidRPr="006F6977">
              <w:rPr>
                <w:rFonts w:ascii="Calibri" w:hAnsi="Calibri" w:cs="Calibri"/>
                <w:b/>
                <w:i/>
                <w:sz w:val="21"/>
                <w:szCs w:val="21"/>
              </w:rPr>
              <w:t>Descriptor</w:t>
            </w:r>
            <w:r w:rsidR="00007F69" w:rsidRPr="006F6977">
              <w:rPr>
                <w:rFonts w:ascii="Calibri" w:hAnsi="Calibri" w:cs="Calibri"/>
                <w:b/>
                <w:i/>
                <w:sz w:val="21"/>
                <w:szCs w:val="21"/>
              </w:rPr>
              <w:t xml:space="preserve"> (tympanogram type)</w:t>
            </w:r>
          </w:p>
        </w:tc>
        <w:tc>
          <w:tcPr>
            <w:tcW w:w="6120" w:type="dxa"/>
            <w:gridSpan w:val="2"/>
            <w:vAlign w:val="center"/>
          </w:tcPr>
          <w:p w14:paraId="59FA5086" w14:textId="38D5E419" w:rsidR="00E749F1" w:rsidRPr="006F6977" w:rsidRDefault="00814A4F" w:rsidP="008A615C">
            <w:pPr>
              <w:spacing w:line="240" w:lineRule="auto"/>
              <w:rPr>
                <w:rFonts w:ascii="Calibri" w:hAnsi="Calibri" w:cs="Calibri"/>
                <w:b/>
                <w:i/>
                <w:sz w:val="21"/>
                <w:szCs w:val="21"/>
              </w:rPr>
            </w:pPr>
            <w:r w:rsidRPr="006F6977">
              <w:rPr>
                <w:rFonts w:ascii="Calibri" w:hAnsi="Calibri" w:cs="Calibri"/>
                <w:b/>
                <w:i/>
                <w:sz w:val="21"/>
                <w:szCs w:val="21"/>
              </w:rPr>
              <w:t>Criteria</w:t>
            </w:r>
            <w:r w:rsidRPr="006F6977">
              <w:rPr>
                <w:rFonts w:ascii="Calibri" w:hAnsi="Calibri" w:cs="Calibri"/>
                <w:b/>
                <w:i/>
                <w:sz w:val="21"/>
                <w:szCs w:val="21"/>
                <w:vertAlign w:val="superscript"/>
              </w:rPr>
              <w:t>1</w:t>
            </w:r>
          </w:p>
        </w:tc>
      </w:tr>
      <w:tr w:rsidR="00E749F1" w:rsidRPr="008A615C" w14:paraId="3773B4AF" w14:textId="77777777" w:rsidTr="00E749F1">
        <w:trPr>
          <w:trHeight w:val="246"/>
        </w:trPr>
        <w:tc>
          <w:tcPr>
            <w:tcW w:w="2515" w:type="dxa"/>
            <w:vMerge/>
            <w:vAlign w:val="center"/>
          </w:tcPr>
          <w:p w14:paraId="2731FB45" w14:textId="77777777" w:rsidR="00E749F1" w:rsidRPr="006F6977" w:rsidRDefault="00E749F1" w:rsidP="008A615C">
            <w:pPr>
              <w:spacing w:line="240" w:lineRule="auto"/>
              <w:rPr>
                <w:rFonts w:ascii="Calibri" w:hAnsi="Calibri" w:cs="Calibri"/>
                <w:b/>
                <w:i/>
                <w:sz w:val="21"/>
                <w:szCs w:val="21"/>
              </w:rPr>
            </w:pPr>
          </w:p>
        </w:tc>
        <w:tc>
          <w:tcPr>
            <w:tcW w:w="3060" w:type="dxa"/>
            <w:vAlign w:val="center"/>
          </w:tcPr>
          <w:p w14:paraId="438155DD" w14:textId="481E765D" w:rsidR="00E749F1" w:rsidRPr="006F6977" w:rsidRDefault="00E749F1" w:rsidP="008A615C">
            <w:pPr>
              <w:spacing w:line="240" w:lineRule="auto"/>
              <w:rPr>
                <w:rFonts w:ascii="Calibri" w:hAnsi="Calibri" w:cs="Calibri"/>
                <w:b/>
                <w:bCs/>
                <w:i/>
                <w:iCs/>
                <w:sz w:val="21"/>
                <w:szCs w:val="21"/>
              </w:rPr>
            </w:pPr>
            <w:r w:rsidRPr="006F6977">
              <w:rPr>
                <w:rFonts w:ascii="Calibri" w:hAnsi="Calibri" w:cs="Calibri"/>
                <w:b/>
                <w:bCs/>
                <w:i/>
                <w:iCs/>
                <w:sz w:val="21"/>
                <w:szCs w:val="21"/>
              </w:rPr>
              <w:t>Child (3-5 Years)</w:t>
            </w:r>
          </w:p>
        </w:tc>
        <w:tc>
          <w:tcPr>
            <w:tcW w:w="3060" w:type="dxa"/>
            <w:vAlign w:val="center"/>
          </w:tcPr>
          <w:p w14:paraId="53C7EA48" w14:textId="675378A0" w:rsidR="00E749F1" w:rsidRPr="006F6977" w:rsidDel="00E749F1" w:rsidRDefault="00E749F1" w:rsidP="008A615C">
            <w:pPr>
              <w:spacing w:line="240" w:lineRule="auto"/>
              <w:rPr>
                <w:rFonts w:ascii="Calibri" w:hAnsi="Calibri" w:cs="Calibri"/>
                <w:b/>
                <w:bCs/>
                <w:i/>
                <w:iCs/>
                <w:sz w:val="21"/>
                <w:szCs w:val="21"/>
              </w:rPr>
            </w:pPr>
            <w:r w:rsidRPr="006F6977">
              <w:rPr>
                <w:rFonts w:ascii="Calibri" w:hAnsi="Calibri" w:cs="Calibri"/>
                <w:b/>
                <w:bCs/>
                <w:i/>
                <w:iCs/>
                <w:sz w:val="21"/>
                <w:szCs w:val="21"/>
              </w:rPr>
              <w:t>Adult</w:t>
            </w:r>
          </w:p>
        </w:tc>
      </w:tr>
      <w:tr w:rsidR="00E749F1" w:rsidRPr="008A615C" w14:paraId="1316E294" w14:textId="77777777" w:rsidTr="00E749F1">
        <w:tc>
          <w:tcPr>
            <w:tcW w:w="2515" w:type="dxa"/>
            <w:vAlign w:val="center"/>
          </w:tcPr>
          <w:p w14:paraId="7FEC58FB" w14:textId="5DFF2C24" w:rsidR="00E749F1" w:rsidRPr="006F6977" w:rsidRDefault="00E749F1" w:rsidP="008A615C">
            <w:pPr>
              <w:spacing w:line="240" w:lineRule="auto"/>
              <w:rPr>
                <w:rFonts w:ascii="Calibri" w:hAnsi="Calibri" w:cs="Calibri"/>
                <w:bCs/>
                <w:iCs/>
                <w:sz w:val="21"/>
                <w:szCs w:val="21"/>
              </w:rPr>
            </w:pPr>
            <w:r w:rsidRPr="006F6977">
              <w:rPr>
                <w:rFonts w:ascii="Calibri" w:hAnsi="Calibri" w:cs="Calibri"/>
                <w:bCs/>
                <w:iCs/>
                <w:sz w:val="21"/>
                <w:szCs w:val="21"/>
              </w:rPr>
              <w:t>Normal</w:t>
            </w:r>
            <w:r w:rsidR="00007F69" w:rsidRPr="006F6977">
              <w:rPr>
                <w:rFonts w:ascii="Calibri" w:hAnsi="Calibri" w:cs="Calibri"/>
                <w:bCs/>
                <w:iCs/>
                <w:sz w:val="21"/>
                <w:szCs w:val="21"/>
              </w:rPr>
              <w:t xml:space="preserve"> (type A)</w:t>
            </w:r>
          </w:p>
        </w:tc>
        <w:tc>
          <w:tcPr>
            <w:tcW w:w="3060" w:type="dxa"/>
            <w:vAlign w:val="center"/>
          </w:tcPr>
          <w:p w14:paraId="19B7E263" w14:textId="1C04CBF4"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0.2-0.9 cc, &gt; -100 daPa</w:t>
            </w:r>
          </w:p>
        </w:tc>
        <w:tc>
          <w:tcPr>
            <w:tcW w:w="3060" w:type="dxa"/>
            <w:vAlign w:val="center"/>
          </w:tcPr>
          <w:p w14:paraId="291E8667" w14:textId="0C4F5A2A"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 xml:space="preserve">0.3-1.4 </w:t>
            </w:r>
            <w:r w:rsidR="000A69B8" w:rsidRPr="006F6977">
              <w:rPr>
                <w:rFonts w:ascii="Calibri" w:hAnsi="Calibri" w:cs="Calibri"/>
                <w:sz w:val="21"/>
                <w:szCs w:val="21"/>
              </w:rPr>
              <w:t xml:space="preserve">cc, </w:t>
            </w:r>
            <w:r w:rsidRPr="006F6977">
              <w:rPr>
                <w:rFonts w:ascii="Calibri" w:hAnsi="Calibri" w:cs="Calibri"/>
                <w:sz w:val="21"/>
                <w:szCs w:val="21"/>
              </w:rPr>
              <w:t xml:space="preserve"> &gt; -100 daPa</w:t>
            </w:r>
          </w:p>
        </w:tc>
      </w:tr>
      <w:tr w:rsidR="00E749F1" w:rsidRPr="008A615C" w14:paraId="7BEB27FF" w14:textId="77777777" w:rsidTr="00E749F1">
        <w:tc>
          <w:tcPr>
            <w:tcW w:w="2515" w:type="dxa"/>
            <w:vAlign w:val="center"/>
          </w:tcPr>
          <w:p w14:paraId="6FFF1457" w14:textId="2FBC82CA" w:rsidR="00E749F1" w:rsidRPr="006F6977" w:rsidRDefault="00E749F1" w:rsidP="008A615C">
            <w:pPr>
              <w:spacing w:line="240" w:lineRule="auto"/>
              <w:rPr>
                <w:rFonts w:ascii="Calibri" w:hAnsi="Calibri" w:cs="Calibri"/>
                <w:bCs/>
                <w:iCs/>
                <w:sz w:val="21"/>
                <w:szCs w:val="21"/>
              </w:rPr>
            </w:pPr>
            <w:r w:rsidRPr="006F6977">
              <w:rPr>
                <w:rFonts w:ascii="Calibri" w:hAnsi="Calibri" w:cs="Calibri"/>
                <w:bCs/>
                <w:iCs/>
                <w:sz w:val="21"/>
                <w:szCs w:val="21"/>
              </w:rPr>
              <w:t>Hypermobile</w:t>
            </w:r>
            <w:r w:rsidR="00007F69" w:rsidRPr="006F6977">
              <w:rPr>
                <w:rFonts w:ascii="Calibri" w:hAnsi="Calibri" w:cs="Calibri"/>
                <w:bCs/>
                <w:iCs/>
                <w:sz w:val="21"/>
                <w:szCs w:val="21"/>
              </w:rPr>
              <w:t xml:space="preserve"> (type Ad)</w:t>
            </w:r>
          </w:p>
        </w:tc>
        <w:tc>
          <w:tcPr>
            <w:tcW w:w="3060" w:type="dxa"/>
            <w:vAlign w:val="center"/>
          </w:tcPr>
          <w:p w14:paraId="32A4CB6A" w14:textId="2EEEB266"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&gt; 0.9 cc, &gt; -100 daPa</w:t>
            </w:r>
          </w:p>
        </w:tc>
        <w:tc>
          <w:tcPr>
            <w:tcW w:w="3060" w:type="dxa"/>
            <w:vAlign w:val="center"/>
          </w:tcPr>
          <w:p w14:paraId="27BC3FDF" w14:textId="04B49126"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 xml:space="preserve">&gt;1.4 cc, &gt; -100 daPa </w:t>
            </w:r>
          </w:p>
        </w:tc>
      </w:tr>
      <w:tr w:rsidR="00E749F1" w:rsidRPr="008A615C" w14:paraId="102DF344" w14:textId="77777777" w:rsidTr="00E749F1">
        <w:tc>
          <w:tcPr>
            <w:tcW w:w="2515" w:type="dxa"/>
            <w:vAlign w:val="center"/>
          </w:tcPr>
          <w:p w14:paraId="076A679D" w14:textId="6C08C793" w:rsidR="00E749F1" w:rsidRPr="006F6977" w:rsidRDefault="00E749F1" w:rsidP="008A615C">
            <w:pPr>
              <w:spacing w:line="240" w:lineRule="auto"/>
              <w:rPr>
                <w:rFonts w:ascii="Calibri" w:hAnsi="Calibri" w:cs="Calibri"/>
                <w:bCs/>
                <w:iCs/>
                <w:sz w:val="21"/>
                <w:szCs w:val="21"/>
              </w:rPr>
            </w:pPr>
            <w:r w:rsidRPr="006F6977">
              <w:rPr>
                <w:rFonts w:ascii="Calibri" w:hAnsi="Calibri" w:cs="Calibri"/>
                <w:bCs/>
                <w:iCs/>
                <w:sz w:val="21"/>
                <w:szCs w:val="21"/>
              </w:rPr>
              <w:t xml:space="preserve">Hypomobile </w:t>
            </w:r>
            <w:r w:rsidR="00007F69" w:rsidRPr="006F6977">
              <w:rPr>
                <w:rFonts w:ascii="Calibri" w:hAnsi="Calibri" w:cs="Calibri"/>
                <w:bCs/>
                <w:iCs/>
                <w:sz w:val="21"/>
                <w:szCs w:val="21"/>
              </w:rPr>
              <w:t>(type As)</w:t>
            </w:r>
          </w:p>
        </w:tc>
        <w:tc>
          <w:tcPr>
            <w:tcW w:w="3060" w:type="dxa"/>
            <w:vAlign w:val="center"/>
          </w:tcPr>
          <w:p w14:paraId="7B6F5DD7" w14:textId="735E9B67"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&lt; 0.2 cc, &gt; -100 daPa</w:t>
            </w:r>
          </w:p>
        </w:tc>
        <w:tc>
          <w:tcPr>
            <w:tcW w:w="3060" w:type="dxa"/>
            <w:vAlign w:val="center"/>
          </w:tcPr>
          <w:p w14:paraId="18159CD2" w14:textId="6CF7AE7F"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 xml:space="preserve">&lt; 0.3 cc, &gt; -100 daPa </w:t>
            </w:r>
          </w:p>
        </w:tc>
      </w:tr>
      <w:tr w:rsidR="00E749F1" w:rsidRPr="008A615C" w14:paraId="38968CD8" w14:textId="77777777" w:rsidTr="00E749F1">
        <w:tc>
          <w:tcPr>
            <w:tcW w:w="2515" w:type="dxa"/>
            <w:vAlign w:val="center"/>
          </w:tcPr>
          <w:p w14:paraId="4DDA3C69" w14:textId="139CD296" w:rsidR="00E749F1" w:rsidRPr="006F6977" w:rsidRDefault="00E749F1" w:rsidP="008A615C">
            <w:pPr>
              <w:spacing w:line="240" w:lineRule="auto"/>
              <w:rPr>
                <w:rFonts w:ascii="Calibri" w:hAnsi="Calibri" w:cs="Calibri"/>
                <w:bCs/>
                <w:iCs/>
                <w:sz w:val="21"/>
                <w:szCs w:val="21"/>
              </w:rPr>
            </w:pPr>
            <w:r w:rsidRPr="006F6977">
              <w:rPr>
                <w:rFonts w:ascii="Calibri" w:hAnsi="Calibri" w:cs="Calibri"/>
                <w:bCs/>
                <w:iCs/>
                <w:sz w:val="21"/>
                <w:szCs w:val="21"/>
              </w:rPr>
              <w:t>Flat</w:t>
            </w:r>
            <w:r w:rsidR="00007F69" w:rsidRPr="006F6977">
              <w:rPr>
                <w:rFonts w:ascii="Calibri" w:hAnsi="Calibri" w:cs="Calibri"/>
                <w:bCs/>
                <w:iCs/>
                <w:sz w:val="21"/>
                <w:szCs w:val="21"/>
              </w:rPr>
              <w:t xml:space="preserve"> (type B)</w:t>
            </w:r>
          </w:p>
        </w:tc>
        <w:tc>
          <w:tcPr>
            <w:tcW w:w="3060" w:type="dxa"/>
            <w:vAlign w:val="center"/>
          </w:tcPr>
          <w:p w14:paraId="5A57237B" w14:textId="4E887B57"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No mobility, no peak</w:t>
            </w:r>
          </w:p>
        </w:tc>
        <w:tc>
          <w:tcPr>
            <w:tcW w:w="3060" w:type="dxa"/>
            <w:vAlign w:val="center"/>
          </w:tcPr>
          <w:p w14:paraId="484C77A3" w14:textId="6AE5511F"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&gt;1.4 cc, &gt; -100 daPa</w:t>
            </w:r>
          </w:p>
        </w:tc>
      </w:tr>
      <w:tr w:rsidR="00E749F1" w:rsidRPr="008A615C" w14:paraId="3B2FD313" w14:textId="77777777" w:rsidTr="00E749F1">
        <w:tc>
          <w:tcPr>
            <w:tcW w:w="2515" w:type="dxa"/>
            <w:vAlign w:val="center"/>
          </w:tcPr>
          <w:p w14:paraId="02A61224" w14:textId="09DC71D4" w:rsidR="00E749F1" w:rsidRPr="006F6977" w:rsidRDefault="00E749F1" w:rsidP="008A615C">
            <w:pPr>
              <w:spacing w:line="240" w:lineRule="auto"/>
              <w:rPr>
                <w:rFonts w:ascii="Calibri" w:hAnsi="Calibri" w:cs="Calibri"/>
                <w:bCs/>
                <w:iCs/>
                <w:sz w:val="21"/>
                <w:szCs w:val="21"/>
              </w:rPr>
            </w:pPr>
            <w:r w:rsidRPr="006F6977">
              <w:rPr>
                <w:rFonts w:ascii="Calibri" w:hAnsi="Calibri" w:cs="Calibri"/>
                <w:bCs/>
                <w:iCs/>
                <w:sz w:val="21"/>
                <w:szCs w:val="21"/>
              </w:rPr>
              <w:t>Negative pressure</w:t>
            </w:r>
            <w:r w:rsidR="00007F69" w:rsidRPr="006F6977">
              <w:rPr>
                <w:rFonts w:ascii="Calibri" w:hAnsi="Calibri" w:cs="Calibri"/>
                <w:bCs/>
                <w:iCs/>
                <w:sz w:val="21"/>
                <w:szCs w:val="21"/>
              </w:rPr>
              <w:t xml:space="preserve"> (type C)</w:t>
            </w:r>
          </w:p>
        </w:tc>
        <w:tc>
          <w:tcPr>
            <w:tcW w:w="3060" w:type="dxa"/>
            <w:vAlign w:val="center"/>
          </w:tcPr>
          <w:p w14:paraId="0C30E7F5" w14:textId="31AD3270"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&lt; -100 daPa</w:t>
            </w:r>
          </w:p>
        </w:tc>
        <w:tc>
          <w:tcPr>
            <w:tcW w:w="3060" w:type="dxa"/>
            <w:vAlign w:val="center"/>
          </w:tcPr>
          <w:p w14:paraId="3812901F" w14:textId="08D9DD14" w:rsidR="00E749F1" w:rsidRPr="006F6977" w:rsidRDefault="00E749F1" w:rsidP="008A615C">
            <w:pPr>
              <w:spacing w:line="240" w:lineRule="auto"/>
              <w:rPr>
                <w:rFonts w:ascii="Calibri" w:hAnsi="Calibri" w:cs="Calibri"/>
                <w:sz w:val="21"/>
                <w:szCs w:val="21"/>
              </w:rPr>
            </w:pPr>
            <w:r w:rsidRPr="006F6977">
              <w:rPr>
                <w:rFonts w:ascii="Calibri" w:hAnsi="Calibri" w:cs="Calibri"/>
                <w:sz w:val="21"/>
                <w:szCs w:val="21"/>
              </w:rPr>
              <w:t>&lt; -100 daPa</w:t>
            </w:r>
          </w:p>
        </w:tc>
      </w:tr>
    </w:tbl>
    <w:p w14:paraId="34C15A44" w14:textId="77777777" w:rsidR="009E52C5" w:rsidRPr="008A615C" w:rsidRDefault="009E52C5" w:rsidP="008A615C">
      <w:pPr>
        <w:pStyle w:val="EndNoteBibliography"/>
        <w:spacing w:after="0" w:line="480" w:lineRule="auto"/>
        <w:rPr>
          <w:sz w:val="20"/>
          <w:szCs w:val="20"/>
        </w:rPr>
      </w:pPr>
      <w:r w:rsidRPr="008A615C">
        <w:rPr>
          <w:sz w:val="20"/>
          <w:szCs w:val="20"/>
        </w:rPr>
        <w:t>4F-PTA, four frequency (.5, 1, 2, 4 kHz) pure tone average; 3F-PTA, three frequency (.5, 1, 2 kHz) pure tone average</w:t>
      </w:r>
    </w:p>
    <w:p w14:paraId="47D93B0B" w14:textId="2A70DFBD" w:rsidR="00E749F1" w:rsidRPr="008A615C" w:rsidRDefault="00E749F1" w:rsidP="008A615C">
      <w:pPr>
        <w:pStyle w:val="EndNoteBibliography"/>
        <w:spacing w:after="0" w:line="480" w:lineRule="auto"/>
      </w:pPr>
    </w:p>
    <w:p w14:paraId="2F942E4A" w14:textId="389DA5C5" w:rsidR="009E52C5" w:rsidRPr="008A615C" w:rsidRDefault="009E52C5" w:rsidP="008A615C">
      <w:pPr>
        <w:pStyle w:val="EndNoteBibliography"/>
        <w:spacing w:after="0" w:line="480" w:lineRule="auto"/>
      </w:pPr>
    </w:p>
    <w:p w14:paraId="3550AD4F" w14:textId="71CB7A31" w:rsidR="009E52C5" w:rsidRDefault="009E52C5" w:rsidP="008A615C">
      <w:pPr>
        <w:spacing w:line="480" w:lineRule="auto"/>
        <w:rPr>
          <w:rFonts w:ascii="Calibri" w:hAnsi="Calibri" w:cs="Calibri"/>
          <w:sz w:val="28"/>
          <w:szCs w:val="28"/>
        </w:rPr>
      </w:pPr>
    </w:p>
    <w:p w14:paraId="261BA68F" w14:textId="77777777" w:rsidR="006F6977" w:rsidRPr="008A615C" w:rsidRDefault="006F6977" w:rsidP="008A615C">
      <w:pPr>
        <w:spacing w:line="480" w:lineRule="auto"/>
        <w:rPr>
          <w:rFonts w:ascii="Calibri" w:hAnsi="Calibri" w:cs="Calibri"/>
          <w:sz w:val="28"/>
          <w:szCs w:val="28"/>
        </w:rPr>
      </w:pPr>
    </w:p>
    <w:p w14:paraId="3ECCDFFB" w14:textId="49E2641B" w:rsidR="009E52C5" w:rsidRPr="006F6977" w:rsidRDefault="009E52C5" w:rsidP="008A615C">
      <w:pPr>
        <w:spacing w:line="480" w:lineRule="auto"/>
        <w:rPr>
          <w:rFonts w:ascii="Calibri" w:hAnsi="Calibri" w:cs="Calibri"/>
          <w:b/>
          <w:bCs/>
          <w:sz w:val="24"/>
          <w:szCs w:val="24"/>
        </w:rPr>
      </w:pPr>
      <w:r w:rsidRPr="006F6977">
        <w:rPr>
          <w:rFonts w:ascii="Calibri" w:hAnsi="Calibri" w:cs="Calibri"/>
          <w:b/>
          <w:bCs/>
          <w:sz w:val="24"/>
          <w:szCs w:val="24"/>
        </w:rPr>
        <w:lastRenderedPageBreak/>
        <w:t>Table S</w:t>
      </w:r>
      <w:r w:rsidR="00DF16FB" w:rsidRPr="006F6977">
        <w:rPr>
          <w:rFonts w:ascii="Calibri" w:hAnsi="Calibri" w:cs="Calibri"/>
          <w:b/>
          <w:bCs/>
          <w:sz w:val="24"/>
          <w:szCs w:val="24"/>
        </w:rPr>
        <w:t>2</w:t>
      </w:r>
      <w:r w:rsidRPr="006F6977">
        <w:rPr>
          <w:rFonts w:ascii="Calibri" w:hAnsi="Calibri" w:cs="Calibri"/>
          <w:b/>
          <w:bCs/>
          <w:sz w:val="24"/>
          <w:szCs w:val="24"/>
        </w:rPr>
        <w:t>. Summary of previously described HL in GACI</w:t>
      </w:r>
    </w:p>
    <w:tbl>
      <w:tblPr>
        <w:tblStyle w:val="TableGrid"/>
        <w:tblW w:w="10287" w:type="dxa"/>
        <w:tblLook w:val="04A0" w:firstRow="1" w:lastRow="0" w:firstColumn="1" w:lastColumn="0" w:noHBand="0" w:noVBand="1"/>
      </w:tblPr>
      <w:tblGrid>
        <w:gridCol w:w="1875"/>
        <w:gridCol w:w="1353"/>
        <w:gridCol w:w="2011"/>
        <w:gridCol w:w="2713"/>
        <w:gridCol w:w="2335"/>
      </w:tblGrid>
      <w:tr w:rsidR="009E52C5" w:rsidRPr="008A615C" w14:paraId="5B753F90" w14:textId="77777777" w:rsidTr="00F606EC">
        <w:trPr>
          <w:trHeight w:val="581"/>
        </w:trPr>
        <w:tc>
          <w:tcPr>
            <w:tcW w:w="1875" w:type="dxa"/>
            <w:shd w:val="clear" w:color="auto" w:fill="B4C6E7" w:themeFill="accent1" w:themeFillTint="66"/>
          </w:tcPr>
          <w:p w14:paraId="54B98809"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Study</w:t>
            </w:r>
          </w:p>
        </w:tc>
        <w:tc>
          <w:tcPr>
            <w:tcW w:w="1353" w:type="dxa"/>
            <w:shd w:val="clear" w:color="auto" w:fill="B4C6E7" w:themeFill="accent1" w:themeFillTint="66"/>
          </w:tcPr>
          <w:p w14:paraId="6CA491AA"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Type</w:t>
            </w:r>
          </w:p>
        </w:tc>
        <w:tc>
          <w:tcPr>
            <w:tcW w:w="2011" w:type="dxa"/>
            <w:shd w:val="clear" w:color="auto" w:fill="B4C6E7" w:themeFill="accent1" w:themeFillTint="66"/>
          </w:tcPr>
          <w:p w14:paraId="00752325"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Type of HL</w:t>
            </w:r>
          </w:p>
        </w:tc>
        <w:tc>
          <w:tcPr>
            <w:tcW w:w="2713" w:type="dxa"/>
            <w:shd w:val="clear" w:color="auto" w:fill="B4C6E7" w:themeFill="accent1" w:themeFillTint="66"/>
          </w:tcPr>
          <w:p w14:paraId="28D1E3A3"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Details of study</w:t>
            </w:r>
          </w:p>
        </w:tc>
        <w:tc>
          <w:tcPr>
            <w:tcW w:w="2335" w:type="dxa"/>
            <w:shd w:val="clear" w:color="auto" w:fill="B4C6E7" w:themeFill="accent1" w:themeFillTint="66"/>
          </w:tcPr>
          <w:p w14:paraId="1716A99A"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Cause/Hypothesis for HL</w:t>
            </w:r>
          </w:p>
        </w:tc>
      </w:tr>
      <w:tr w:rsidR="009E52C5" w:rsidRPr="008A615C" w14:paraId="0E806ADF" w14:textId="77777777" w:rsidTr="00F606EC">
        <w:trPr>
          <w:trHeight w:val="598"/>
        </w:trPr>
        <w:tc>
          <w:tcPr>
            <w:tcW w:w="1875" w:type="dxa"/>
            <w:shd w:val="clear" w:color="auto" w:fill="F2F2F2" w:themeFill="background1" w:themeFillShade="F2"/>
          </w:tcPr>
          <w:p w14:paraId="3C146BDD"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Lorenz-</w:t>
            </w:r>
            <w:proofErr w:type="spellStart"/>
            <w:r w:rsidRPr="006F6977">
              <w:rPr>
                <w:rFonts w:ascii="Calibri" w:hAnsi="Calibri" w:cs="Calibri"/>
                <w:sz w:val="21"/>
                <w:szCs w:val="21"/>
              </w:rPr>
              <w:t>Depieruex</w:t>
            </w:r>
            <w:proofErr w:type="spellEnd"/>
            <w:r w:rsidRPr="006F6977">
              <w:rPr>
                <w:rFonts w:ascii="Calibri" w:hAnsi="Calibri" w:cs="Calibri"/>
                <w:sz w:val="21"/>
                <w:szCs w:val="21"/>
              </w:rPr>
              <w:t xml:space="preserve"> et al, 2010</w:t>
            </w:r>
          </w:p>
        </w:tc>
        <w:tc>
          <w:tcPr>
            <w:tcW w:w="1353" w:type="dxa"/>
            <w:shd w:val="clear" w:color="auto" w:fill="F2F2F2" w:themeFill="background1" w:themeFillShade="F2"/>
          </w:tcPr>
          <w:p w14:paraId="767AD8B2"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Case report</w:t>
            </w:r>
          </w:p>
        </w:tc>
        <w:tc>
          <w:tcPr>
            <w:tcW w:w="2011" w:type="dxa"/>
            <w:shd w:val="clear" w:color="auto" w:fill="F2F2F2" w:themeFill="background1" w:themeFillShade="F2"/>
          </w:tcPr>
          <w:p w14:paraId="61D81594"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SNHL</w:t>
            </w:r>
          </w:p>
        </w:tc>
        <w:tc>
          <w:tcPr>
            <w:tcW w:w="2713" w:type="dxa"/>
            <w:shd w:val="clear" w:color="auto" w:fill="F2F2F2" w:themeFill="background1" w:themeFillShade="F2"/>
          </w:tcPr>
          <w:p w14:paraId="39C0C4C7"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4-year-old boy</w:t>
            </w:r>
          </w:p>
        </w:tc>
        <w:tc>
          <w:tcPr>
            <w:tcW w:w="2335" w:type="dxa"/>
            <w:shd w:val="clear" w:color="auto" w:fill="F2F2F2" w:themeFill="background1" w:themeFillShade="F2"/>
          </w:tcPr>
          <w:p w14:paraId="3349E35B"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 xml:space="preserve">SNHL hypothesized due to calcification of the arteries supplying the inner ear </w:t>
            </w:r>
          </w:p>
          <w:p w14:paraId="34A3E477" w14:textId="77777777" w:rsidR="009E52C5" w:rsidRPr="006F6977" w:rsidRDefault="009E52C5" w:rsidP="006F6977">
            <w:pPr>
              <w:spacing w:line="240" w:lineRule="auto"/>
              <w:rPr>
                <w:rFonts w:ascii="Calibri" w:hAnsi="Calibri" w:cs="Calibri"/>
                <w:sz w:val="21"/>
                <w:szCs w:val="21"/>
              </w:rPr>
            </w:pPr>
          </w:p>
        </w:tc>
      </w:tr>
      <w:tr w:rsidR="009E52C5" w:rsidRPr="008A615C" w14:paraId="2CA2A385" w14:textId="77777777" w:rsidTr="00F606EC">
        <w:trPr>
          <w:trHeight w:val="581"/>
        </w:trPr>
        <w:tc>
          <w:tcPr>
            <w:tcW w:w="1875" w:type="dxa"/>
            <w:vMerge w:val="restart"/>
          </w:tcPr>
          <w:p w14:paraId="6F90A4FB" w14:textId="77777777" w:rsidR="009E52C5" w:rsidRPr="006F6977" w:rsidRDefault="009E52C5" w:rsidP="006F6977">
            <w:pPr>
              <w:spacing w:line="240" w:lineRule="auto"/>
              <w:rPr>
                <w:rFonts w:ascii="Calibri" w:hAnsi="Calibri" w:cs="Calibri"/>
                <w:sz w:val="21"/>
                <w:szCs w:val="21"/>
              </w:rPr>
            </w:pPr>
            <w:proofErr w:type="spellStart"/>
            <w:r w:rsidRPr="006F6977">
              <w:rPr>
                <w:rFonts w:ascii="Calibri" w:hAnsi="Calibri" w:cs="Calibri"/>
                <w:sz w:val="21"/>
                <w:szCs w:val="21"/>
              </w:rPr>
              <w:t>Nitschke</w:t>
            </w:r>
            <w:proofErr w:type="spellEnd"/>
            <w:r w:rsidRPr="006F6977">
              <w:rPr>
                <w:rFonts w:ascii="Calibri" w:hAnsi="Calibri" w:cs="Calibri"/>
                <w:sz w:val="21"/>
                <w:szCs w:val="21"/>
              </w:rPr>
              <w:t xml:space="preserve"> et al, 2012</w:t>
            </w:r>
          </w:p>
        </w:tc>
        <w:tc>
          <w:tcPr>
            <w:tcW w:w="1353" w:type="dxa"/>
            <w:vMerge w:val="restart"/>
          </w:tcPr>
          <w:p w14:paraId="1B162553"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Case series (n=3)</w:t>
            </w:r>
          </w:p>
        </w:tc>
        <w:tc>
          <w:tcPr>
            <w:tcW w:w="2011" w:type="dxa"/>
          </w:tcPr>
          <w:p w14:paraId="3BA2A99C"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CHL</w:t>
            </w:r>
          </w:p>
        </w:tc>
        <w:tc>
          <w:tcPr>
            <w:tcW w:w="2713" w:type="dxa"/>
          </w:tcPr>
          <w:p w14:paraId="6A5191F2"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9-year-old boy</w:t>
            </w:r>
          </w:p>
        </w:tc>
        <w:tc>
          <w:tcPr>
            <w:tcW w:w="2335" w:type="dxa"/>
          </w:tcPr>
          <w:p w14:paraId="5658EDAB" w14:textId="77777777" w:rsidR="009E52C5" w:rsidRPr="006F6977" w:rsidRDefault="009E52C5" w:rsidP="006F6977">
            <w:pPr>
              <w:spacing w:line="240" w:lineRule="auto"/>
              <w:rPr>
                <w:rFonts w:ascii="Calibri" w:hAnsi="Calibri" w:cs="Calibri"/>
                <w:sz w:val="21"/>
                <w:szCs w:val="21"/>
              </w:rPr>
            </w:pPr>
            <w:proofErr w:type="spellStart"/>
            <w:r w:rsidRPr="006F6977">
              <w:rPr>
                <w:rFonts w:ascii="Calibri" w:hAnsi="Calibri" w:cs="Calibri"/>
                <w:sz w:val="21"/>
                <w:szCs w:val="21"/>
              </w:rPr>
              <w:t>Stapedovestibular</w:t>
            </w:r>
            <w:proofErr w:type="spellEnd"/>
            <w:r w:rsidRPr="006F6977">
              <w:rPr>
                <w:rFonts w:ascii="Calibri" w:hAnsi="Calibri" w:cs="Calibri"/>
                <w:sz w:val="21"/>
                <w:szCs w:val="21"/>
              </w:rPr>
              <w:t xml:space="preserve"> ankylosis</w:t>
            </w:r>
          </w:p>
        </w:tc>
      </w:tr>
      <w:tr w:rsidR="009E52C5" w:rsidRPr="008A615C" w14:paraId="486BC4CF" w14:textId="77777777" w:rsidTr="00F606EC">
        <w:trPr>
          <w:trHeight w:val="299"/>
        </w:trPr>
        <w:tc>
          <w:tcPr>
            <w:tcW w:w="1875" w:type="dxa"/>
            <w:vMerge/>
          </w:tcPr>
          <w:p w14:paraId="7667FC74" w14:textId="77777777" w:rsidR="009E52C5" w:rsidRPr="006F6977" w:rsidRDefault="009E52C5" w:rsidP="006F6977">
            <w:pPr>
              <w:spacing w:line="240" w:lineRule="auto"/>
              <w:rPr>
                <w:rFonts w:ascii="Calibri" w:hAnsi="Calibri" w:cs="Calibri"/>
                <w:sz w:val="21"/>
                <w:szCs w:val="21"/>
              </w:rPr>
            </w:pPr>
          </w:p>
        </w:tc>
        <w:tc>
          <w:tcPr>
            <w:tcW w:w="1353" w:type="dxa"/>
            <w:vMerge/>
          </w:tcPr>
          <w:p w14:paraId="0E4CF7DD" w14:textId="77777777" w:rsidR="009E52C5" w:rsidRPr="006F6977" w:rsidRDefault="009E52C5" w:rsidP="006F6977">
            <w:pPr>
              <w:spacing w:line="240" w:lineRule="auto"/>
              <w:rPr>
                <w:rFonts w:ascii="Calibri" w:hAnsi="Calibri" w:cs="Calibri"/>
                <w:sz w:val="21"/>
                <w:szCs w:val="21"/>
              </w:rPr>
            </w:pPr>
          </w:p>
        </w:tc>
        <w:tc>
          <w:tcPr>
            <w:tcW w:w="2011" w:type="dxa"/>
          </w:tcPr>
          <w:p w14:paraId="39CD875E"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CHL</w:t>
            </w:r>
          </w:p>
        </w:tc>
        <w:tc>
          <w:tcPr>
            <w:tcW w:w="2713" w:type="dxa"/>
          </w:tcPr>
          <w:p w14:paraId="1CCEEFD3"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5-year-old boy</w:t>
            </w:r>
          </w:p>
        </w:tc>
        <w:tc>
          <w:tcPr>
            <w:tcW w:w="2335" w:type="dxa"/>
          </w:tcPr>
          <w:p w14:paraId="49D340DA" w14:textId="77777777" w:rsidR="009E52C5" w:rsidRPr="006F6977" w:rsidRDefault="009E52C5" w:rsidP="006F6977">
            <w:pPr>
              <w:spacing w:line="240" w:lineRule="auto"/>
              <w:rPr>
                <w:rFonts w:ascii="Calibri" w:hAnsi="Calibri" w:cs="Calibri"/>
                <w:sz w:val="21"/>
                <w:szCs w:val="21"/>
              </w:rPr>
            </w:pPr>
            <w:proofErr w:type="spellStart"/>
            <w:r w:rsidRPr="006F6977">
              <w:rPr>
                <w:rFonts w:ascii="Calibri" w:hAnsi="Calibri" w:cs="Calibri"/>
                <w:sz w:val="21"/>
                <w:szCs w:val="21"/>
              </w:rPr>
              <w:t>Stapedovestibular</w:t>
            </w:r>
            <w:proofErr w:type="spellEnd"/>
            <w:r w:rsidRPr="006F6977">
              <w:rPr>
                <w:rFonts w:ascii="Calibri" w:hAnsi="Calibri" w:cs="Calibri"/>
                <w:sz w:val="21"/>
                <w:szCs w:val="21"/>
              </w:rPr>
              <w:t xml:space="preserve"> ankylosis</w:t>
            </w:r>
          </w:p>
        </w:tc>
      </w:tr>
      <w:tr w:rsidR="009E52C5" w:rsidRPr="008A615C" w14:paraId="66DF55A9" w14:textId="77777777" w:rsidTr="00F606EC">
        <w:trPr>
          <w:trHeight w:val="282"/>
        </w:trPr>
        <w:tc>
          <w:tcPr>
            <w:tcW w:w="1875" w:type="dxa"/>
            <w:vMerge/>
          </w:tcPr>
          <w:p w14:paraId="696A1C54" w14:textId="77777777" w:rsidR="009E52C5" w:rsidRPr="006F6977" w:rsidRDefault="009E52C5" w:rsidP="006F6977">
            <w:pPr>
              <w:spacing w:line="240" w:lineRule="auto"/>
              <w:rPr>
                <w:rFonts w:ascii="Calibri" w:hAnsi="Calibri" w:cs="Calibri"/>
                <w:sz w:val="21"/>
                <w:szCs w:val="21"/>
              </w:rPr>
            </w:pPr>
          </w:p>
        </w:tc>
        <w:tc>
          <w:tcPr>
            <w:tcW w:w="1353" w:type="dxa"/>
            <w:vMerge/>
          </w:tcPr>
          <w:p w14:paraId="26CDA845" w14:textId="77777777" w:rsidR="009E52C5" w:rsidRPr="006F6977" w:rsidRDefault="009E52C5" w:rsidP="006F6977">
            <w:pPr>
              <w:spacing w:line="240" w:lineRule="auto"/>
              <w:rPr>
                <w:rFonts w:ascii="Calibri" w:hAnsi="Calibri" w:cs="Calibri"/>
                <w:sz w:val="21"/>
                <w:szCs w:val="21"/>
              </w:rPr>
            </w:pPr>
          </w:p>
        </w:tc>
        <w:tc>
          <w:tcPr>
            <w:tcW w:w="2011" w:type="dxa"/>
          </w:tcPr>
          <w:p w14:paraId="3ABD2C2B"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Unspecified, progressive</w:t>
            </w:r>
          </w:p>
        </w:tc>
        <w:tc>
          <w:tcPr>
            <w:tcW w:w="2713" w:type="dxa"/>
          </w:tcPr>
          <w:p w14:paraId="065443F1"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9-year-old boy</w:t>
            </w:r>
          </w:p>
        </w:tc>
        <w:tc>
          <w:tcPr>
            <w:tcW w:w="2335" w:type="dxa"/>
          </w:tcPr>
          <w:p w14:paraId="69BF319D"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None provided</w:t>
            </w:r>
          </w:p>
        </w:tc>
      </w:tr>
      <w:tr w:rsidR="009E52C5" w:rsidRPr="008A615C" w14:paraId="0DDDDB7F" w14:textId="77777777" w:rsidTr="00F606EC">
        <w:trPr>
          <w:trHeight w:val="598"/>
        </w:trPr>
        <w:tc>
          <w:tcPr>
            <w:tcW w:w="1875" w:type="dxa"/>
            <w:shd w:val="clear" w:color="auto" w:fill="F2F2F2" w:themeFill="background1" w:themeFillShade="F2"/>
          </w:tcPr>
          <w:p w14:paraId="20E61761" w14:textId="77777777" w:rsidR="009E52C5" w:rsidRPr="006F6977" w:rsidRDefault="009E52C5" w:rsidP="006F6977">
            <w:pPr>
              <w:spacing w:line="240" w:lineRule="auto"/>
              <w:rPr>
                <w:rFonts w:ascii="Calibri" w:hAnsi="Calibri" w:cs="Calibri"/>
                <w:sz w:val="21"/>
                <w:szCs w:val="21"/>
              </w:rPr>
            </w:pPr>
            <w:proofErr w:type="spellStart"/>
            <w:r w:rsidRPr="006F6977">
              <w:rPr>
                <w:rFonts w:ascii="Calibri" w:hAnsi="Calibri" w:cs="Calibri"/>
                <w:sz w:val="21"/>
                <w:szCs w:val="21"/>
              </w:rPr>
              <w:t>Brachet</w:t>
            </w:r>
            <w:proofErr w:type="spellEnd"/>
            <w:r w:rsidRPr="006F6977">
              <w:rPr>
                <w:rFonts w:ascii="Calibri" w:hAnsi="Calibri" w:cs="Calibri"/>
                <w:sz w:val="21"/>
                <w:szCs w:val="21"/>
              </w:rPr>
              <w:t xml:space="preserve"> et al, 2014</w:t>
            </w:r>
          </w:p>
        </w:tc>
        <w:tc>
          <w:tcPr>
            <w:tcW w:w="1353" w:type="dxa"/>
            <w:shd w:val="clear" w:color="auto" w:fill="F2F2F2" w:themeFill="background1" w:themeFillShade="F2"/>
          </w:tcPr>
          <w:p w14:paraId="361B95B1"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Case report</w:t>
            </w:r>
          </w:p>
        </w:tc>
        <w:tc>
          <w:tcPr>
            <w:tcW w:w="2011" w:type="dxa"/>
            <w:shd w:val="clear" w:color="auto" w:fill="F2F2F2" w:themeFill="background1" w:themeFillShade="F2"/>
          </w:tcPr>
          <w:p w14:paraId="5B4A7CA5"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MHL with eventual improvement in CHL but persistence of SNHL</w:t>
            </w:r>
          </w:p>
        </w:tc>
        <w:tc>
          <w:tcPr>
            <w:tcW w:w="2713" w:type="dxa"/>
            <w:shd w:val="clear" w:color="auto" w:fill="F2F2F2" w:themeFill="background1" w:themeFillShade="F2"/>
          </w:tcPr>
          <w:p w14:paraId="539C9B82"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HL diagnosed at 9 days of life. PET tubes at age 1.9 and 3.7 years. Hearing aids at age 4.</w:t>
            </w:r>
          </w:p>
          <w:p w14:paraId="3A06B4B3"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 xml:space="preserve">CT scan at age 25 did not identify middle ear calcification, only external ear cartilage calcification. </w:t>
            </w:r>
          </w:p>
          <w:p w14:paraId="2E4F1524" w14:textId="77777777" w:rsidR="009E52C5" w:rsidRPr="006F6977" w:rsidRDefault="009E52C5" w:rsidP="006F6977">
            <w:pPr>
              <w:spacing w:line="240" w:lineRule="auto"/>
              <w:rPr>
                <w:rFonts w:ascii="Calibri" w:hAnsi="Calibri" w:cs="Calibri"/>
                <w:sz w:val="21"/>
                <w:szCs w:val="21"/>
              </w:rPr>
            </w:pPr>
          </w:p>
        </w:tc>
        <w:tc>
          <w:tcPr>
            <w:tcW w:w="2335" w:type="dxa"/>
            <w:shd w:val="clear" w:color="auto" w:fill="F2F2F2" w:themeFill="background1" w:themeFillShade="F2"/>
          </w:tcPr>
          <w:p w14:paraId="2AEABEF3"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CHL hypothesized to be due to middle ear calcification</w:t>
            </w:r>
          </w:p>
          <w:p w14:paraId="0AAC44F3" w14:textId="7987D014"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MHL cause unknown</w:t>
            </w:r>
            <w:r w:rsidR="009F6CC5" w:rsidRPr="006F6977">
              <w:rPr>
                <w:rFonts w:ascii="Calibri" w:hAnsi="Calibri" w:cs="Calibri"/>
                <w:sz w:val="21"/>
                <w:szCs w:val="21"/>
              </w:rPr>
              <w:t>; SNHL component hypothesized to occlusion of cochlear vasculature</w:t>
            </w:r>
          </w:p>
        </w:tc>
      </w:tr>
      <w:tr w:rsidR="009E52C5" w:rsidRPr="008A615C" w14:paraId="7BB22FBF" w14:textId="77777777" w:rsidTr="00F606EC">
        <w:trPr>
          <w:trHeight w:val="1164"/>
        </w:trPr>
        <w:tc>
          <w:tcPr>
            <w:tcW w:w="1875" w:type="dxa"/>
          </w:tcPr>
          <w:p w14:paraId="133A59FA" w14:textId="2F604D0A"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Ferreira et al, 202</w:t>
            </w:r>
            <w:r w:rsidR="00DF16FB" w:rsidRPr="006F6977">
              <w:rPr>
                <w:rFonts w:ascii="Calibri" w:hAnsi="Calibri" w:cs="Calibri"/>
                <w:sz w:val="21"/>
                <w:szCs w:val="21"/>
              </w:rPr>
              <w:t>1</w:t>
            </w:r>
          </w:p>
        </w:tc>
        <w:tc>
          <w:tcPr>
            <w:tcW w:w="1353" w:type="dxa"/>
          </w:tcPr>
          <w:p w14:paraId="409A8032"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Descriptive prospective phenotyping study</w:t>
            </w:r>
          </w:p>
        </w:tc>
        <w:tc>
          <w:tcPr>
            <w:tcW w:w="2011" w:type="dxa"/>
          </w:tcPr>
          <w:p w14:paraId="0234D6BC"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*10 patients with HL</w:t>
            </w:r>
          </w:p>
          <w:p w14:paraId="401E923C"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7 CHL</w:t>
            </w:r>
          </w:p>
          <w:p w14:paraId="6FDCDA84"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3 MHL</w:t>
            </w:r>
          </w:p>
        </w:tc>
        <w:tc>
          <w:tcPr>
            <w:tcW w:w="2713" w:type="dxa"/>
          </w:tcPr>
          <w:p w14:paraId="06B7FF2E"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Median age of diagnosis at 3.7 in all HL individuals.</w:t>
            </w:r>
          </w:p>
          <w:p w14:paraId="5BC539B0"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Kaplan-Meier estimate of developing hearing loss of 20% by age two years, 50% by four years, and 75% over a lifetime</w:t>
            </w:r>
          </w:p>
        </w:tc>
        <w:tc>
          <w:tcPr>
            <w:tcW w:w="2335" w:type="dxa"/>
          </w:tcPr>
          <w:p w14:paraId="3842F4B2" w14:textId="77777777" w:rsidR="009E52C5" w:rsidRPr="006F6977" w:rsidRDefault="009E52C5" w:rsidP="006F6977">
            <w:pPr>
              <w:spacing w:line="240" w:lineRule="auto"/>
              <w:rPr>
                <w:rFonts w:ascii="Calibri" w:hAnsi="Calibri" w:cs="Calibri"/>
                <w:sz w:val="21"/>
                <w:szCs w:val="21"/>
              </w:rPr>
            </w:pPr>
            <w:r w:rsidRPr="006F6977">
              <w:rPr>
                <w:rFonts w:ascii="Calibri" w:hAnsi="Calibri" w:cs="Calibri"/>
                <w:sz w:val="21"/>
                <w:szCs w:val="21"/>
              </w:rPr>
              <w:t>None provided</w:t>
            </w:r>
          </w:p>
        </w:tc>
      </w:tr>
    </w:tbl>
    <w:p w14:paraId="7DDE9F7B" w14:textId="77777777" w:rsidR="009E52C5" w:rsidRPr="008A615C" w:rsidRDefault="009E52C5" w:rsidP="008A615C">
      <w:pPr>
        <w:spacing w:line="480" w:lineRule="auto"/>
        <w:rPr>
          <w:rFonts w:ascii="Calibri" w:hAnsi="Calibri" w:cs="Calibri"/>
          <w:sz w:val="20"/>
          <w:szCs w:val="20"/>
        </w:rPr>
      </w:pPr>
      <w:r w:rsidRPr="008A615C">
        <w:rPr>
          <w:rFonts w:ascii="Calibri" w:hAnsi="Calibri" w:cs="Calibri"/>
          <w:sz w:val="20"/>
          <w:szCs w:val="20"/>
        </w:rPr>
        <w:t>*These 10 patients were included in the evaluation of the present study.</w:t>
      </w:r>
    </w:p>
    <w:p w14:paraId="60991D81" w14:textId="77777777" w:rsidR="009E52C5" w:rsidRPr="008A615C" w:rsidRDefault="009E52C5" w:rsidP="008A615C">
      <w:pPr>
        <w:spacing w:line="480" w:lineRule="auto"/>
        <w:rPr>
          <w:rFonts w:ascii="Calibri" w:hAnsi="Calibri" w:cs="Calibri"/>
          <w:sz w:val="28"/>
          <w:szCs w:val="28"/>
        </w:rPr>
      </w:pPr>
    </w:p>
    <w:p w14:paraId="6D0DC663" w14:textId="77777777" w:rsidR="009E52C5" w:rsidRPr="008A615C" w:rsidRDefault="009E52C5" w:rsidP="008A615C">
      <w:pPr>
        <w:spacing w:line="480" w:lineRule="auto"/>
        <w:rPr>
          <w:rFonts w:ascii="Calibri" w:hAnsi="Calibri" w:cs="Calibri"/>
          <w:sz w:val="28"/>
          <w:szCs w:val="28"/>
        </w:rPr>
      </w:pPr>
    </w:p>
    <w:p w14:paraId="73157D8C" w14:textId="0DD18010" w:rsidR="009E52C5" w:rsidRDefault="009E52C5" w:rsidP="008A615C">
      <w:pPr>
        <w:spacing w:line="480" w:lineRule="auto"/>
        <w:rPr>
          <w:rFonts w:ascii="Calibri" w:hAnsi="Calibri" w:cs="Calibri"/>
          <w:sz w:val="28"/>
          <w:szCs w:val="28"/>
        </w:rPr>
      </w:pPr>
    </w:p>
    <w:p w14:paraId="392A9D8F" w14:textId="6BAEBE87" w:rsidR="006F6977" w:rsidRPr="006F6977" w:rsidRDefault="006F6977" w:rsidP="008A615C">
      <w:pPr>
        <w:spacing w:line="480" w:lineRule="auto"/>
        <w:rPr>
          <w:rFonts w:ascii="Calibri" w:hAnsi="Calibri" w:cs="Calibri"/>
          <w:b/>
          <w:bCs/>
          <w:sz w:val="24"/>
          <w:szCs w:val="24"/>
        </w:rPr>
      </w:pPr>
      <w:r w:rsidRPr="006F6977">
        <w:rPr>
          <w:rFonts w:ascii="Calibri" w:hAnsi="Calibri" w:cs="Calibri"/>
          <w:b/>
          <w:bCs/>
          <w:sz w:val="24"/>
          <w:szCs w:val="24"/>
        </w:rPr>
        <w:lastRenderedPageBreak/>
        <w:t>SUPPLEMENTAL FIGURES</w:t>
      </w:r>
    </w:p>
    <w:p w14:paraId="1A7E5980" w14:textId="77777777" w:rsidR="009E52C5" w:rsidRPr="008A615C" w:rsidRDefault="009E52C5" w:rsidP="008A615C">
      <w:pPr>
        <w:spacing w:line="480" w:lineRule="auto"/>
        <w:rPr>
          <w:rFonts w:ascii="Calibri" w:hAnsi="Calibri" w:cs="Calibri"/>
          <w:sz w:val="28"/>
          <w:szCs w:val="28"/>
        </w:rPr>
      </w:pPr>
      <w:r w:rsidRPr="008A615C">
        <w:rPr>
          <w:rFonts w:ascii="Calibri" w:hAnsi="Calibri" w:cs="Calibri"/>
          <w:noProof/>
          <w:sz w:val="28"/>
          <w:szCs w:val="28"/>
        </w:rPr>
        <w:drawing>
          <wp:inline distT="0" distB="0" distL="0" distR="0" wp14:anchorId="16707E16" wp14:editId="74A1CE15">
            <wp:extent cx="5943600" cy="3825240"/>
            <wp:effectExtent l="0" t="0" r="0" b="3810"/>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8"/>
                    <a:stretch>
                      <a:fillRect/>
                    </a:stretch>
                  </pic:blipFill>
                  <pic:spPr>
                    <a:xfrm>
                      <a:off x="0" y="0"/>
                      <a:ext cx="5943600" cy="3825240"/>
                    </a:xfrm>
                    <a:prstGeom prst="rect">
                      <a:avLst/>
                    </a:prstGeom>
                  </pic:spPr>
                </pic:pic>
              </a:graphicData>
            </a:graphic>
          </wp:inline>
        </w:drawing>
      </w:r>
    </w:p>
    <w:p w14:paraId="7C3C3DDE" w14:textId="77777777" w:rsidR="009E52C5" w:rsidRPr="006F6977" w:rsidRDefault="009E52C5" w:rsidP="008A615C">
      <w:pPr>
        <w:spacing w:line="480" w:lineRule="auto"/>
        <w:rPr>
          <w:rFonts w:ascii="Calibri" w:hAnsi="Calibri" w:cs="Calibri"/>
          <w:sz w:val="24"/>
          <w:szCs w:val="24"/>
        </w:rPr>
      </w:pPr>
      <w:r w:rsidRPr="006F6977">
        <w:rPr>
          <w:rFonts w:ascii="Calibri" w:hAnsi="Calibri" w:cs="Calibri"/>
          <w:b/>
          <w:bCs/>
          <w:sz w:val="24"/>
          <w:szCs w:val="24"/>
        </w:rPr>
        <w:t xml:space="preserve">Figure S1. Micromorphology of murine incus from </w:t>
      </w:r>
      <w:r w:rsidRPr="006F6977">
        <w:rPr>
          <w:rFonts w:ascii="Calibri" w:hAnsi="Calibri" w:cs="Calibri"/>
          <w:b/>
          <w:bCs/>
          <w:i/>
          <w:iCs/>
          <w:sz w:val="24"/>
          <w:szCs w:val="24"/>
        </w:rPr>
        <w:t>ENPP1</w:t>
      </w:r>
      <w:r w:rsidRPr="006F6977">
        <w:rPr>
          <w:rFonts w:ascii="Calibri" w:hAnsi="Calibri" w:cs="Calibri"/>
          <w:b/>
          <w:bCs/>
          <w:i/>
          <w:iCs/>
          <w:sz w:val="24"/>
          <w:szCs w:val="24"/>
          <w:vertAlign w:val="superscript"/>
        </w:rPr>
        <w:t>asj/asj</w:t>
      </w:r>
      <w:r w:rsidRPr="006F6977">
        <w:rPr>
          <w:rFonts w:ascii="Calibri" w:hAnsi="Calibri" w:cs="Calibri"/>
          <w:b/>
          <w:bCs/>
          <w:sz w:val="24"/>
          <w:szCs w:val="24"/>
          <w:vertAlign w:val="superscript"/>
        </w:rPr>
        <w:t xml:space="preserve"> </w:t>
      </w:r>
      <w:r w:rsidRPr="006F6977">
        <w:rPr>
          <w:rFonts w:ascii="Calibri" w:hAnsi="Calibri" w:cs="Calibri"/>
          <w:b/>
          <w:bCs/>
          <w:sz w:val="24"/>
          <w:szCs w:val="24"/>
        </w:rPr>
        <w:t>mutant mice</w:t>
      </w:r>
      <w:r w:rsidRPr="006F6977">
        <w:rPr>
          <w:rFonts w:ascii="Calibri" w:hAnsi="Calibri" w:cs="Calibri"/>
          <w:sz w:val="24"/>
          <w:szCs w:val="24"/>
        </w:rPr>
        <w:t xml:space="preserve">. </w:t>
      </w:r>
      <w:proofErr w:type="spellStart"/>
      <w:r w:rsidRPr="006F6977">
        <w:rPr>
          <w:rFonts w:ascii="Calibri" w:hAnsi="Calibri" w:cs="Calibri"/>
          <w:sz w:val="24"/>
          <w:szCs w:val="24"/>
        </w:rPr>
        <w:t>qBEI</w:t>
      </w:r>
      <w:proofErr w:type="spellEnd"/>
      <w:r w:rsidRPr="006F6977">
        <w:rPr>
          <w:rFonts w:ascii="Calibri" w:hAnsi="Calibri" w:cs="Calibri"/>
          <w:sz w:val="24"/>
          <w:szCs w:val="24"/>
        </w:rPr>
        <w:t xml:space="preserve"> analysis show only statistically significant decreases in [E] mean osteocyte lacunae area (p = 0.0075).</w:t>
      </w:r>
    </w:p>
    <w:p w14:paraId="2E1E5A98" w14:textId="77777777" w:rsidR="009E52C5" w:rsidRPr="008A615C" w:rsidRDefault="009E52C5" w:rsidP="008A615C">
      <w:pPr>
        <w:spacing w:line="480" w:lineRule="auto"/>
        <w:rPr>
          <w:rFonts w:ascii="Calibri" w:hAnsi="Calibri" w:cs="Calibri"/>
          <w:sz w:val="28"/>
          <w:szCs w:val="28"/>
        </w:rPr>
      </w:pPr>
    </w:p>
    <w:p w14:paraId="5D865741" w14:textId="77777777" w:rsidR="009E52C5" w:rsidRPr="008A615C" w:rsidRDefault="009E52C5" w:rsidP="008A615C">
      <w:pPr>
        <w:spacing w:line="480" w:lineRule="auto"/>
        <w:rPr>
          <w:rFonts w:ascii="Calibri" w:hAnsi="Calibri" w:cs="Calibri"/>
          <w:sz w:val="28"/>
          <w:szCs w:val="28"/>
        </w:rPr>
      </w:pPr>
      <w:r w:rsidRPr="008A615C">
        <w:rPr>
          <w:rFonts w:ascii="Calibri" w:hAnsi="Calibri" w:cs="Calibri"/>
          <w:noProof/>
          <w:sz w:val="28"/>
          <w:szCs w:val="28"/>
        </w:rPr>
        <w:lastRenderedPageBreak/>
        <w:drawing>
          <wp:inline distT="0" distB="0" distL="0" distR="0" wp14:anchorId="7E6BEF64" wp14:editId="0DCBC199">
            <wp:extent cx="5943600" cy="4013200"/>
            <wp:effectExtent l="0" t="0" r="0" b="63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a:stretch>
                      <a:fillRect/>
                    </a:stretch>
                  </pic:blipFill>
                  <pic:spPr>
                    <a:xfrm>
                      <a:off x="0" y="0"/>
                      <a:ext cx="5943600" cy="4013200"/>
                    </a:xfrm>
                    <a:prstGeom prst="rect">
                      <a:avLst/>
                    </a:prstGeom>
                  </pic:spPr>
                </pic:pic>
              </a:graphicData>
            </a:graphic>
          </wp:inline>
        </w:drawing>
      </w:r>
    </w:p>
    <w:p w14:paraId="5677F190" w14:textId="77777777" w:rsidR="000E6740" w:rsidRPr="006F6977" w:rsidRDefault="009E52C5" w:rsidP="008A615C">
      <w:pPr>
        <w:spacing w:line="480" w:lineRule="auto"/>
        <w:rPr>
          <w:rFonts w:ascii="Calibri" w:hAnsi="Calibri" w:cs="Calibri"/>
          <w:sz w:val="24"/>
          <w:szCs w:val="24"/>
        </w:rPr>
      </w:pPr>
      <w:r w:rsidRPr="006F6977">
        <w:rPr>
          <w:rFonts w:ascii="Calibri" w:hAnsi="Calibri" w:cs="Calibri"/>
          <w:b/>
          <w:bCs/>
          <w:sz w:val="24"/>
          <w:szCs w:val="24"/>
        </w:rPr>
        <w:t xml:space="preserve">Figure S2. Micromorphology of murine stapes from </w:t>
      </w:r>
      <w:r w:rsidRPr="006F6977">
        <w:rPr>
          <w:rFonts w:ascii="Calibri" w:hAnsi="Calibri" w:cs="Calibri"/>
          <w:b/>
          <w:bCs/>
          <w:i/>
          <w:iCs/>
          <w:sz w:val="24"/>
          <w:szCs w:val="24"/>
        </w:rPr>
        <w:t>ENPP1</w:t>
      </w:r>
      <w:r w:rsidRPr="006F6977">
        <w:rPr>
          <w:rFonts w:ascii="Calibri" w:hAnsi="Calibri" w:cs="Calibri"/>
          <w:b/>
          <w:bCs/>
          <w:i/>
          <w:iCs/>
          <w:sz w:val="24"/>
          <w:szCs w:val="24"/>
          <w:vertAlign w:val="superscript"/>
        </w:rPr>
        <w:t>asj/asj</w:t>
      </w:r>
      <w:r w:rsidRPr="006F6977">
        <w:rPr>
          <w:rFonts w:ascii="Calibri" w:hAnsi="Calibri" w:cs="Calibri"/>
          <w:b/>
          <w:bCs/>
          <w:sz w:val="24"/>
          <w:szCs w:val="24"/>
          <w:vertAlign w:val="superscript"/>
        </w:rPr>
        <w:t xml:space="preserve"> </w:t>
      </w:r>
      <w:r w:rsidRPr="006F6977">
        <w:rPr>
          <w:rFonts w:ascii="Calibri" w:hAnsi="Calibri" w:cs="Calibri"/>
          <w:b/>
          <w:bCs/>
          <w:sz w:val="24"/>
          <w:szCs w:val="24"/>
        </w:rPr>
        <w:t>mutant mice</w:t>
      </w:r>
      <w:r w:rsidRPr="006F6977">
        <w:rPr>
          <w:rFonts w:ascii="Calibri" w:hAnsi="Calibri" w:cs="Calibri"/>
          <w:sz w:val="24"/>
          <w:szCs w:val="24"/>
        </w:rPr>
        <w:t xml:space="preserve">. </w:t>
      </w:r>
    </w:p>
    <w:p w14:paraId="05CE30E2" w14:textId="59741C8B" w:rsidR="009E52C5" w:rsidRPr="006F6977" w:rsidRDefault="009E52C5" w:rsidP="008A615C">
      <w:pPr>
        <w:spacing w:line="480" w:lineRule="auto"/>
        <w:rPr>
          <w:rFonts w:ascii="Calibri" w:hAnsi="Calibri" w:cs="Calibri"/>
          <w:sz w:val="24"/>
          <w:szCs w:val="24"/>
        </w:rPr>
      </w:pPr>
      <w:proofErr w:type="spellStart"/>
      <w:r w:rsidRPr="006F6977">
        <w:rPr>
          <w:rFonts w:ascii="Calibri" w:hAnsi="Calibri" w:cs="Calibri"/>
          <w:sz w:val="24"/>
          <w:szCs w:val="24"/>
        </w:rPr>
        <w:t>qBEI</w:t>
      </w:r>
      <w:proofErr w:type="spellEnd"/>
      <w:r w:rsidRPr="006F6977">
        <w:rPr>
          <w:rFonts w:ascii="Calibri" w:hAnsi="Calibri" w:cs="Calibri"/>
          <w:sz w:val="24"/>
          <w:szCs w:val="24"/>
        </w:rPr>
        <w:t xml:space="preserve"> analysis did not demonstrate statistically significant differences in the stapes.</w:t>
      </w:r>
    </w:p>
    <w:p w14:paraId="52360087" w14:textId="77777777" w:rsidR="009E52C5" w:rsidRPr="008A615C" w:rsidRDefault="009E52C5" w:rsidP="008A615C">
      <w:pPr>
        <w:spacing w:line="480" w:lineRule="auto"/>
        <w:rPr>
          <w:rFonts w:ascii="Calibri" w:hAnsi="Calibri" w:cs="Calibri"/>
          <w:b/>
          <w:bCs/>
          <w:sz w:val="28"/>
          <w:szCs w:val="28"/>
        </w:rPr>
      </w:pPr>
    </w:p>
    <w:p w14:paraId="7CBF1E3F" w14:textId="77777777" w:rsidR="009E52C5" w:rsidRPr="008A615C" w:rsidRDefault="009E52C5" w:rsidP="008A615C">
      <w:pPr>
        <w:spacing w:line="480" w:lineRule="auto"/>
        <w:rPr>
          <w:rFonts w:ascii="Calibri" w:hAnsi="Calibri" w:cs="Calibri"/>
          <w:b/>
          <w:bCs/>
          <w:sz w:val="28"/>
          <w:szCs w:val="28"/>
        </w:rPr>
      </w:pPr>
    </w:p>
    <w:p w14:paraId="3244C396" w14:textId="77777777" w:rsidR="006F6977" w:rsidRDefault="006F6977" w:rsidP="008A615C">
      <w:pPr>
        <w:spacing w:after="0" w:line="480" w:lineRule="auto"/>
        <w:rPr>
          <w:rFonts w:ascii="Calibri" w:hAnsi="Calibri" w:cs="Calibri"/>
          <w:b/>
          <w:bCs/>
          <w:color w:val="000000" w:themeColor="text1"/>
          <w:sz w:val="24"/>
          <w:szCs w:val="24"/>
        </w:rPr>
      </w:pPr>
    </w:p>
    <w:p w14:paraId="6E8C0B5A" w14:textId="77777777" w:rsidR="006F6977" w:rsidRDefault="006F6977" w:rsidP="008A615C">
      <w:pPr>
        <w:spacing w:after="0" w:line="480" w:lineRule="auto"/>
        <w:rPr>
          <w:rFonts w:ascii="Calibri" w:hAnsi="Calibri" w:cs="Calibri"/>
          <w:b/>
          <w:bCs/>
          <w:color w:val="000000" w:themeColor="text1"/>
          <w:sz w:val="24"/>
          <w:szCs w:val="24"/>
        </w:rPr>
      </w:pPr>
    </w:p>
    <w:p w14:paraId="4278CFDB" w14:textId="77777777" w:rsidR="006F6977" w:rsidRDefault="006F6977" w:rsidP="008A615C">
      <w:pPr>
        <w:spacing w:after="0" w:line="480" w:lineRule="auto"/>
        <w:rPr>
          <w:rFonts w:ascii="Calibri" w:hAnsi="Calibri" w:cs="Calibri"/>
          <w:b/>
          <w:bCs/>
          <w:color w:val="000000" w:themeColor="text1"/>
          <w:sz w:val="24"/>
          <w:szCs w:val="24"/>
        </w:rPr>
      </w:pPr>
    </w:p>
    <w:p w14:paraId="1743C3E4" w14:textId="77777777" w:rsidR="006F6977" w:rsidRDefault="006F6977" w:rsidP="008A615C">
      <w:pPr>
        <w:spacing w:after="0" w:line="480" w:lineRule="auto"/>
        <w:rPr>
          <w:rFonts w:ascii="Calibri" w:hAnsi="Calibri" w:cs="Calibri"/>
          <w:b/>
          <w:bCs/>
          <w:color w:val="000000" w:themeColor="text1"/>
          <w:sz w:val="24"/>
          <w:szCs w:val="24"/>
        </w:rPr>
      </w:pPr>
    </w:p>
    <w:p w14:paraId="386F20CF" w14:textId="77777777" w:rsidR="006F6977" w:rsidRDefault="006F6977" w:rsidP="008A615C">
      <w:pPr>
        <w:spacing w:after="0" w:line="480" w:lineRule="auto"/>
        <w:rPr>
          <w:rFonts w:ascii="Calibri" w:hAnsi="Calibri" w:cs="Calibri"/>
          <w:b/>
          <w:bCs/>
          <w:color w:val="000000" w:themeColor="text1"/>
          <w:sz w:val="24"/>
          <w:szCs w:val="24"/>
        </w:rPr>
      </w:pPr>
    </w:p>
    <w:p w14:paraId="10931BCD" w14:textId="1DBEB694" w:rsidR="009B7DF5" w:rsidRPr="006F6977" w:rsidRDefault="009B7DF5" w:rsidP="008A615C">
      <w:pPr>
        <w:spacing w:after="0" w:line="480" w:lineRule="auto"/>
        <w:rPr>
          <w:rFonts w:ascii="Calibri" w:hAnsi="Calibri" w:cs="Calibri"/>
          <w:b/>
          <w:bCs/>
          <w:color w:val="000000" w:themeColor="text1"/>
          <w:sz w:val="24"/>
          <w:szCs w:val="24"/>
        </w:rPr>
      </w:pPr>
      <w:r w:rsidRPr="006F6977">
        <w:rPr>
          <w:rFonts w:ascii="Calibri" w:hAnsi="Calibri" w:cs="Calibri"/>
          <w:b/>
          <w:bCs/>
          <w:color w:val="000000" w:themeColor="text1"/>
          <w:sz w:val="24"/>
          <w:szCs w:val="24"/>
        </w:rPr>
        <w:lastRenderedPageBreak/>
        <w:t>Supplemental References</w:t>
      </w:r>
    </w:p>
    <w:p w14:paraId="769E4489" w14:textId="77777777" w:rsidR="009B7DF5" w:rsidRPr="008A615C" w:rsidRDefault="009B7DF5" w:rsidP="008A615C">
      <w:pPr>
        <w:pStyle w:val="EndNoteBibliography"/>
        <w:numPr>
          <w:ilvl w:val="0"/>
          <w:numId w:val="4"/>
        </w:numPr>
        <w:spacing w:after="0" w:line="480" w:lineRule="auto"/>
      </w:pPr>
      <w:r w:rsidRPr="008A615C">
        <w:t xml:space="preserve">Margolis RH, Heller JW. Screening tympanometry: criteria for medical referral. </w:t>
      </w:r>
      <w:r w:rsidRPr="008A615C">
        <w:rPr>
          <w:i/>
        </w:rPr>
        <w:t>Audiology</w:t>
      </w:r>
      <w:r w:rsidRPr="008A615C">
        <w:t>. 1987;26(4):197-208. doi:10.3109/00206098709081549</w:t>
      </w:r>
    </w:p>
    <w:p w14:paraId="30B83D66" w14:textId="5261EB5D" w:rsidR="009B7DF5" w:rsidRPr="008A615C" w:rsidRDefault="009B7DF5" w:rsidP="008A615C">
      <w:pPr>
        <w:pStyle w:val="ListParagraph"/>
        <w:numPr>
          <w:ilvl w:val="0"/>
          <w:numId w:val="4"/>
        </w:numPr>
        <w:spacing w:line="480" w:lineRule="auto"/>
        <w:rPr>
          <w:rFonts w:ascii="Calibri" w:hAnsi="Calibri" w:cs="Calibri"/>
        </w:rPr>
      </w:pPr>
      <w:r w:rsidRPr="008A615C">
        <w:rPr>
          <w:rFonts w:ascii="Calibri" w:hAnsi="Calibri" w:cs="Calibri"/>
        </w:rPr>
        <w:t xml:space="preserve">Gelfand SA, </w:t>
      </w:r>
      <w:proofErr w:type="spellStart"/>
      <w:r w:rsidRPr="008A615C">
        <w:rPr>
          <w:rFonts w:ascii="Calibri" w:hAnsi="Calibri" w:cs="Calibri"/>
        </w:rPr>
        <w:t>Schwander</w:t>
      </w:r>
      <w:proofErr w:type="spellEnd"/>
      <w:r w:rsidRPr="008A615C">
        <w:rPr>
          <w:rFonts w:ascii="Calibri" w:hAnsi="Calibri" w:cs="Calibri"/>
        </w:rPr>
        <w:t xml:space="preserve"> T, </w:t>
      </w:r>
      <w:proofErr w:type="spellStart"/>
      <w:r w:rsidRPr="008A615C">
        <w:rPr>
          <w:rFonts w:ascii="Calibri" w:hAnsi="Calibri" w:cs="Calibri"/>
        </w:rPr>
        <w:t>Silman</w:t>
      </w:r>
      <w:proofErr w:type="spellEnd"/>
      <w:r w:rsidRPr="008A615C">
        <w:rPr>
          <w:rFonts w:ascii="Calibri" w:hAnsi="Calibri" w:cs="Calibri"/>
        </w:rPr>
        <w:t xml:space="preserve"> S. Acoustic reflex thresholds in normal and cochlear-impaired ears: effects of no-response rates on 90th percentiles in a large sample. </w:t>
      </w:r>
      <w:r w:rsidRPr="008A615C">
        <w:rPr>
          <w:rFonts w:ascii="Calibri" w:hAnsi="Calibri" w:cs="Calibri"/>
          <w:i/>
        </w:rPr>
        <w:t xml:space="preserve">J Speech Hear </w:t>
      </w:r>
      <w:proofErr w:type="spellStart"/>
      <w:r w:rsidRPr="008A615C">
        <w:rPr>
          <w:rFonts w:ascii="Calibri" w:hAnsi="Calibri" w:cs="Calibri"/>
          <w:i/>
        </w:rPr>
        <w:t>Disord</w:t>
      </w:r>
      <w:proofErr w:type="spellEnd"/>
      <w:r w:rsidRPr="008A615C">
        <w:rPr>
          <w:rFonts w:ascii="Calibri" w:hAnsi="Calibri" w:cs="Calibri"/>
        </w:rPr>
        <w:t>. May</w:t>
      </w:r>
      <w:r w:rsidR="00814A4F" w:rsidRPr="008A615C">
        <w:rPr>
          <w:rFonts w:ascii="Calibri" w:hAnsi="Calibri" w:cs="Calibri"/>
        </w:rPr>
        <w:t>; 55(2):198-205. doi: 10.1044/jshd.5502.198. PMID: 2329784.</w:t>
      </w:r>
    </w:p>
    <w:p w14:paraId="27182ED3" w14:textId="77777777" w:rsidR="009B7DF5" w:rsidRPr="008A615C" w:rsidRDefault="009B7DF5" w:rsidP="008A615C">
      <w:pPr>
        <w:pStyle w:val="EndNoteBibliography"/>
        <w:numPr>
          <w:ilvl w:val="0"/>
          <w:numId w:val="4"/>
        </w:numPr>
        <w:spacing w:after="0" w:line="480" w:lineRule="auto"/>
      </w:pPr>
      <w:r w:rsidRPr="008A615C">
        <w:t xml:space="preserve">Roschger P, Lombardi A, Misof BM, et al. Mineralization density distribution of postmenopausal osteoporotic bone is restored to normal after long-term alendronate treatment: qBEI and sSAXS data from the fracture intervention trial long-term extension (FLEX). </w:t>
      </w:r>
      <w:r w:rsidRPr="008A615C">
        <w:rPr>
          <w:i/>
        </w:rPr>
        <w:t>J Bone Miner Res</w:t>
      </w:r>
      <w:r w:rsidRPr="008A615C">
        <w:t>. Jan 2010;25(1):48-55. doi:10.1359/jbmr.090702</w:t>
      </w:r>
    </w:p>
    <w:p w14:paraId="65C9140A" w14:textId="77777777" w:rsidR="009B7DF5" w:rsidRPr="008A615C" w:rsidRDefault="009B7DF5" w:rsidP="008A615C">
      <w:pPr>
        <w:pStyle w:val="EndNoteBibliography"/>
        <w:numPr>
          <w:ilvl w:val="0"/>
          <w:numId w:val="4"/>
        </w:numPr>
        <w:spacing w:after="0" w:line="480" w:lineRule="auto"/>
      </w:pPr>
      <w:r w:rsidRPr="008A615C">
        <w:t xml:space="preserve">Rolvien T, Schmidt FN, Milovanovic P, et al. Early bone tissue aging in human auditory ossicles is accompanied by excessive hypermineralization, osteocyte death and micropetrosis. </w:t>
      </w:r>
      <w:r w:rsidRPr="008A615C">
        <w:rPr>
          <w:i/>
        </w:rPr>
        <w:t>Sci Rep</w:t>
      </w:r>
      <w:r w:rsidRPr="008A615C">
        <w:t>. Jan 30 2018;8(1):1920. doi:10.1038/s41598-018-19803-2</w:t>
      </w:r>
    </w:p>
    <w:p w14:paraId="6E12B718" w14:textId="77777777" w:rsidR="009B7DF5" w:rsidRPr="008A615C" w:rsidRDefault="009B7DF5" w:rsidP="008A615C">
      <w:pPr>
        <w:pStyle w:val="EndNoteBibliography"/>
        <w:numPr>
          <w:ilvl w:val="0"/>
          <w:numId w:val="4"/>
        </w:numPr>
        <w:spacing w:after="0" w:line="480" w:lineRule="auto"/>
      </w:pPr>
      <w:r w:rsidRPr="008A615C">
        <w:t xml:space="preserve">Mazzoli M, van Camp G, Newton V, Giarbini N, Declau F, Parving A. Recommendations for the Description of Genetic and Audiological Data for Families with Nonsyndromic Hereditary Hearing Impairment. </w:t>
      </w:r>
      <w:r w:rsidRPr="008A615C">
        <w:rPr>
          <w:i/>
        </w:rPr>
        <w:t>Audiological Medicine</w:t>
      </w:r>
      <w:r w:rsidRPr="008A615C">
        <w:t xml:space="preserve">. 07/11 2009;1:148-150. </w:t>
      </w:r>
    </w:p>
    <w:p w14:paraId="4C9BFF4D" w14:textId="77777777" w:rsidR="009E52C5" w:rsidRPr="008A615C" w:rsidRDefault="009E52C5" w:rsidP="008A615C">
      <w:pPr>
        <w:spacing w:line="480" w:lineRule="auto"/>
        <w:rPr>
          <w:rFonts w:ascii="Calibri" w:hAnsi="Calibri" w:cs="Calibri"/>
          <w:b/>
          <w:bCs/>
          <w:sz w:val="28"/>
          <w:szCs w:val="28"/>
        </w:rPr>
      </w:pPr>
    </w:p>
    <w:sectPr w:rsidR="009E52C5" w:rsidRPr="008A61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37F31" w14:textId="77777777" w:rsidR="00A84592" w:rsidRDefault="00A84592" w:rsidP="003C720D">
      <w:pPr>
        <w:spacing w:after="0" w:line="240" w:lineRule="auto"/>
      </w:pPr>
      <w:r>
        <w:separator/>
      </w:r>
    </w:p>
  </w:endnote>
  <w:endnote w:type="continuationSeparator" w:id="0">
    <w:p w14:paraId="7E614EC0" w14:textId="77777777" w:rsidR="00A84592" w:rsidRDefault="00A84592" w:rsidP="003C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DD0B" w14:textId="77777777" w:rsidR="00A84592" w:rsidRDefault="00A84592" w:rsidP="003C720D">
      <w:pPr>
        <w:spacing w:after="0" w:line="240" w:lineRule="auto"/>
      </w:pPr>
      <w:r>
        <w:separator/>
      </w:r>
    </w:p>
  </w:footnote>
  <w:footnote w:type="continuationSeparator" w:id="0">
    <w:p w14:paraId="18AD9AF0" w14:textId="77777777" w:rsidR="00A84592" w:rsidRDefault="00A84592" w:rsidP="003C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3228" w14:textId="31021A9D" w:rsidR="003C720D" w:rsidRPr="008A615C" w:rsidRDefault="003C720D">
    <w:pPr>
      <w:pStyle w:val="Header"/>
      <w:rPr>
        <w:rFonts w:ascii="Calibri" w:hAnsi="Calibri" w:cs="Calibri"/>
        <w:sz w:val="24"/>
        <w:szCs w:val="24"/>
      </w:rPr>
    </w:pPr>
    <w:r w:rsidRPr="008A615C">
      <w:rPr>
        <w:rFonts w:ascii="Calibri" w:hAnsi="Calibri" w:cs="Calibri"/>
        <w:sz w:val="24"/>
        <w:szCs w:val="24"/>
      </w:rPr>
      <w:t>Supplemental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BE8"/>
    <w:multiLevelType w:val="hybridMultilevel"/>
    <w:tmpl w:val="20B08960"/>
    <w:lvl w:ilvl="0" w:tplc="81D2E7C6">
      <w:start w:val="1"/>
      <w:numFmt w:val="decimal"/>
      <w:lvlText w:val="%1."/>
      <w:lvlJc w:val="left"/>
      <w:pPr>
        <w:ind w:left="720" w:hanging="360"/>
      </w:pPr>
      <w:rPr>
        <w:rFonts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0D291D"/>
    <w:multiLevelType w:val="hybridMultilevel"/>
    <w:tmpl w:val="F3382D26"/>
    <w:lvl w:ilvl="0" w:tplc="285CB2D4">
      <w:start w:val="1"/>
      <w:numFmt w:val="decimal"/>
      <w:lvlText w:val="%1."/>
      <w:lvlJc w:val="left"/>
      <w:pPr>
        <w:ind w:left="720" w:hanging="360"/>
      </w:pPr>
      <w:rPr>
        <w:rFonts w:ascii="Calibri" w:eastAsiaTheme="minorHAnsi" w:hAnsi="Calibri" w:cs="Calibri"/>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CD5E71"/>
    <w:multiLevelType w:val="hybridMultilevel"/>
    <w:tmpl w:val="A8BA9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2A27FD"/>
    <w:multiLevelType w:val="hybridMultilevel"/>
    <w:tmpl w:val="0CC68142"/>
    <w:lvl w:ilvl="0" w:tplc="285CB2D4">
      <w:start w:val="1"/>
      <w:numFmt w:val="decimal"/>
      <w:lvlText w:val="%1."/>
      <w:lvlJc w:val="left"/>
      <w:pPr>
        <w:ind w:left="720" w:hanging="360"/>
      </w:pPr>
      <w:rPr>
        <w:rFonts w:ascii="Calibri" w:eastAsiaTheme="minorHAnsi" w:hAnsi="Calibri" w:cs="Calibri"/>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BB"/>
    <w:rsid w:val="00003846"/>
    <w:rsid w:val="00007F69"/>
    <w:rsid w:val="00010CB1"/>
    <w:rsid w:val="00013DCD"/>
    <w:rsid w:val="000145FB"/>
    <w:rsid w:val="000243F8"/>
    <w:rsid w:val="0002528E"/>
    <w:rsid w:val="000363A9"/>
    <w:rsid w:val="00044BF7"/>
    <w:rsid w:val="00045E42"/>
    <w:rsid w:val="00045FB9"/>
    <w:rsid w:val="00050634"/>
    <w:rsid w:val="00050E94"/>
    <w:rsid w:val="000515D5"/>
    <w:rsid w:val="0005435A"/>
    <w:rsid w:val="00056BF8"/>
    <w:rsid w:val="00063084"/>
    <w:rsid w:val="0006376D"/>
    <w:rsid w:val="00065B9A"/>
    <w:rsid w:val="000672BE"/>
    <w:rsid w:val="00070BEE"/>
    <w:rsid w:val="00071661"/>
    <w:rsid w:val="00073690"/>
    <w:rsid w:val="00073A17"/>
    <w:rsid w:val="00074546"/>
    <w:rsid w:val="00075628"/>
    <w:rsid w:val="000777A9"/>
    <w:rsid w:val="00077EBE"/>
    <w:rsid w:val="000810A2"/>
    <w:rsid w:val="0008196A"/>
    <w:rsid w:val="000854E9"/>
    <w:rsid w:val="00085BE9"/>
    <w:rsid w:val="00090166"/>
    <w:rsid w:val="0009189E"/>
    <w:rsid w:val="00092A99"/>
    <w:rsid w:val="0009351A"/>
    <w:rsid w:val="00094104"/>
    <w:rsid w:val="000A493D"/>
    <w:rsid w:val="000A602F"/>
    <w:rsid w:val="000A69B8"/>
    <w:rsid w:val="000A6F88"/>
    <w:rsid w:val="000A799C"/>
    <w:rsid w:val="000A7C87"/>
    <w:rsid w:val="000B19C3"/>
    <w:rsid w:val="000B2CBA"/>
    <w:rsid w:val="000C03D6"/>
    <w:rsid w:val="000D2559"/>
    <w:rsid w:val="000D4670"/>
    <w:rsid w:val="000D5B4A"/>
    <w:rsid w:val="000D619C"/>
    <w:rsid w:val="000D680A"/>
    <w:rsid w:val="000E0E81"/>
    <w:rsid w:val="000E235D"/>
    <w:rsid w:val="000E25E8"/>
    <w:rsid w:val="000E3D8B"/>
    <w:rsid w:val="000E57ED"/>
    <w:rsid w:val="000E6740"/>
    <w:rsid w:val="000E6E27"/>
    <w:rsid w:val="0010239B"/>
    <w:rsid w:val="001079BE"/>
    <w:rsid w:val="00111D2B"/>
    <w:rsid w:val="0011297F"/>
    <w:rsid w:val="0011524E"/>
    <w:rsid w:val="00116EDA"/>
    <w:rsid w:val="00120459"/>
    <w:rsid w:val="00120C0C"/>
    <w:rsid w:val="0012656C"/>
    <w:rsid w:val="0013156E"/>
    <w:rsid w:val="00133E7B"/>
    <w:rsid w:val="0013708A"/>
    <w:rsid w:val="001376AC"/>
    <w:rsid w:val="00137B91"/>
    <w:rsid w:val="00140980"/>
    <w:rsid w:val="00141F99"/>
    <w:rsid w:val="0014505E"/>
    <w:rsid w:val="00145BD3"/>
    <w:rsid w:val="00150BE6"/>
    <w:rsid w:val="00152461"/>
    <w:rsid w:val="001527CA"/>
    <w:rsid w:val="00153FF0"/>
    <w:rsid w:val="00161631"/>
    <w:rsid w:val="0016201E"/>
    <w:rsid w:val="001625C5"/>
    <w:rsid w:val="00162D5F"/>
    <w:rsid w:val="00166653"/>
    <w:rsid w:val="00166C4A"/>
    <w:rsid w:val="00170376"/>
    <w:rsid w:val="0017040B"/>
    <w:rsid w:val="00171631"/>
    <w:rsid w:val="0017201C"/>
    <w:rsid w:val="00173328"/>
    <w:rsid w:val="001757AA"/>
    <w:rsid w:val="00176122"/>
    <w:rsid w:val="0017722F"/>
    <w:rsid w:val="001907A9"/>
    <w:rsid w:val="001A0AE4"/>
    <w:rsid w:val="001A2F2A"/>
    <w:rsid w:val="001A34B5"/>
    <w:rsid w:val="001A4D2C"/>
    <w:rsid w:val="001B2898"/>
    <w:rsid w:val="001B3149"/>
    <w:rsid w:val="001B75A2"/>
    <w:rsid w:val="001D0C30"/>
    <w:rsid w:val="001D15E3"/>
    <w:rsid w:val="001E2682"/>
    <w:rsid w:val="001E54E9"/>
    <w:rsid w:val="001F46E3"/>
    <w:rsid w:val="00201BFC"/>
    <w:rsid w:val="0020301F"/>
    <w:rsid w:val="00206D98"/>
    <w:rsid w:val="00206E99"/>
    <w:rsid w:val="00207503"/>
    <w:rsid w:val="00210407"/>
    <w:rsid w:val="0021052C"/>
    <w:rsid w:val="00211DE5"/>
    <w:rsid w:val="00217DED"/>
    <w:rsid w:val="00217EB3"/>
    <w:rsid w:val="00225884"/>
    <w:rsid w:val="0022783E"/>
    <w:rsid w:val="00231147"/>
    <w:rsid w:val="00233420"/>
    <w:rsid w:val="00237223"/>
    <w:rsid w:val="0023757D"/>
    <w:rsid w:val="00237E7F"/>
    <w:rsid w:val="00240D3B"/>
    <w:rsid w:val="00244281"/>
    <w:rsid w:val="00246F6E"/>
    <w:rsid w:val="00250768"/>
    <w:rsid w:val="00251E2D"/>
    <w:rsid w:val="002576D5"/>
    <w:rsid w:val="00257896"/>
    <w:rsid w:val="00260102"/>
    <w:rsid w:val="002626DB"/>
    <w:rsid w:val="002651B4"/>
    <w:rsid w:val="00266471"/>
    <w:rsid w:val="00267679"/>
    <w:rsid w:val="00270015"/>
    <w:rsid w:val="0027334F"/>
    <w:rsid w:val="00276363"/>
    <w:rsid w:val="00281EA0"/>
    <w:rsid w:val="00283FD8"/>
    <w:rsid w:val="002A0293"/>
    <w:rsid w:val="002A2750"/>
    <w:rsid w:val="002A2DDB"/>
    <w:rsid w:val="002B37A7"/>
    <w:rsid w:val="002B701B"/>
    <w:rsid w:val="002C3E19"/>
    <w:rsid w:val="002D32A2"/>
    <w:rsid w:val="002D36A9"/>
    <w:rsid w:val="002D4E3B"/>
    <w:rsid w:val="002D509A"/>
    <w:rsid w:val="002E2E53"/>
    <w:rsid w:val="002E3DA8"/>
    <w:rsid w:val="002E5366"/>
    <w:rsid w:val="002F0E97"/>
    <w:rsid w:val="002F341D"/>
    <w:rsid w:val="002F4CF6"/>
    <w:rsid w:val="002F5426"/>
    <w:rsid w:val="002F7C17"/>
    <w:rsid w:val="00303025"/>
    <w:rsid w:val="003078EE"/>
    <w:rsid w:val="00314670"/>
    <w:rsid w:val="0031490F"/>
    <w:rsid w:val="003201CB"/>
    <w:rsid w:val="003208AA"/>
    <w:rsid w:val="00320C11"/>
    <w:rsid w:val="00334521"/>
    <w:rsid w:val="0033515D"/>
    <w:rsid w:val="0033657C"/>
    <w:rsid w:val="00337757"/>
    <w:rsid w:val="003412A7"/>
    <w:rsid w:val="003429B7"/>
    <w:rsid w:val="00347630"/>
    <w:rsid w:val="00351C9B"/>
    <w:rsid w:val="00354D42"/>
    <w:rsid w:val="00356DBD"/>
    <w:rsid w:val="0035762F"/>
    <w:rsid w:val="0036456F"/>
    <w:rsid w:val="00373155"/>
    <w:rsid w:val="00373BF5"/>
    <w:rsid w:val="0037558F"/>
    <w:rsid w:val="00377692"/>
    <w:rsid w:val="003844B9"/>
    <w:rsid w:val="00385837"/>
    <w:rsid w:val="003913F9"/>
    <w:rsid w:val="00393B0A"/>
    <w:rsid w:val="003A21B3"/>
    <w:rsid w:val="003A405D"/>
    <w:rsid w:val="003A61D2"/>
    <w:rsid w:val="003B3435"/>
    <w:rsid w:val="003B67A3"/>
    <w:rsid w:val="003B76BB"/>
    <w:rsid w:val="003C057D"/>
    <w:rsid w:val="003C3509"/>
    <w:rsid w:val="003C5C22"/>
    <w:rsid w:val="003C720D"/>
    <w:rsid w:val="003D275D"/>
    <w:rsid w:val="003D601A"/>
    <w:rsid w:val="003E1FF7"/>
    <w:rsid w:val="003E6534"/>
    <w:rsid w:val="003F1C0A"/>
    <w:rsid w:val="00400B0B"/>
    <w:rsid w:val="004040B7"/>
    <w:rsid w:val="0040660D"/>
    <w:rsid w:val="004108AB"/>
    <w:rsid w:val="004119CB"/>
    <w:rsid w:val="0041253E"/>
    <w:rsid w:val="0041438A"/>
    <w:rsid w:val="004223A2"/>
    <w:rsid w:val="00424472"/>
    <w:rsid w:val="00426455"/>
    <w:rsid w:val="00431EE5"/>
    <w:rsid w:val="004330EF"/>
    <w:rsid w:val="00442BDF"/>
    <w:rsid w:val="00443BEB"/>
    <w:rsid w:val="0044520F"/>
    <w:rsid w:val="0044778D"/>
    <w:rsid w:val="00447E1E"/>
    <w:rsid w:val="00452AF5"/>
    <w:rsid w:val="00453050"/>
    <w:rsid w:val="004545C5"/>
    <w:rsid w:val="00460A6C"/>
    <w:rsid w:val="00463050"/>
    <w:rsid w:val="00466E0B"/>
    <w:rsid w:val="004671F1"/>
    <w:rsid w:val="00470FA4"/>
    <w:rsid w:val="00472276"/>
    <w:rsid w:val="00472EA0"/>
    <w:rsid w:val="004730DB"/>
    <w:rsid w:val="004742CC"/>
    <w:rsid w:val="00475FB0"/>
    <w:rsid w:val="00476EB9"/>
    <w:rsid w:val="0048686A"/>
    <w:rsid w:val="00492C46"/>
    <w:rsid w:val="00495A48"/>
    <w:rsid w:val="004979BE"/>
    <w:rsid w:val="00497D3F"/>
    <w:rsid w:val="004A0006"/>
    <w:rsid w:val="004A29F6"/>
    <w:rsid w:val="004A2C03"/>
    <w:rsid w:val="004B4536"/>
    <w:rsid w:val="004B6954"/>
    <w:rsid w:val="004B77E8"/>
    <w:rsid w:val="004C6EA4"/>
    <w:rsid w:val="004D1766"/>
    <w:rsid w:val="004D21C4"/>
    <w:rsid w:val="004D26E0"/>
    <w:rsid w:val="004D2C37"/>
    <w:rsid w:val="004D4484"/>
    <w:rsid w:val="004D620E"/>
    <w:rsid w:val="004D72F2"/>
    <w:rsid w:val="004D79F5"/>
    <w:rsid w:val="004E0459"/>
    <w:rsid w:val="004E2F3A"/>
    <w:rsid w:val="004E3109"/>
    <w:rsid w:val="004E7F2D"/>
    <w:rsid w:val="004F4648"/>
    <w:rsid w:val="004F51E1"/>
    <w:rsid w:val="005039BF"/>
    <w:rsid w:val="00503B2E"/>
    <w:rsid w:val="00512AD8"/>
    <w:rsid w:val="00512C23"/>
    <w:rsid w:val="0051561C"/>
    <w:rsid w:val="005161E1"/>
    <w:rsid w:val="005213FF"/>
    <w:rsid w:val="00522ADA"/>
    <w:rsid w:val="0053475F"/>
    <w:rsid w:val="00552A4B"/>
    <w:rsid w:val="00555258"/>
    <w:rsid w:val="005578F5"/>
    <w:rsid w:val="00561E35"/>
    <w:rsid w:val="00563AB8"/>
    <w:rsid w:val="00570D5F"/>
    <w:rsid w:val="00573318"/>
    <w:rsid w:val="00582BBE"/>
    <w:rsid w:val="005833BF"/>
    <w:rsid w:val="005844D9"/>
    <w:rsid w:val="00585691"/>
    <w:rsid w:val="005869F4"/>
    <w:rsid w:val="00591A03"/>
    <w:rsid w:val="005927A1"/>
    <w:rsid w:val="00593965"/>
    <w:rsid w:val="00594161"/>
    <w:rsid w:val="00594584"/>
    <w:rsid w:val="00596222"/>
    <w:rsid w:val="00596731"/>
    <w:rsid w:val="00596D45"/>
    <w:rsid w:val="005A2318"/>
    <w:rsid w:val="005A497C"/>
    <w:rsid w:val="005A71A9"/>
    <w:rsid w:val="005B241B"/>
    <w:rsid w:val="005B5E02"/>
    <w:rsid w:val="005C053E"/>
    <w:rsid w:val="005C0FAD"/>
    <w:rsid w:val="005C1CD0"/>
    <w:rsid w:val="005C213D"/>
    <w:rsid w:val="005C6FFD"/>
    <w:rsid w:val="005D3043"/>
    <w:rsid w:val="005D54BC"/>
    <w:rsid w:val="005D6750"/>
    <w:rsid w:val="005E0CD6"/>
    <w:rsid w:val="005E24AC"/>
    <w:rsid w:val="005E3758"/>
    <w:rsid w:val="005E3931"/>
    <w:rsid w:val="005E3DA8"/>
    <w:rsid w:val="005E6186"/>
    <w:rsid w:val="005F15A0"/>
    <w:rsid w:val="005F39F6"/>
    <w:rsid w:val="005F605D"/>
    <w:rsid w:val="005F62E4"/>
    <w:rsid w:val="0060301A"/>
    <w:rsid w:val="006044FC"/>
    <w:rsid w:val="006123FD"/>
    <w:rsid w:val="00613C3E"/>
    <w:rsid w:val="00617180"/>
    <w:rsid w:val="00621CEE"/>
    <w:rsid w:val="00625777"/>
    <w:rsid w:val="00627B09"/>
    <w:rsid w:val="00632668"/>
    <w:rsid w:val="0064297F"/>
    <w:rsid w:val="00643780"/>
    <w:rsid w:val="00647893"/>
    <w:rsid w:val="006514B5"/>
    <w:rsid w:val="00652411"/>
    <w:rsid w:val="006525CC"/>
    <w:rsid w:val="0065428E"/>
    <w:rsid w:val="0065756A"/>
    <w:rsid w:val="00663DD7"/>
    <w:rsid w:val="00672096"/>
    <w:rsid w:val="00672D22"/>
    <w:rsid w:val="00675A07"/>
    <w:rsid w:val="006763C1"/>
    <w:rsid w:val="006764A2"/>
    <w:rsid w:val="00677A7A"/>
    <w:rsid w:val="00680D3B"/>
    <w:rsid w:val="006817A4"/>
    <w:rsid w:val="00684B28"/>
    <w:rsid w:val="00690747"/>
    <w:rsid w:val="00691C05"/>
    <w:rsid w:val="006A1035"/>
    <w:rsid w:val="006A5CF1"/>
    <w:rsid w:val="006A5EEA"/>
    <w:rsid w:val="006A7B9A"/>
    <w:rsid w:val="006B24E5"/>
    <w:rsid w:val="006B2B68"/>
    <w:rsid w:val="006C4E1C"/>
    <w:rsid w:val="006C5983"/>
    <w:rsid w:val="006C6408"/>
    <w:rsid w:val="006C7514"/>
    <w:rsid w:val="006D26F9"/>
    <w:rsid w:val="006D35E1"/>
    <w:rsid w:val="006D38B7"/>
    <w:rsid w:val="006D3E30"/>
    <w:rsid w:val="006D3F85"/>
    <w:rsid w:val="006E4BBE"/>
    <w:rsid w:val="006E6209"/>
    <w:rsid w:val="006F22E9"/>
    <w:rsid w:val="006F3D44"/>
    <w:rsid w:val="006F6171"/>
    <w:rsid w:val="006F6977"/>
    <w:rsid w:val="00700997"/>
    <w:rsid w:val="007035FF"/>
    <w:rsid w:val="007052ED"/>
    <w:rsid w:val="00706911"/>
    <w:rsid w:val="0071171E"/>
    <w:rsid w:val="007206BE"/>
    <w:rsid w:val="00727576"/>
    <w:rsid w:val="007277E8"/>
    <w:rsid w:val="007312BB"/>
    <w:rsid w:val="00737CE2"/>
    <w:rsid w:val="00742247"/>
    <w:rsid w:val="00743210"/>
    <w:rsid w:val="00744C40"/>
    <w:rsid w:val="00750DFE"/>
    <w:rsid w:val="00752BCB"/>
    <w:rsid w:val="007533AB"/>
    <w:rsid w:val="00762D46"/>
    <w:rsid w:val="0076352C"/>
    <w:rsid w:val="00765D00"/>
    <w:rsid w:val="00775187"/>
    <w:rsid w:val="00777674"/>
    <w:rsid w:val="00787F8C"/>
    <w:rsid w:val="0079014A"/>
    <w:rsid w:val="00790F34"/>
    <w:rsid w:val="00791FA1"/>
    <w:rsid w:val="0079307C"/>
    <w:rsid w:val="007A58FA"/>
    <w:rsid w:val="007A612C"/>
    <w:rsid w:val="007B2F27"/>
    <w:rsid w:val="007B3051"/>
    <w:rsid w:val="007B67A1"/>
    <w:rsid w:val="007B7992"/>
    <w:rsid w:val="007B7B9E"/>
    <w:rsid w:val="007C2CA9"/>
    <w:rsid w:val="007C74FC"/>
    <w:rsid w:val="007D57A6"/>
    <w:rsid w:val="007D72D6"/>
    <w:rsid w:val="007E60A1"/>
    <w:rsid w:val="007E6C54"/>
    <w:rsid w:val="007F105F"/>
    <w:rsid w:val="00803498"/>
    <w:rsid w:val="00803C16"/>
    <w:rsid w:val="008121CC"/>
    <w:rsid w:val="00814A4F"/>
    <w:rsid w:val="00817A42"/>
    <w:rsid w:val="0082624A"/>
    <w:rsid w:val="0082778F"/>
    <w:rsid w:val="008304CF"/>
    <w:rsid w:val="00830C8B"/>
    <w:rsid w:val="00831BB4"/>
    <w:rsid w:val="00833600"/>
    <w:rsid w:val="00834914"/>
    <w:rsid w:val="00844D17"/>
    <w:rsid w:val="008508FA"/>
    <w:rsid w:val="008529CD"/>
    <w:rsid w:val="00852D16"/>
    <w:rsid w:val="00854F26"/>
    <w:rsid w:val="008628B6"/>
    <w:rsid w:val="00863288"/>
    <w:rsid w:val="008640BA"/>
    <w:rsid w:val="00870965"/>
    <w:rsid w:val="008734AB"/>
    <w:rsid w:val="008739DE"/>
    <w:rsid w:val="00875616"/>
    <w:rsid w:val="008758F2"/>
    <w:rsid w:val="008763F3"/>
    <w:rsid w:val="00877088"/>
    <w:rsid w:val="00883B91"/>
    <w:rsid w:val="008846D2"/>
    <w:rsid w:val="00892606"/>
    <w:rsid w:val="0089334B"/>
    <w:rsid w:val="008A2B7E"/>
    <w:rsid w:val="008A615C"/>
    <w:rsid w:val="008A6D62"/>
    <w:rsid w:val="008A7B08"/>
    <w:rsid w:val="008B4AB4"/>
    <w:rsid w:val="008B5022"/>
    <w:rsid w:val="008C1AE3"/>
    <w:rsid w:val="008D0FBF"/>
    <w:rsid w:val="008D1DCF"/>
    <w:rsid w:val="008E28AB"/>
    <w:rsid w:val="008E33D0"/>
    <w:rsid w:val="008E3AD9"/>
    <w:rsid w:val="008F3B67"/>
    <w:rsid w:val="008F6082"/>
    <w:rsid w:val="008F6523"/>
    <w:rsid w:val="009023D2"/>
    <w:rsid w:val="00910EAF"/>
    <w:rsid w:val="00911294"/>
    <w:rsid w:val="00911A0A"/>
    <w:rsid w:val="00913EF4"/>
    <w:rsid w:val="00921D75"/>
    <w:rsid w:val="0093154E"/>
    <w:rsid w:val="00932EA8"/>
    <w:rsid w:val="009437A6"/>
    <w:rsid w:val="00946C50"/>
    <w:rsid w:val="0094771B"/>
    <w:rsid w:val="0095354E"/>
    <w:rsid w:val="00954F44"/>
    <w:rsid w:val="00955746"/>
    <w:rsid w:val="0095662A"/>
    <w:rsid w:val="0096041E"/>
    <w:rsid w:val="00962807"/>
    <w:rsid w:val="00964051"/>
    <w:rsid w:val="009669AC"/>
    <w:rsid w:val="00966A32"/>
    <w:rsid w:val="00972DE8"/>
    <w:rsid w:val="0098226E"/>
    <w:rsid w:val="00983EF0"/>
    <w:rsid w:val="00984B5F"/>
    <w:rsid w:val="00990D76"/>
    <w:rsid w:val="00991D48"/>
    <w:rsid w:val="00997503"/>
    <w:rsid w:val="009A16BF"/>
    <w:rsid w:val="009A4821"/>
    <w:rsid w:val="009A4F5A"/>
    <w:rsid w:val="009A7563"/>
    <w:rsid w:val="009B7DF5"/>
    <w:rsid w:val="009C07C6"/>
    <w:rsid w:val="009C1595"/>
    <w:rsid w:val="009C3786"/>
    <w:rsid w:val="009C47A9"/>
    <w:rsid w:val="009D593F"/>
    <w:rsid w:val="009D5A5E"/>
    <w:rsid w:val="009D6902"/>
    <w:rsid w:val="009E0AF6"/>
    <w:rsid w:val="009E11BE"/>
    <w:rsid w:val="009E2328"/>
    <w:rsid w:val="009E52C5"/>
    <w:rsid w:val="009E6E24"/>
    <w:rsid w:val="009F6CC5"/>
    <w:rsid w:val="00A0103F"/>
    <w:rsid w:val="00A01740"/>
    <w:rsid w:val="00A061DE"/>
    <w:rsid w:val="00A10434"/>
    <w:rsid w:val="00A108B5"/>
    <w:rsid w:val="00A1644B"/>
    <w:rsid w:val="00A17D56"/>
    <w:rsid w:val="00A21115"/>
    <w:rsid w:val="00A252CB"/>
    <w:rsid w:val="00A33EB8"/>
    <w:rsid w:val="00A359C9"/>
    <w:rsid w:val="00A37063"/>
    <w:rsid w:val="00A37D2C"/>
    <w:rsid w:val="00A41945"/>
    <w:rsid w:val="00A445A6"/>
    <w:rsid w:val="00A45CB2"/>
    <w:rsid w:val="00A53608"/>
    <w:rsid w:val="00A54233"/>
    <w:rsid w:val="00A57C15"/>
    <w:rsid w:val="00A64911"/>
    <w:rsid w:val="00A65E60"/>
    <w:rsid w:val="00A71606"/>
    <w:rsid w:val="00A7342D"/>
    <w:rsid w:val="00A8444A"/>
    <w:rsid w:val="00A84592"/>
    <w:rsid w:val="00A86C9C"/>
    <w:rsid w:val="00A871C0"/>
    <w:rsid w:val="00A94006"/>
    <w:rsid w:val="00AA0953"/>
    <w:rsid w:val="00AA3EF4"/>
    <w:rsid w:val="00AA4F73"/>
    <w:rsid w:val="00AB4C10"/>
    <w:rsid w:val="00AC1FBC"/>
    <w:rsid w:val="00AC5379"/>
    <w:rsid w:val="00AC537C"/>
    <w:rsid w:val="00AC737D"/>
    <w:rsid w:val="00AC7F6A"/>
    <w:rsid w:val="00AD17D1"/>
    <w:rsid w:val="00AD4820"/>
    <w:rsid w:val="00AE2A2F"/>
    <w:rsid w:val="00AE3FCD"/>
    <w:rsid w:val="00AE429E"/>
    <w:rsid w:val="00AE47A3"/>
    <w:rsid w:val="00AF4EA5"/>
    <w:rsid w:val="00AF7DEA"/>
    <w:rsid w:val="00B01521"/>
    <w:rsid w:val="00B11609"/>
    <w:rsid w:val="00B12BEF"/>
    <w:rsid w:val="00B163C7"/>
    <w:rsid w:val="00B200A8"/>
    <w:rsid w:val="00B20D76"/>
    <w:rsid w:val="00B214CC"/>
    <w:rsid w:val="00B27B57"/>
    <w:rsid w:val="00B31865"/>
    <w:rsid w:val="00B36484"/>
    <w:rsid w:val="00B46856"/>
    <w:rsid w:val="00B51179"/>
    <w:rsid w:val="00B554FF"/>
    <w:rsid w:val="00B5588F"/>
    <w:rsid w:val="00B668A4"/>
    <w:rsid w:val="00B67575"/>
    <w:rsid w:val="00B706F8"/>
    <w:rsid w:val="00B70CB0"/>
    <w:rsid w:val="00B710B0"/>
    <w:rsid w:val="00B71BF4"/>
    <w:rsid w:val="00B71E21"/>
    <w:rsid w:val="00B724CA"/>
    <w:rsid w:val="00B81589"/>
    <w:rsid w:val="00B82543"/>
    <w:rsid w:val="00B87C05"/>
    <w:rsid w:val="00B9294F"/>
    <w:rsid w:val="00B93071"/>
    <w:rsid w:val="00B93F8F"/>
    <w:rsid w:val="00B94026"/>
    <w:rsid w:val="00B970A3"/>
    <w:rsid w:val="00BA2569"/>
    <w:rsid w:val="00BA4AC2"/>
    <w:rsid w:val="00BB1C2B"/>
    <w:rsid w:val="00BB5DAC"/>
    <w:rsid w:val="00BB6339"/>
    <w:rsid w:val="00BC00A4"/>
    <w:rsid w:val="00BC5739"/>
    <w:rsid w:val="00BC5FC0"/>
    <w:rsid w:val="00BE244F"/>
    <w:rsid w:val="00BE255F"/>
    <w:rsid w:val="00BE32B9"/>
    <w:rsid w:val="00BE5339"/>
    <w:rsid w:val="00BF1B44"/>
    <w:rsid w:val="00BF3340"/>
    <w:rsid w:val="00BF3BA3"/>
    <w:rsid w:val="00BF5200"/>
    <w:rsid w:val="00BF7135"/>
    <w:rsid w:val="00BF7DA9"/>
    <w:rsid w:val="00C00117"/>
    <w:rsid w:val="00C0217F"/>
    <w:rsid w:val="00C0357A"/>
    <w:rsid w:val="00C03D4C"/>
    <w:rsid w:val="00C04705"/>
    <w:rsid w:val="00C04734"/>
    <w:rsid w:val="00C05141"/>
    <w:rsid w:val="00C07401"/>
    <w:rsid w:val="00C1690E"/>
    <w:rsid w:val="00C2187B"/>
    <w:rsid w:val="00C224DD"/>
    <w:rsid w:val="00C2744D"/>
    <w:rsid w:val="00C32579"/>
    <w:rsid w:val="00C40A99"/>
    <w:rsid w:val="00C4119B"/>
    <w:rsid w:val="00C4163E"/>
    <w:rsid w:val="00C43462"/>
    <w:rsid w:val="00C507D3"/>
    <w:rsid w:val="00C5147F"/>
    <w:rsid w:val="00C5243A"/>
    <w:rsid w:val="00C5270A"/>
    <w:rsid w:val="00C54B72"/>
    <w:rsid w:val="00C55163"/>
    <w:rsid w:val="00C560F1"/>
    <w:rsid w:val="00C5749A"/>
    <w:rsid w:val="00C57DC1"/>
    <w:rsid w:val="00C6073A"/>
    <w:rsid w:val="00C618B0"/>
    <w:rsid w:val="00C63C21"/>
    <w:rsid w:val="00C65729"/>
    <w:rsid w:val="00C659C9"/>
    <w:rsid w:val="00C6662F"/>
    <w:rsid w:val="00C66CB5"/>
    <w:rsid w:val="00C673E8"/>
    <w:rsid w:val="00C67F23"/>
    <w:rsid w:val="00C71223"/>
    <w:rsid w:val="00C7233E"/>
    <w:rsid w:val="00C73BE9"/>
    <w:rsid w:val="00C7520C"/>
    <w:rsid w:val="00C76026"/>
    <w:rsid w:val="00C766CA"/>
    <w:rsid w:val="00C80662"/>
    <w:rsid w:val="00C848FF"/>
    <w:rsid w:val="00C859E1"/>
    <w:rsid w:val="00C86D02"/>
    <w:rsid w:val="00CA1F5D"/>
    <w:rsid w:val="00CA703C"/>
    <w:rsid w:val="00CC1B41"/>
    <w:rsid w:val="00CC3320"/>
    <w:rsid w:val="00CD049B"/>
    <w:rsid w:val="00CD0A27"/>
    <w:rsid w:val="00CD58DE"/>
    <w:rsid w:val="00CE1281"/>
    <w:rsid w:val="00CE12F6"/>
    <w:rsid w:val="00CE38EE"/>
    <w:rsid w:val="00CE4A82"/>
    <w:rsid w:val="00CE6371"/>
    <w:rsid w:val="00CE6E82"/>
    <w:rsid w:val="00CF0E7E"/>
    <w:rsid w:val="00CF0EC2"/>
    <w:rsid w:val="00CF36F9"/>
    <w:rsid w:val="00CF42BF"/>
    <w:rsid w:val="00CF44D1"/>
    <w:rsid w:val="00CF77B2"/>
    <w:rsid w:val="00D01ECE"/>
    <w:rsid w:val="00D02A6E"/>
    <w:rsid w:val="00D05A80"/>
    <w:rsid w:val="00D07A2C"/>
    <w:rsid w:val="00D10C4E"/>
    <w:rsid w:val="00D11385"/>
    <w:rsid w:val="00D133F9"/>
    <w:rsid w:val="00D14984"/>
    <w:rsid w:val="00D21D96"/>
    <w:rsid w:val="00D23CAA"/>
    <w:rsid w:val="00D26C1D"/>
    <w:rsid w:val="00D372E4"/>
    <w:rsid w:val="00D379CF"/>
    <w:rsid w:val="00D40E4B"/>
    <w:rsid w:val="00D466FA"/>
    <w:rsid w:val="00D623FA"/>
    <w:rsid w:val="00D7400B"/>
    <w:rsid w:val="00D754B1"/>
    <w:rsid w:val="00D76A7B"/>
    <w:rsid w:val="00D76E90"/>
    <w:rsid w:val="00D864ED"/>
    <w:rsid w:val="00D8778A"/>
    <w:rsid w:val="00D90213"/>
    <w:rsid w:val="00D91CDC"/>
    <w:rsid w:val="00D9285C"/>
    <w:rsid w:val="00D94DDC"/>
    <w:rsid w:val="00DA17A8"/>
    <w:rsid w:val="00DA520C"/>
    <w:rsid w:val="00DA5F8A"/>
    <w:rsid w:val="00DB34A1"/>
    <w:rsid w:val="00DB4BED"/>
    <w:rsid w:val="00DD0863"/>
    <w:rsid w:val="00DD2A23"/>
    <w:rsid w:val="00DD3FA5"/>
    <w:rsid w:val="00DE336A"/>
    <w:rsid w:val="00DE4898"/>
    <w:rsid w:val="00DE5BFB"/>
    <w:rsid w:val="00DF16FB"/>
    <w:rsid w:val="00DF2063"/>
    <w:rsid w:val="00E0131C"/>
    <w:rsid w:val="00E01ADC"/>
    <w:rsid w:val="00E01D60"/>
    <w:rsid w:val="00E03CC3"/>
    <w:rsid w:val="00E06493"/>
    <w:rsid w:val="00E07637"/>
    <w:rsid w:val="00E07C32"/>
    <w:rsid w:val="00E12BB1"/>
    <w:rsid w:val="00E13D38"/>
    <w:rsid w:val="00E21F3D"/>
    <w:rsid w:val="00E22ED4"/>
    <w:rsid w:val="00E23061"/>
    <w:rsid w:val="00E2417C"/>
    <w:rsid w:val="00E25F9B"/>
    <w:rsid w:val="00E26093"/>
    <w:rsid w:val="00E26C04"/>
    <w:rsid w:val="00E30C5C"/>
    <w:rsid w:val="00E30EBC"/>
    <w:rsid w:val="00E325D6"/>
    <w:rsid w:val="00E35ED0"/>
    <w:rsid w:val="00E3766F"/>
    <w:rsid w:val="00E4027A"/>
    <w:rsid w:val="00E40F39"/>
    <w:rsid w:val="00E46893"/>
    <w:rsid w:val="00E46AB8"/>
    <w:rsid w:val="00E4740A"/>
    <w:rsid w:val="00E55091"/>
    <w:rsid w:val="00E55192"/>
    <w:rsid w:val="00E61B7B"/>
    <w:rsid w:val="00E6252E"/>
    <w:rsid w:val="00E64129"/>
    <w:rsid w:val="00E64E07"/>
    <w:rsid w:val="00E6580C"/>
    <w:rsid w:val="00E67160"/>
    <w:rsid w:val="00E67476"/>
    <w:rsid w:val="00E67C2F"/>
    <w:rsid w:val="00E70DBE"/>
    <w:rsid w:val="00E722DE"/>
    <w:rsid w:val="00E73715"/>
    <w:rsid w:val="00E7404B"/>
    <w:rsid w:val="00E749F1"/>
    <w:rsid w:val="00E76D77"/>
    <w:rsid w:val="00E806F9"/>
    <w:rsid w:val="00E86B5C"/>
    <w:rsid w:val="00E90B8A"/>
    <w:rsid w:val="00E94B07"/>
    <w:rsid w:val="00E961DF"/>
    <w:rsid w:val="00E971A1"/>
    <w:rsid w:val="00EA0D86"/>
    <w:rsid w:val="00EA2E97"/>
    <w:rsid w:val="00EA7F14"/>
    <w:rsid w:val="00EB0865"/>
    <w:rsid w:val="00EB18CC"/>
    <w:rsid w:val="00EC0FE2"/>
    <w:rsid w:val="00EC1B55"/>
    <w:rsid w:val="00EC48A6"/>
    <w:rsid w:val="00ED12C4"/>
    <w:rsid w:val="00ED5D38"/>
    <w:rsid w:val="00ED7511"/>
    <w:rsid w:val="00EE04FF"/>
    <w:rsid w:val="00EE09DF"/>
    <w:rsid w:val="00EE170A"/>
    <w:rsid w:val="00EE3270"/>
    <w:rsid w:val="00EE5B84"/>
    <w:rsid w:val="00EE71D4"/>
    <w:rsid w:val="00EF14EE"/>
    <w:rsid w:val="00F03D01"/>
    <w:rsid w:val="00F0758D"/>
    <w:rsid w:val="00F110B7"/>
    <w:rsid w:val="00F121A6"/>
    <w:rsid w:val="00F16FAA"/>
    <w:rsid w:val="00F209B1"/>
    <w:rsid w:val="00F20F53"/>
    <w:rsid w:val="00F23687"/>
    <w:rsid w:val="00F24A17"/>
    <w:rsid w:val="00F2755D"/>
    <w:rsid w:val="00F3067F"/>
    <w:rsid w:val="00F343F6"/>
    <w:rsid w:val="00F35566"/>
    <w:rsid w:val="00F35EB4"/>
    <w:rsid w:val="00F36540"/>
    <w:rsid w:val="00F366D9"/>
    <w:rsid w:val="00F44BB0"/>
    <w:rsid w:val="00F44C5D"/>
    <w:rsid w:val="00F45242"/>
    <w:rsid w:val="00F47A49"/>
    <w:rsid w:val="00F502E6"/>
    <w:rsid w:val="00F53074"/>
    <w:rsid w:val="00F563F0"/>
    <w:rsid w:val="00F57293"/>
    <w:rsid w:val="00F607FA"/>
    <w:rsid w:val="00F60EE9"/>
    <w:rsid w:val="00F6114D"/>
    <w:rsid w:val="00F76DE7"/>
    <w:rsid w:val="00F80137"/>
    <w:rsid w:val="00F82D05"/>
    <w:rsid w:val="00F86A4E"/>
    <w:rsid w:val="00F906BF"/>
    <w:rsid w:val="00F956D4"/>
    <w:rsid w:val="00FA10AC"/>
    <w:rsid w:val="00FA2DA4"/>
    <w:rsid w:val="00FA2FA3"/>
    <w:rsid w:val="00FA5F9D"/>
    <w:rsid w:val="00FA6858"/>
    <w:rsid w:val="00FB0CB9"/>
    <w:rsid w:val="00FB18CD"/>
    <w:rsid w:val="00FB18D6"/>
    <w:rsid w:val="00FB202D"/>
    <w:rsid w:val="00FB2A6A"/>
    <w:rsid w:val="00FD23A5"/>
    <w:rsid w:val="00FD3B90"/>
    <w:rsid w:val="00FD44D5"/>
    <w:rsid w:val="00FD6EFB"/>
    <w:rsid w:val="00FE1774"/>
    <w:rsid w:val="00FE19AD"/>
    <w:rsid w:val="00FE1FFE"/>
    <w:rsid w:val="00FE493E"/>
    <w:rsid w:val="00FF084B"/>
    <w:rsid w:val="00FF1D09"/>
    <w:rsid w:val="00FF40DC"/>
    <w:rsid w:val="00FF59ED"/>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E940"/>
  <w14:defaultImageDpi w14:val="32767"/>
  <w15:chartTrackingRefBased/>
  <w15:docId w15:val="{AF379616-9CE6-1644-B507-4B257CBD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0750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39F6"/>
    <w:rPr>
      <w:sz w:val="16"/>
      <w:szCs w:val="16"/>
    </w:rPr>
  </w:style>
  <w:style w:type="paragraph" w:styleId="CommentText">
    <w:name w:val="annotation text"/>
    <w:basedOn w:val="Normal"/>
    <w:link w:val="CommentTextChar"/>
    <w:uiPriority w:val="99"/>
    <w:semiHidden/>
    <w:unhideWhenUsed/>
    <w:rsid w:val="005F39F6"/>
    <w:pPr>
      <w:spacing w:line="240" w:lineRule="auto"/>
    </w:pPr>
    <w:rPr>
      <w:sz w:val="20"/>
      <w:szCs w:val="20"/>
    </w:rPr>
  </w:style>
  <w:style w:type="character" w:customStyle="1" w:styleId="CommentTextChar">
    <w:name w:val="Comment Text Char"/>
    <w:basedOn w:val="DefaultParagraphFont"/>
    <w:link w:val="CommentText"/>
    <w:uiPriority w:val="99"/>
    <w:semiHidden/>
    <w:rsid w:val="005F39F6"/>
    <w:rPr>
      <w:sz w:val="20"/>
      <w:szCs w:val="20"/>
    </w:rPr>
  </w:style>
  <w:style w:type="table" w:styleId="TableGrid">
    <w:name w:val="Table Grid"/>
    <w:basedOn w:val="TableNormal"/>
    <w:uiPriority w:val="39"/>
    <w:rsid w:val="009E52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E52C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E52C5"/>
    <w:rPr>
      <w:rFonts w:ascii="Calibri" w:hAnsi="Calibri" w:cs="Calibri"/>
      <w:noProof/>
      <w:sz w:val="22"/>
      <w:szCs w:val="22"/>
    </w:rPr>
  </w:style>
  <w:style w:type="paragraph" w:styleId="CommentSubject">
    <w:name w:val="annotation subject"/>
    <w:basedOn w:val="CommentText"/>
    <w:next w:val="CommentText"/>
    <w:link w:val="CommentSubjectChar"/>
    <w:uiPriority w:val="99"/>
    <w:semiHidden/>
    <w:unhideWhenUsed/>
    <w:rsid w:val="005C1CD0"/>
    <w:rPr>
      <w:b/>
      <w:bCs/>
    </w:rPr>
  </w:style>
  <w:style w:type="character" w:customStyle="1" w:styleId="CommentSubjectChar">
    <w:name w:val="Comment Subject Char"/>
    <w:basedOn w:val="CommentTextChar"/>
    <w:link w:val="CommentSubject"/>
    <w:uiPriority w:val="99"/>
    <w:semiHidden/>
    <w:rsid w:val="005C1CD0"/>
    <w:rPr>
      <w:b/>
      <w:bCs/>
      <w:sz w:val="20"/>
      <w:szCs w:val="20"/>
    </w:rPr>
  </w:style>
  <w:style w:type="paragraph" w:styleId="ListParagraph">
    <w:name w:val="List Paragraph"/>
    <w:basedOn w:val="Normal"/>
    <w:uiPriority w:val="34"/>
    <w:qFormat/>
    <w:rsid w:val="003078EE"/>
    <w:pPr>
      <w:ind w:left="720"/>
      <w:contextualSpacing/>
    </w:pPr>
  </w:style>
  <w:style w:type="paragraph" w:styleId="Revision">
    <w:name w:val="Revision"/>
    <w:hidden/>
    <w:uiPriority w:val="99"/>
    <w:semiHidden/>
    <w:rsid w:val="00DF16FB"/>
    <w:rPr>
      <w:sz w:val="22"/>
      <w:szCs w:val="22"/>
    </w:rPr>
  </w:style>
  <w:style w:type="paragraph" w:styleId="Header">
    <w:name w:val="header"/>
    <w:basedOn w:val="Normal"/>
    <w:link w:val="HeaderChar"/>
    <w:uiPriority w:val="99"/>
    <w:unhideWhenUsed/>
    <w:rsid w:val="003C7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20D"/>
    <w:rPr>
      <w:sz w:val="22"/>
      <w:szCs w:val="22"/>
    </w:rPr>
  </w:style>
  <w:style w:type="paragraph" w:styleId="Footer">
    <w:name w:val="footer"/>
    <w:basedOn w:val="Normal"/>
    <w:link w:val="FooterChar"/>
    <w:uiPriority w:val="99"/>
    <w:unhideWhenUsed/>
    <w:rsid w:val="003C7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2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182143">
      <w:bodyDiv w:val="1"/>
      <w:marLeft w:val="0"/>
      <w:marRight w:val="0"/>
      <w:marTop w:val="0"/>
      <w:marBottom w:val="0"/>
      <w:divBdr>
        <w:top w:val="none" w:sz="0" w:space="0" w:color="auto"/>
        <w:left w:val="none" w:sz="0" w:space="0" w:color="auto"/>
        <w:bottom w:val="none" w:sz="0" w:space="0" w:color="auto"/>
        <w:right w:val="none" w:sz="0" w:space="0" w:color="auto"/>
      </w:divBdr>
    </w:div>
    <w:div w:id="121670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541C8-F05C-5E4B-B5F9-162E1F92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 Carmen (NIH/NIDCD) [E]</dc:creator>
  <cp:keywords/>
  <dc:description/>
  <cp:lastModifiedBy>Theng, Elizabeth (NIH/NIDCR) [V]</cp:lastModifiedBy>
  <cp:revision>4</cp:revision>
  <dcterms:created xsi:type="dcterms:W3CDTF">2022-01-11T15:43:00Z</dcterms:created>
  <dcterms:modified xsi:type="dcterms:W3CDTF">2022-01-14T17:08:00Z</dcterms:modified>
</cp:coreProperties>
</file>