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80E" w:rsidRPr="00AE180E" w:rsidRDefault="00AE180E" w:rsidP="00AE180E">
      <w:pPr>
        <w:jc w:val="center"/>
        <w:rPr>
          <w:rFonts w:ascii="Times New Roman" w:eastAsia="宋体" w:hAnsi="Times New Roman" w:cs="Times New Roman"/>
          <w:b/>
          <w:sz w:val="24"/>
          <w:szCs w:val="24"/>
          <w:lang w:val="en-GB"/>
        </w:rPr>
      </w:pPr>
      <w:bookmarkStart w:id="0" w:name="_GoBack"/>
      <w:bookmarkEnd w:id="0"/>
      <w:r w:rsidRPr="00AE180E">
        <w:rPr>
          <w:rFonts w:ascii="Times New Roman" w:eastAsia="宋体" w:hAnsi="Times New Roman" w:cs="Times New Roman"/>
          <w:b/>
          <w:sz w:val="24"/>
          <w:szCs w:val="24"/>
          <w:lang w:val="en-GB"/>
        </w:rPr>
        <w:t>Supplementary Materials</w:t>
      </w:r>
    </w:p>
    <w:p w:rsidR="00AE180E" w:rsidRPr="00AE180E" w:rsidRDefault="00AE180E" w:rsidP="00AE180E">
      <w:pPr>
        <w:numPr>
          <w:ilvl w:val="0"/>
          <w:numId w:val="1"/>
        </w:numPr>
        <w:tabs>
          <w:tab w:val="left" w:pos="2055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b/>
          <w:sz w:val="20"/>
          <w:szCs w:val="20"/>
          <w:lang w:val="en-GB"/>
        </w:rPr>
      </w:pPr>
      <w:r w:rsidRPr="00AE180E">
        <w:rPr>
          <w:rFonts w:ascii="Times New Roman" w:eastAsia="宋体" w:hAnsi="Times New Roman" w:cs="Times New Roman"/>
          <w:b/>
          <w:sz w:val="20"/>
          <w:szCs w:val="20"/>
          <w:lang w:val="en-GB"/>
        </w:rPr>
        <w:t xml:space="preserve">Supplementary methods </w:t>
      </w:r>
    </w:p>
    <w:p w:rsidR="00AE180E" w:rsidRPr="00AE180E" w:rsidRDefault="00AE180E" w:rsidP="00AE180E">
      <w:pPr>
        <w:numPr>
          <w:ilvl w:val="0"/>
          <w:numId w:val="1"/>
        </w:numPr>
        <w:tabs>
          <w:tab w:val="left" w:pos="2055"/>
        </w:tabs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b/>
          <w:sz w:val="20"/>
          <w:szCs w:val="20"/>
          <w:lang w:val="en-GB"/>
        </w:rPr>
      </w:pPr>
      <w:r w:rsidRPr="00AE180E">
        <w:rPr>
          <w:rFonts w:ascii="Times New Roman" w:eastAsia="宋体" w:hAnsi="Times New Roman" w:cs="Times New Roman"/>
          <w:b/>
          <w:sz w:val="20"/>
          <w:szCs w:val="20"/>
          <w:lang w:val="en-GB"/>
        </w:rPr>
        <w:t xml:space="preserve">Supplementary </w:t>
      </w:r>
      <w:r w:rsidRPr="00AE180E">
        <w:rPr>
          <w:rFonts w:ascii="Times New Roman" w:eastAsia="宋体" w:hAnsi="Times New Roman" w:cs="Times New Roman" w:hint="eastAsia"/>
          <w:b/>
          <w:sz w:val="20"/>
          <w:szCs w:val="20"/>
          <w:lang w:val="en-GB"/>
        </w:rPr>
        <w:t>t</w:t>
      </w:r>
      <w:r w:rsidR="009270CB">
        <w:rPr>
          <w:rFonts w:ascii="Times New Roman" w:eastAsia="宋体" w:hAnsi="Times New Roman" w:cs="Times New Roman"/>
          <w:b/>
          <w:sz w:val="20"/>
          <w:szCs w:val="20"/>
          <w:lang w:val="en-GB"/>
        </w:rPr>
        <w:t>able</w:t>
      </w:r>
    </w:p>
    <w:p w:rsidR="00B3397D" w:rsidRDefault="00B3397D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8B520E" w:rsidRDefault="008B520E"/>
    <w:p w:rsidR="008B520E" w:rsidRDefault="008B520E"/>
    <w:p w:rsidR="00685FB4" w:rsidRDefault="00685FB4"/>
    <w:p w:rsidR="00AE180E" w:rsidRDefault="00AE180E"/>
    <w:p w:rsidR="00AE180E" w:rsidRPr="00AE180E" w:rsidRDefault="00AE180E" w:rsidP="00AE180E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b/>
          <w:sz w:val="20"/>
          <w:szCs w:val="20"/>
          <w:lang w:val="en-GB"/>
        </w:rPr>
      </w:pPr>
      <w:r w:rsidRPr="00AE180E">
        <w:rPr>
          <w:rFonts w:ascii="Times New Roman" w:eastAsia="宋体" w:hAnsi="Times New Roman" w:cs="Times New Roman"/>
          <w:b/>
          <w:sz w:val="20"/>
          <w:szCs w:val="20"/>
          <w:lang w:val="en-GB"/>
        </w:rPr>
        <w:lastRenderedPageBreak/>
        <w:t>I</w:t>
      </w:r>
      <w:r w:rsidRPr="00AE180E">
        <w:rPr>
          <w:rFonts w:ascii="Times New Roman" w:eastAsia="宋体" w:hAnsi="Times New Roman" w:cs="Times New Roman" w:hint="eastAsia"/>
          <w:b/>
          <w:sz w:val="20"/>
          <w:szCs w:val="20"/>
          <w:lang w:val="en-GB"/>
        </w:rPr>
        <w:t>．</w:t>
      </w:r>
      <w:r w:rsidRPr="00AE180E">
        <w:rPr>
          <w:rFonts w:ascii="Times New Roman" w:eastAsia="宋体" w:hAnsi="Times New Roman" w:cs="Times New Roman"/>
          <w:b/>
          <w:sz w:val="20"/>
          <w:szCs w:val="20"/>
          <w:lang w:val="en-GB"/>
        </w:rPr>
        <w:t xml:space="preserve">Supplementary methods </w:t>
      </w:r>
    </w:p>
    <w:p w:rsidR="00AE180E" w:rsidRPr="00AE180E" w:rsidRDefault="00AE180E" w:rsidP="00AE180E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b/>
          <w:bCs/>
          <w:sz w:val="20"/>
          <w:szCs w:val="20"/>
        </w:rPr>
      </w:pPr>
      <w:r w:rsidRPr="00AE180E">
        <w:rPr>
          <w:rFonts w:ascii="Times New Roman" w:eastAsia="宋体" w:hAnsi="Times New Roman" w:cs="Times New Roman"/>
          <w:b/>
          <w:bCs/>
          <w:sz w:val="20"/>
          <w:szCs w:val="20"/>
          <w:lang w:val="en"/>
        </w:rPr>
        <w:t xml:space="preserve">The specific definition and description of the </w:t>
      </w:r>
      <w:r w:rsidRPr="00AE180E">
        <w:rPr>
          <w:rFonts w:ascii="Times New Roman" w:eastAsia="宋体" w:hAnsi="Times New Roman" w:cs="Times New Roman"/>
          <w:b/>
          <w:bCs/>
          <w:sz w:val="20"/>
          <w:szCs w:val="20"/>
        </w:rPr>
        <w:t>features were as follows:</w:t>
      </w:r>
    </w:p>
    <w:p w:rsidR="00AE180E" w:rsidRPr="00AE180E" w:rsidRDefault="00AE180E" w:rsidP="00AE180E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sz w:val="20"/>
          <w:szCs w:val="20"/>
          <w:lang w:val="en-GB"/>
        </w:rPr>
      </w:pPr>
      <w:r w:rsidRPr="00AE180E">
        <w:rPr>
          <w:rFonts w:ascii="Times New Roman" w:eastAsia="宋体" w:hAnsi="Times New Roman" w:cs="Times New Roman"/>
          <w:sz w:val="20"/>
          <w:szCs w:val="20"/>
          <w:lang w:val="en-GB"/>
        </w:rPr>
        <w:t>(1) First-order histogram features. These features describe the central tendency, variability, uniformity, asymmetry, skewness and magnitude of the attenuation values in a given region of interest (ROI), disregarding the spatial relationship of the individual voxels.</w:t>
      </w:r>
    </w:p>
    <w:p w:rsidR="00AE180E" w:rsidRPr="00AE180E" w:rsidRDefault="00AE180E" w:rsidP="00AE180E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sz w:val="20"/>
          <w:szCs w:val="20"/>
          <w:lang w:val="en-GB"/>
        </w:rPr>
      </w:pPr>
      <w:r w:rsidRPr="00AE180E">
        <w:rPr>
          <w:rFonts w:ascii="Times New Roman" w:eastAsia="宋体" w:hAnsi="Times New Roman" w:cs="Times New Roman"/>
          <w:sz w:val="20"/>
          <w:szCs w:val="20"/>
          <w:lang w:val="en-GB"/>
        </w:rPr>
        <w:t>(2) Morphologic features. Morphologic features describe the size and shape of a given ROI, without taking into account the attenuation values of its voxels.</w:t>
      </w:r>
    </w:p>
    <w:p w:rsidR="00AE180E" w:rsidRPr="00AE180E" w:rsidRDefault="00AE180E" w:rsidP="00AE180E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sz w:val="20"/>
          <w:szCs w:val="20"/>
          <w:lang w:val="en-GB"/>
        </w:rPr>
      </w:pPr>
      <w:r w:rsidRPr="00AE180E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(3) Gray Level co-existence Matrix (GLCM) features. A GLCM describes the number of times a voxel of a given attenuation value </w:t>
      </w:r>
      <w:proofErr w:type="spellStart"/>
      <w:r w:rsidRPr="00AE180E">
        <w:rPr>
          <w:rFonts w:ascii="Times New Roman" w:eastAsia="宋体" w:hAnsi="Times New Roman" w:cs="Times New Roman"/>
          <w:sz w:val="20"/>
          <w:szCs w:val="20"/>
          <w:lang w:val="en-GB"/>
        </w:rPr>
        <w:t>i</w:t>
      </w:r>
      <w:proofErr w:type="spellEnd"/>
      <w:r w:rsidRPr="00AE180E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 is located next to a voxel of j.</w:t>
      </w:r>
    </w:p>
    <w:p w:rsidR="00AE180E" w:rsidRPr="00AE180E" w:rsidRDefault="00AE180E" w:rsidP="00AE180E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sz w:val="20"/>
          <w:szCs w:val="20"/>
          <w:lang w:val="en-GB"/>
        </w:rPr>
      </w:pPr>
      <w:r w:rsidRPr="00AE180E">
        <w:rPr>
          <w:rFonts w:ascii="Times New Roman" w:eastAsia="宋体" w:hAnsi="Times New Roman" w:cs="Times New Roman"/>
          <w:sz w:val="20"/>
          <w:szCs w:val="20"/>
          <w:lang w:val="en-GB"/>
        </w:rPr>
        <w:t>(4) Gray-level size zone matrix (GLSZM) features. A GLSZM features describes gray level zones in a ROI, which are defined as the number of connected voxels that share the same gray level intensity.</w:t>
      </w:r>
    </w:p>
    <w:p w:rsidR="00AE180E" w:rsidRPr="00AE180E" w:rsidRDefault="00AE180E" w:rsidP="00AE180E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sz w:val="20"/>
          <w:szCs w:val="20"/>
          <w:lang w:val="en-GB"/>
        </w:rPr>
      </w:pPr>
      <w:r w:rsidRPr="00AE180E">
        <w:rPr>
          <w:rFonts w:ascii="Times New Roman" w:eastAsia="宋体" w:hAnsi="Times New Roman" w:cs="Times New Roman"/>
          <w:sz w:val="20"/>
          <w:szCs w:val="20"/>
          <w:lang w:val="en-GB"/>
        </w:rPr>
        <w:t>(5) Gray Level range-matrix (GLRM) features. A GLRM features describes gray level runs, which are defined as the length in number of pixels, of consecutive pixels that have the same gray level value.</w:t>
      </w:r>
    </w:p>
    <w:p w:rsidR="00AE180E" w:rsidRPr="00AE180E" w:rsidRDefault="00AE180E" w:rsidP="00AE180E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sz w:val="20"/>
          <w:szCs w:val="20"/>
          <w:lang w:val="en-GB"/>
        </w:rPr>
      </w:pPr>
      <w:r w:rsidRPr="00AE180E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(6) Neighbouring </w:t>
      </w:r>
      <w:proofErr w:type="spellStart"/>
      <w:r w:rsidRPr="00AE180E">
        <w:rPr>
          <w:rFonts w:ascii="Times New Roman" w:eastAsia="宋体" w:hAnsi="Times New Roman" w:cs="Times New Roman"/>
          <w:sz w:val="20"/>
          <w:szCs w:val="20"/>
          <w:lang w:val="en-GB"/>
        </w:rPr>
        <w:t>Gray</w:t>
      </w:r>
      <w:proofErr w:type="spellEnd"/>
      <w:r w:rsidRPr="00AE180E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 Tone Difference Matrix (NGTDM) features. A NGTDM features quantifies the difference between a gray value and the average gray value of its neighbours within distance δ.</w:t>
      </w:r>
    </w:p>
    <w:p w:rsidR="00AE180E" w:rsidRPr="00AE180E" w:rsidRDefault="00AE180E" w:rsidP="00AE180E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sz w:val="20"/>
          <w:szCs w:val="20"/>
          <w:lang w:val="en-GB"/>
        </w:rPr>
      </w:pPr>
      <w:r w:rsidRPr="00AE180E">
        <w:rPr>
          <w:rFonts w:ascii="Times New Roman" w:eastAsia="宋体" w:hAnsi="Times New Roman" w:cs="Times New Roman"/>
          <w:sz w:val="20"/>
          <w:szCs w:val="20"/>
          <w:lang w:val="en-GB"/>
        </w:rPr>
        <w:t>(7) Gray Level Dependence Matrix (GLDM) features. A GLDM features quantifies gray level dependencies in an image. A gray level dependency is defined as the number of connected voxels within distance δ that are dependent on the center voxel.</w:t>
      </w:r>
    </w:p>
    <w:p w:rsidR="00AE180E" w:rsidRPr="00AE180E" w:rsidRDefault="00AE180E" w:rsidP="00AE180E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b/>
          <w:sz w:val="20"/>
          <w:szCs w:val="20"/>
          <w:lang w:val="en-GB"/>
        </w:rPr>
      </w:pPr>
    </w:p>
    <w:p w:rsidR="00AE180E" w:rsidRDefault="00AE180E" w:rsidP="00AE180E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b/>
          <w:sz w:val="20"/>
          <w:szCs w:val="20"/>
          <w:lang w:val="en-GB"/>
        </w:rPr>
      </w:pPr>
    </w:p>
    <w:p w:rsidR="00AE180E" w:rsidRDefault="00AE180E" w:rsidP="00AE180E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b/>
          <w:sz w:val="20"/>
          <w:szCs w:val="20"/>
          <w:lang w:val="en-GB"/>
        </w:rPr>
      </w:pPr>
    </w:p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Default="00AE180E"/>
    <w:p w:rsidR="00AE180E" w:rsidRPr="00AE180E" w:rsidRDefault="008B520E" w:rsidP="00AE180E">
      <w:pPr>
        <w:tabs>
          <w:tab w:val="left" w:pos="2055"/>
        </w:tabs>
        <w:rPr>
          <w:rFonts w:ascii="Times New Roman" w:eastAsia="宋体" w:hAnsi="Times New Roman" w:cs="Times New Roman"/>
          <w:b/>
          <w:sz w:val="20"/>
          <w:szCs w:val="20"/>
          <w:lang w:val="en-GB"/>
        </w:rPr>
      </w:pPr>
      <w:r w:rsidRPr="008B520E">
        <w:rPr>
          <w:rFonts w:ascii="宋体" w:eastAsia="宋体" w:hAnsi="宋体" w:cs="宋体" w:hint="eastAsia"/>
          <w:b/>
          <w:sz w:val="20"/>
          <w:szCs w:val="20"/>
          <w:lang w:val="en-GB"/>
        </w:rPr>
        <w:lastRenderedPageBreak/>
        <w:t>Ⅱ</w:t>
      </w:r>
      <w:r w:rsidR="00AE180E" w:rsidRPr="00AE180E">
        <w:rPr>
          <w:rFonts w:ascii="Times New Roman" w:eastAsia="宋体" w:hAnsi="Times New Roman" w:cs="Times New Roman"/>
          <w:b/>
          <w:sz w:val="20"/>
          <w:szCs w:val="20"/>
          <w:lang w:val="en-GB"/>
        </w:rPr>
        <w:t>. Supplementary Table</w:t>
      </w:r>
      <w:r w:rsidR="005D1D21">
        <w:rPr>
          <w:rFonts w:ascii="Times New Roman" w:eastAsia="宋体" w:hAnsi="Times New Roman" w:cs="Times New Roman" w:hint="eastAsia"/>
          <w:b/>
          <w:sz w:val="20"/>
          <w:szCs w:val="20"/>
          <w:lang w:val="en-GB"/>
        </w:rPr>
        <w:t xml:space="preserve"> S1</w:t>
      </w:r>
    </w:p>
    <w:p w:rsidR="00685FB4" w:rsidRPr="00685FB4" w:rsidRDefault="00AE180E" w:rsidP="00685FB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Cs/>
        </w:rPr>
      </w:pPr>
      <w:r w:rsidRPr="00AE180E">
        <w:rPr>
          <w:rFonts w:ascii="Times New Roman" w:eastAsia="宋体" w:hAnsi="Times New Roman" w:cs="Times New Roman"/>
          <w:b/>
          <w:kern w:val="0"/>
          <w:sz w:val="20"/>
          <w:szCs w:val="20"/>
          <w:lang w:val="en-GB"/>
        </w:rPr>
        <w:t>Table</w:t>
      </w:r>
      <w:r w:rsidRPr="00AE180E">
        <w:rPr>
          <w:rFonts w:ascii="Times New Roman" w:eastAsia="宋体" w:hAnsi="Times New Roman" w:cs="Times New Roman" w:hint="eastAsia"/>
          <w:b/>
          <w:kern w:val="0"/>
          <w:sz w:val="20"/>
          <w:szCs w:val="20"/>
          <w:lang w:val="en-GB"/>
        </w:rPr>
        <w:t xml:space="preserve"> </w:t>
      </w:r>
      <w:r w:rsidRPr="00AE180E">
        <w:rPr>
          <w:rFonts w:ascii="Times New Roman" w:eastAsia="宋体" w:hAnsi="Times New Roman" w:cs="Times New Roman"/>
          <w:b/>
          <w:kern w:val="0"/>
          <w:sz w:val="20"/>
          <w:szCs w:val="20"/>
          <w:lang w:val="en-GB"/>
        </w:rPr>
        <w:t>S1.</w:t>
      </w:r>
      <w:r w:rsidRPr="00AE180E">
        <w:rPr>
          <w:rFonts w:ascii="Times New Roman" w:eastAsia="宋体" w:hAnsi="Times New Roman" w:cs="Times New Roman" w:hint="eastAsia"/>
          <w:b/>
          <w:kern w:val="0"/>
          <w:sz w:val="20"/>
          <w:szCs w:val="20"/>
          <w:lang w:val="en-GB"/>
        </w:rPr>
        <w:t xml:space="preserve"> </w:t>
      </w:r>
      <w:r w:rsidR="00685FB4" w:rsidRPr="00685FB4">
        <w:rPr>
          <w:rFonts w:ascii="Times New Roman" w:hAnsi="Times New Roman" w:cs="Times New Roman"/>
          <w:bCs/>
        </w:rPr>
        <w:t xml:space="preserve">Scanning parameters of abdominal </w:t>
      </w:r>
      <w:proofErr w:type="spellStart"/>
      <w:r w:rsidR="00685FB4" w:rsidRPr="00685FB4">
        <w:rPr>
          <w:rFonts w:ascii="Times New Roman" w:hAnsi="Times New Roman" w:cs="Times New Roman"/>
          <w:bCs/>
          <w:iCs/>
        </w:rPr>
        <w:t>triphasic</w:t>
      </w:r>
      <w:proofErr w:type="spellEnd"/>
      <w:r w:rsidR="00685FB4" w:rsidRPr="00685FB4">
        <w:rPr>
          <w:rFonts w:ascii="Times New Roman" w:hAnsi="Times New Roman" w:cs="Times New Roman"/>
          <w:bCs/>
        </w:rPr>
        <w:t xml:space="preserve"> enhanced CT </w:t>
      </w:r>
      <w:r w:rsidR="00685FB4" w:rsidRPr="00685FB4">
        <w:rPr>
          <w:rFonts w:ascii="Times New Roman" w:hAnsi="Times New Roman" w:cs="Times New Roman"/>
          <w:bCs/>
          <w:iCs/>
        </w:rPr>
        <w:t>in different instruments.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2409"/>
        <w:gridCol w:w="2410"/>
      </w:tblGrid>
      <w:tr w:rsidR="00685FB4" w:rsidRPr="00685FB4" w:rsidTr="00FC4999">
        <w:tc>
          <w:tcPr>
            <w:tcW w:w="3369" w:type="dxa"/>
          </w:tcPr>
          <w:p w:rsidR="00685FB4" w:rsidRPr="00685FB4" w:rsidRDefault="00685FB4" w:rsidP="00685FB4">
            <w:pPr>
              <w:rPr>
                <w:rFonts w:ascii="Times New Roman" w:hAnsi="Times New Roman" w:cs="Times New Roman"/>
                <w:bCs/>
                <w:iCs/>
              </w:rPr>
            </w:pPr>
            <w:r w:rsidRPr="00685FB4">
              <w:rPr>
                <w:rFonts w:ascii="Times New Roman" w:hAnsi="Times New Roman" w:cs="Times New Roman"/>
                <w:bCs/>
                <w:iCs/>
              </w:rPr>
              <w:t>Parameter</w:t>
            </w:r>
          </w:p>
        </w:tc>
        <w:tc>
          <w:tcPr>
            <w:tcW w:w="2409" w:type="dxa"/>
          </w:tcPr>
          <w:p w:rsidR="00685FB4" w:rsidRPr="00685FB4" w:rsidRDefault="00685FB4" w:rsidP="00685FB4">
            <w:pPr>
              <w:rPr>
                <w:rFonts w:ascii="Times New Roman" w:hAnsi="Times New Roman" w:cs="Times New Roman"/>
                <w:bCs/>
                <w:iCs/>
              </w:rPr>
            </w:pPr>
            <w:r w:rsidRPr="00685FB4">
              <w:rPr>
                <w:rFonts w:ascii="Times New Roman" w:hAnsi="Times New Roman" w:cs="Times New Roman"/>
                <w:bCs/>
                <w:iCs/>
              </w:rPr>
              <w:t>Discovery CT 750 HD</w:t>
            </w:r>
          </w:p>
        </w:tc>
        <w:tc>
          <w:tcPr>
            <w:tcW w:w="2410" w:type="dxa"/>
          </w:tcPr>
          <w:p w:rsidR="00685FB4" w:rsidRPr="00685FB4" w:rsidRDefault="00685FB4" w:rsidP="00685FB4">
            <w:pPr>
              <w:rPr>
                <w:rFonts w:ascii="Times New Roman" w:hAnsi="Times New Roman" w:cs="Times New Roman"/>
                <w:bCs/>
                <w:iCs/>
              </w:rPr>
            </w:pPr>
            <w:r w:rsidRPr="00685FB4">
              <w:rPr>
                <w:rFonts w:ascii="Times New Roman" w:hAnsi="Times New Roman" w:cs="Times New Roman"/>
                <w:bCs/>
                <w:iCs/>
              </w:rPr>
              <w:t>Philips ICT 128</w:t>
            </w:r>
          </w:p>
        </w:tc>
      </w:tr>
      <w:tr w:rsidR="00685FB4" w:rsidRPr="00685FB4" w:rsidTr="00FC4999">
        <w:tc>
          <w:tcPr>
            <w:tcW w:w="3369" w:type="dxa"/>
            <w:tcBorders>
              <w:bottom w:val="nil"/>
            </w:tcBorders>
          </w:tcPr>
          <w:p w:rsidR="00685FB4" w:rsidRPr="00685FB4" w:rsidRDefault="00685FB4" w:rsidP="00685FB4">
            <w:pPr>
              <w:rPr>
                <w:rFonts w:ascii="Times New Roman" w:hAnsi="Times New Roman" w:cs="Times New Roman"/>
                <w:bCs/>
                <w:iCs/>
              </w:rPr>
            </w:pPr>
            <w:r w:rsidRPr="00685FB4">
              <w:rPr>
                <w:rFonts w:ascii="Times New Roman" w:hAnsi="Times New Roman" w:cs="Times New Roman"/>
                <w:bCs/>
                <w:iCs/>
              </w:rPr>
              <w:t xml:space="preserve">Tube voltage, </w:t>
            </w:r>
            <w:proofErr w:type="spellStart"/>
            <w:r w:rsidRPr="00685FB4">
              <w:rPr>
                <w:rFonts w:ascii="Times New Roman" w:hAnsi="Times New Roman" w:cs="Times New Roman"/>
                <w:bCs/>
                <w:iCs/>
              </w:rPr>
              <w:t>kVp</w:t>
            </w:r>
            <w:proofErr w:type="spellEnd"/>
          </w:p>
        </w:tc>
        <w:tc>
          <w:tcPr>
            <w:tcW w:w="2409" w:type="dxa"/>
            <w:tcBorders>
              <w:bottom w:val="nil"/>
            </w:tcBorders>
          </w:tcPr>
          <w:p w:rsidR="00685FB4" w:rsidRPr="00685FB4" w:rsidRDefault="00685FB4" w:rsidP="00685FB4">
            <w:pPr>
              <w:rPr>
                <w:rFonts w:ascii="Times New Roman" w:hAnsi="Times New Roman" w:cs="Times New Roman"/>
                <w:bCs/>
                <w:iCs/>
              </w:rPr>
            </w:pPr>
            <w:r w:rsidRPr="00685FB4">
              <w:rPr>
                <w:rFonts w:ascii="Times New Roman" w:hAnsi="Times New Roman" w:cs="Times New Roman"/>
                <w:bCs/>
                <w:iCs/>
              </w:rPr>
              <w:t>120</w:t>
            </w:r>
          </w:p>
        </w:tc>
        <w:tc>
          <w:tcPr>
            <w:tcW w:w="2410" w:type="dxa"/>
            <w:tcBorders>
              <w:bottom w:val="nil"/>
            </w:tcBorders>
          </w:tcPr>
          <w:p w:rsidR="00685FB4" w:rsidRPr="00685FB4" w:rsidRDefault="00685FB4" w:rsidP="00685FB4">
            <w:pPr>
              <w:rPr>
                <w:rFonts w:ascii="Times New Roman" w:hAnsi="Times New Roman" w:cs="Times New Roman"/>
                <w:bCs/>
                <w:iCs/>
              </w:rPr>
            </w:pPr>
            <w:r w:rsidRPr="00685FB4">
              <w:rPr>
                <w:rFonts w:ascii="Times New Roman" w:hAnsi="Times New Roman" w:cs="Times New Roman"/>
                <w:bCs/>
                <w:iCs/>
              </w:rPr>
              <w:t>120</w:t>
            </w:r>
          </w:p>
        </w:tc>
      </w:tr>
      <w:tr w:rsidR="00685FB4" w:rsidRPr="00685FB4" w:rsidTr="00FC4999">
        <w:tc>
          <w:tcPr>
            <w:tcW w:w="3369" w:type="dxa"/>
            <w:tcBorders>
              <w:top w:val="nil"/>
              <w:bottom w:val="nil"/>
            </w:tcBorders>
          </w:tcPr>
          <w:p w:rsidR="00685FB4" w:rsidRPr="00685FB4" w:rsidRDefault="00685FB4" w:rsidP="00685FB4">
            <w:pPr>
              <w:rPr>
                <w:rFonts w:ascii="Times New Roman" w:hAnsi="Times New Roman" w:cs="Times New Roman"/>
                <w:bCs/>
                <w:iCs/>
              </w:rPr>
            </w:pPr>
            <w:r w:rsidRPr="00685FB4">
              <w:rPr>
                <w:rFonts w:ascii="Times New Roman" w:hAnsi="Times New Roman" w:cs="Times New Roman"/>
                <w:bCs/>
                <w:iCs/>
              </w:rPr>
              <w:t xml:space="preserve">Tube current, </w:t>
            </w:r>
            <w:proofErr w:type="spellStart"/>
            <w:r w:rsidRPr="00685FB4">
              <w:rPr>
                <w:rFonts w:ascii="Times New Roman" w:hAnsi="Times New Roman" w:cs="Times New Roman"/>
                <w:bCs/>
                <w:iCs/>
              </w:rPr>
              <w:t>mAs</w:t>
            </w:r>
            <w:proofErr w:type="spellEnd"/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85FB4" w:rsidRPr="00685FB4" w:rsidRDefault="00685FB4" w:rsidP="00685FB4">
            <w:pPr>
              <w:rPr>
                <w:rFonts w:ascii="Times New Roman" w:hAnsi="Times New Roman" w:cs="Times New Roman"/>
                <w:bCs/>
                <w:iCs/>
              </w:rPr>
            </w:pPr>
            <w:r w:rsidRPr="00685FB4">
              <w:rPr>
                <w:rFonts w:ascii="Times New Roman" w:hAnsi="Times New Roman" w:cs="Times New Roman"/>
                <w:bCs/>
                <w:iCs/>
              </w:rPr>
              <w:t>350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85FB4" w:rsidRPr="00685FB4" w:rsidRDefault="00685FB4" w:rsidP="00685FB4">
            <w:pPr>
              <w:rPr>
                <w:rFonts w:ascii="Times New Roman" w:hAnsi="Times New Roman" w:cs="Times New Roman"/>
                <w:bCs/>
                <w:iCs/>
              </w:rPr>
            </w:pPr>
            <w:r w:rsidRPr="00685FB4">
              <w:rPr>
                <w:rFonts w:ascii="Times New Roman" w:hAnsi="Times New Roman" w:cs="Times New Roman"/>
                <w:bCs/>
                <w:iCs/>
              </w:rPr>
              <w:t>251</w:t>
            </w:r>
          </w:p>
        </w:tc>
      </w:tr>
      <w:tr w:rsidR="00685FB4" w:rsidRPr="00685FB4" w:rsidTr="00FC4999">
        <w:tc>
          <w:tcPr>
            <w:tcW w:w="3369" w:type="dxa"/>
            <w:tcBorders>
              <w:top w:val="nil"/>
              <w:bottom w:val="nil"/>
            </w:tcBorders>
          </w:tcPr>
          <w:p w:rsidR="00685FB4" w:rsidRPr="00685FB4" w:rsidRDefault="00685FB4" w:rsidP="00685FB4">
            <w:pPr>
              <w:rPr>
                <w:rFonts w:ascii="Times New Roman" w:hAnsi="Times New Roman" w:cs="Times New Roman"/>
                <w:bCs/>
                <w:iCs/>
              </w:rPr>
            </w:pPr>
            <w:r w:rsidRPr="00685FB4">
              <w:rPr>
                <w:rFonts w:ascii="Times New Roman" w:hAnsi="Times New Roman" w:cs="Times New Roman"/>
                <w:bCs/>
                <w:iCs/>
              </w:rPr>
              <w:t>Collimator width, mm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85FB4" w:rsidRPr="00685FB4" w:rsidRDefault="00685FB4" w:rsidP="00685FB4">
            <w:pPr>
              <w:rPr>
                <w:rFonts w:ascii="Times New Roman" w:hAnsi="Times New Roman" w:cs="Times New Roman"/>
                <w:bCs/>
                <w:iCs/>
              </w:rPr>
            </w:pPr>
            <w:r w:rsidRPr="00685FB4">
              <w:rPr>
                <w:rFonts w:ascii="Times New Roman" w:hAnsi="Times New Roman" w:cs="Times New Roman"/>
                <w:bCs/>
                <w:iCs/>
              </w:rPr>
              <w:t>40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85FB4" w:rsidRPr="00685FB4" w:rsidRDefault="00685FB4" w:rsidP="00685FB4">
            <w:pPr>
              <w:rPr>
                <w:rFonts w:ascii="Times New Roman" w:hAnsi="Times New Roman" w:cs="Times New Roman"/>
                <w:bCs/>
                <w:iCs/>
              </w:rPr>
            </w:pPr>
            <w:r w:rsidRPr="00685FB4">
              <w:rPr>
                <w:rFonts w:ascii="Times New Roman" w:hAnsi="Times New Roman" w:cs="Times New Roman"/>
                <w:bCs/>
                <w:iCs/>
              </w:rPr>
              <w:t>80</w:t>
            </w:r>
          </w:p>
        </w:tc>
      </w:tr>
      <w:tr w:rsidR="00685FB4" w:rsidRPr="00685FB4" w:rsidTr="00FC4999">
        <w:tc>
          <w:tcPr>
            <w:tcW w:w="3369" w:type="dxa"/>
            <w:tcBorders>
              <w:top w:val="nil"/>
              <w:bottom w:val="nil"/>
            </w:tcBorders>
          </w:tcPr>
          <w:p w:rsidR="00685FB4" w:rsidRPr="00685FB4" w:rsidRDefault="00685FB4" w:rsidP="00685FB4">
            <w:pPr>
              <w:rPr>
                <w:rFonts w:ascii="Times New Roman" w:hAnsi="Times New Roman" w:cs="Times New Roman"/>
                <w:bCs/>
                <w:iCs/>
              </w:rPr>
            </w:pPr>
            <w:r w:rsidRPr="00685FB4">
              <w:rPr>
                <w:rFonts w:ascii="Times New Roman" w:hAnsi="Times New Roman" w:cs="Times New Roman"/>
                <w:bCs/>
                <w:iCs/>
              </w:rPr>
              <w:t>Rotation time, s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85FB4" w:rsidRPr="00685FB4" w:rsidRDefault="00685FB4" w:rsidP="00685FB4">
            <w:pPr>
              <w:rPr>
                <w:rFonts w:ascii="Times New Roman" w:hAnsi="Times New Roman" w:cs="Times New Roman"/>
                <w:bCs/>
                <w:iCs/>
              </w:rPr>
            </w:pPr>
            <w:r w:rsidRPr="00685FB4">
              <w:rPr>
                <w:rFonts w:ascii="Times New Roman" w:hAnsi="Times New Roman" w:cs="Times New Roman"/>
                <w:bCs/>
                <w:iCs/>
              </w:rPr>
              <w:t>0.5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85FB4" w:rsidRPr="00685FB4" w:rsidRDefault="00685FB4" w:rsidP="00685FB4">
            <w:pPr>
              <w:rPr>
                <w:rFonts w:ascii="Times New Roman" w:hAnsi="Times New Roman" w:cs="Times New Roman"/>
                <w:bCs/>
                <w:iCs/>
              </w:rPr>
            </w:pPr>
            <w:r w:rsidRPr="00685FB4">
              <w:rPr>
                <w:rFonts w:ascii="Times New Roman" w:hAnsi="Times New Roman" w:cs="Times New Roman"/>
                <w:bCs/>
                <w:iCs/>
              </w:rPr>
              <w:t>0.5</w:t>
            </w:r>
          </w:p>
        </w:tc>
      </w:tr>
      <w:tr w:rsidR="00685FB4" w:rsidRPr="00685FB4" w:rsidTr="00FC4999">
        <w:tc>
          <w:tcPr>
            <w:tcW w:w="3369" w:type="dxa"/>
            <w:tcBorders>
              <w:top w:val="nil"/>
              <w:bottom w:val="nil"/>
            </w:tcBorders>
          </w:tcPr>
          <w:p w:rsidR="00685FB4" w:rsidRPr="00685FB4" w:rsidRDefault="00685FB4" w:rsidP="00685FB4">
            <w:pPr>
              <w:rPr>
                <w:rFonts w:ascii="Times New Roman" w:hAnsi="Times New Roman" w:cs="Times New Roman"/>
                <w:bCs/>
                <w:iCs/>
              </w:rPr>
            </w:pPr>
            <w:r w:rsidRPr="00685FB4">
              <w:rPr>
                <w:rFonts w:ascii="Times New Roman" w:hAnsi="Times New Roman" w:cs="Times New Roman"/>
                <w:bCs/>
                <w:iCs/>
              </w:rPr>
              <w:t>Screw pitch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85FB4" w:rsidRPr="00685FB4" w:rsidRDefault="00685FB4" w:rsidP="00685FB4">
            <w:pPr>
              <w:rPr>
                <w:rFonts w:ascii="Times New Roman" w:hAnsi="Times New Roman" w:cs="Times New Roman"/>
                <w:bCs/>
                <w:iCs/>
              </w:rPr>
            </w:pPr>
            <w:r w:rsidRPr="00685FB4">
              <w:rPr>
                <w:rFonts w:ascii="Times New Roman" w:hAnsi="Times New Roman" w:cs="Times New Roman"/>
                <w:bCs/>
                <w:iCs/>
              </w:rPr>
              <w:t>0.984:1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85FB4" w:rsidRPr="00685FB4" w:rsidRDefault="00685FB4" w:rsidP="00685FB4">
            <w:pPr>
              <w:rPr>
                <w:rFonts w:ascii="Times New Roman" w:hAnsi="Times New Roman" w:cs="Times New Roman"/>
                <w:bCs/>
                <w:iCs/>
              </w:rPr>
            </w:pPr>
            <w:r w:rsidRPr="00685FB4">
              <w:rPr>
                <w:rFonts w:ascii="Times New Roman" w:hAnsi="Times New Roman" w:cs="Times New Roman"/>
                <w:bCs/>
                <w:iCs/>
              </w:rPr>
              <w:t>1.150:1</w:t>
            </w:r>
          </w:p>
        </w:tc>
      </w:tr>
      <w:tr w:rsidR="00685FB4" w:rsidRPr="00685FB4" w:rsidTr="00FC4999">
        <w:tc>
          <w:tcPr>
            <w:tcW w:w="3369" w:type="dxa"/>
            <w:tcBorders>
              <w:top w:val="nil"/>
            </w:tcBorders>
          </w:tcPr>
          <w:p w:rsidR="00685FB4" w:rsidRPr="00685FB4" w:rsidRDefault="00685FB4" w:rsidP="00685FB4">
            <w:pPr>
              <w:rPr>
                <w:rFonts w:ascii="Times New Roman" w:hAnsi="Times New Roman" w:cs="Times New Roman"/>
                <w:bCs/>
                <w:iCs/>
              </w:rPr>
            </w:pPr>
            <w:r w:rsidRPr="00685FB4">
              <w:rPr>
                <w:rFonts w:ascii="Times New Roman" w:hAnsi="Times New Roman" w:cs="Times New Roman"/>
                <w:bCs/>
                <w:iCs/>
              </w:rPr>
              <w:t>Reconstructed layer thickness, mm</w:t>
            </w:r>
          </w:p>
        </w:tc>
        <w:tc>
          <w:tcPr>
            <w:tcW w:w="2409" w:type="dxa"/>
            <w:tcBorders>
              <w:top w:val="nil"/>
            </w:tcBorders>
          </w:tcPr>
          <w:p w:rsidR="00685FB4" w:rsidRPr="00685FB4" w:rsidRDefault="00685FB4" w:rsidP="00685FB4">
            <w:pPr>
              <w:rPr>
                <w:rFonts w:ascii="Times New Roman" w:hAnsi="Times New Roman" w:cs="Times New Roman"/>
                <w:bCs/>
                <w:iCs/>
              </w:rPr>
            </w:pPr>
            <w:r w:rsidRPr="00685FB4">
              <w:rPr>
                <w:rFonts w:ascii="Times New Roman" w:hAnsi="Times New Roman" w:cs="Times New Roman"/>
                <w:bCs/>
                <w:iCs/>
              </w:rPr>
              <w:t>1.25</w:t>
            </w:r>
          </w:p>
        </w:tc>
        <w:tc>
          <w:tcPr>
            <w:tcW w:w="2410" w:type="dxa"/>
            <w:tcBorders>
              <w:top w:val="nil"/>
            </w:tcBorders>
          </w:tcPr>
          <w:p w:rsidR="00685FB4" w:rsidRPr="00685FB4" w:rsidRDefault="00685FB4" w:rsidP="00685FB4">
            <w:pPr>
              <w:rPr>
                <w:rFonts w:ascii="Times New Roman" w:hAnsi="Times New Roman" w:cs="Times New Roman"/>
                <w:bCs/>
                <w:iCs/>
              </w:rPr>
            </w:pPr>
            <w:r w:rsidRPr="00685FB4">
              <w:rPr>
                <w:rFonts w:ascii="Times New Roman" w:hAnsi="Times New Roman" w:cs="Times New Roman"/>
                <w:bCs/>
                <w:iCs/>
              </w:rPr>
              <w:t>1.25</w:t>
            </w:r>
          </w:p>
        </w:tc>
      </w:tr>
    </w:tbl>
    <w:p w:rsidR="00685FB4" w:rsidRPr="00685FB4" w:rsidRDefault="00685FB4" w:rsidP="00685FB4"/>
    <w:p w:rsidR="00AE180E" w:rsidRPr="00AE180E" w:rsidRDefault="00AE180E">
      <w:pPr>
        <w:rPr>
          <w:lang w:val="en-GB"/>
        </w:rPr>
      </w:pPr>
    </w:p>
    <w:sectPr w:rsidR="00AE180E" w:rsidRPr="00AE18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362" w:rsidRDefault="00533362" w:rsidP="007215BE">
      <w:r>
        <w:separator/>
      </w:r>
    </w:p>
  </w:endnote>
  <w:endnote w:type="continuationSeparator" w:id="0">
    <w:p w:rsidR="00533362" w:rsidRDefault="00533362" w:rsidP="00721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362" w:rsidRDefault="00533362" w:rsidP="007215BE">
      <w:r>
        <w:separator/>
      </w:r>
    </w:p>
  </w:footnote>
  <w:footnote w:type="continuationSeparator" w:id="0">
    <w:p w:rsidR="00533362" w:rsidRDefault="00533362" w:rsidP="007215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F0E04"/>
    <w:multiLevelType w:val="hybridMultilevel"/>
    <w:tmpl w:val="4D1A72C0"/>
    <w:lvl w:ilvl="0" w:tplc="584008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90E2BA4"/>
    <w:multiLevelType w:val="hybridMultilevel"/>
    <w:tmpl w:val="F3A81080"/>
    <w:lvl w:ilvl="0" w:tplc="081A4AE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46037C3"/>
    <w:multiLevelType w:val="hybridMultilevel"/>
    <w:tmpl w:val="E05A6B94"/>
    <w:lvl w:ilvl="0" w:tplc="55D076A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80E"/>
    <w:rsid w:val="00066AB7"/>
    <w:rsid w:val="003B5493"/>
    <w:rsid w:val="00472ECE"/>
    <w:rsid w:val="00495F7F"/>
    <w:rsid w:val="00533362"/>
    <w:rsid w:val="005D1D21"/>
    <w:rsid w:val="00685FB4"/>
    <w:rsid w:val="007215BE"/>
    <w:rsid w:val="008B520E"/>
    <w:rsid w:val="009270CB"/>
    <w:rsid w:val="00AE180E"/>
    <w:rsid w:val="00B3397D"/>
    <w:rsid w:val="00D61F5A"/>
    <w:rsid w:val="00D9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E180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E180E"/>
    <w:rPr>
      <w:sz w:val="18"/>
      <w:szCs w:val="18"/>
    </w:rPr>
  </w:style>
  <w:style w:type="table" w:styleId="a4">
    <w:name w:val="Table Grid"/>
    <w:basedOn w:val="a1"/>
    <w:uiPriority w:val="59"/>
    <w:rsid w:val="00685F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unhideWhenUsed/>
    <w:rsid w:val="007215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215BE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7215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7215B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E180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E180E"/>
    <w:rPr>
      <w:sz w:val="18"/>
      <w:szCs w:val="18"/>
    </w:rPr>
  </w:style>
  <w:style w:type="table" w:styleId="a4">
    <w:name w:val="Table Grid"/>
    <w:basedOn w:val="a1"/>
    <w:uiPriority w:val="59"/>
    <w:rsid w:val="00685F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unhideWhenUsed/>
    <w:rsid w:val="007215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215BE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7215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7215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297</Words>
  <Characters>1699</Characters>
  <Application>Microsoft Office Word</Application>
  <DocSecurity>0</DocSecurity>
  <Lines>14</Lines>
  <Paragraphs>3</Paragraphs>
  <ScaleCrop>false</ScaleCrop>
  <Company>Microsoft</Company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Administrator</cp:lastModifiedBy>
  <cp:revision>2</cp:revision>
  <dcterms:created xsi:type="dcterms:W3CDTF">2022-01-12T12:59:00Z</dcterms:created>
  <dcterms:modified xsi:type="dcterms:W3CDTF">2022-01-12T12:59:00Z</dcterms:modified>
</cp:coreProperties>
</file>