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A01" w:rsidRDefault="002F0A01" w:rsidP="002F0A01">
      <w:pPr>
        <w:rPr>
          <w:sz w:val="20"/>
          <w:szCs w:val="20"/>
        </w:rPr>
      </w:pPr>
      <w:bookmarkStart w:id="0" w:name="_GoBack"/>
      <w:bookmarkEnd w:id="0"/>
      <w:proofErr w:type="gramStart"/>
      <w:r>
        <w:rPr>
          <w:b/>
          <w:sz w:val="20"/>
          <w:szCs w:val="20"/>
        </w:rPr>
        <w:t>Supplemental Digital Content 4.</w:t>
      </w:r>
      <w:proofErr w:type="gramEnd"/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Standards for Use and Reporting of Logistic Regression in the Medical Literature</w:t>
      </w:r>
      <w:r w:rsidR="00585192">
        <w:rPr>
          <w:b/>
          <w:sz w:val="20"/>
          <w:szCs w:val="20"/>
        </w:rPr>
        <w:t xml:space="preserve"> [27].</w:t>
      </w:r>
      <w:proofErr w:type="gramEnd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417"/>
        <w:gridCol w:w="1276"/>
        <w:gridCol w:w="1843"/>
        <w:gridCol w:w="1275"/>
        <w:gridCol w:w="1843"/>
        <w:gridCol w:w="1985"/>
        <w:gridCol w:w="1869"/>
      </w:tblGrid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Source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Events per Variable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Conformity with Linear Gradient</w:t>
            </w:r>
            <w:r>
              <w:rPr>
                <w:lang w:eastAsia="en-CA"/>
              </w:rPr>
              <w:t>*</w:t>
            </w:r>
            <w:r>
              <w:rPr>
                <w:b/>
                <w:lang w:eastAsia="en-CA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Interactions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b/>
                <w:lang w:eastAsia="en-CA"/>
              </w:rPr>
            </w:pPr>
            <w:proofErr w:type="spellStart"/>
            <w:r>
              <w:rPr>
                <w:b/>
                <w:lang w:eastAsia="en-CA"/>
              </w:rPr>
              <w:t>Collinearity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Predictor Variable Statistics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Variable Selection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Fitting Procedure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F703E2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Watson </w:t>
            </w:r>
            <w:r w:rsidRPr="00AE11D9"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2017</w:t>
            </w:r>
            <w:hyperlink w:anchor="_ENREF_15" w:tooltip="Watson, 2017 #747" w:history="1">
              <w:r w:rsidR="00F703E2">
                <w:rPr>
                  <w:lang w:eastAsia="en-CA"/>
                </w:rPr>
                <w:t xml:space="preserve"> [15]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 xml:space="preserve">Use of DC: 329/4=82.3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Pearson’s correlation coefficient and examination of the variance inflation factor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CI, p-value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F703E2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Harvin</w:t>
            </w:r>
            <w:proofErr w:type="spellEnd"/>
            <w:r>
              <w:rPr>
                <w:lang w:eastAsia="en-CA"/>
              </w:rPr>
              <w:t xml:space="preserve"> </w:t>
            </w:r>
            <w:r w:rsidRPr="009D4976"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2016</w:t>
            </w:r>
            <w:hyperlink w:anchor="_ENREF_35" w:tooltip="Harvin, 2015 #669" w:history="1">
              <w:r w:rsidR="00F703E2">
                <w:rPr>
                  <w:lang w:eastAsia="en-CA"/>
                </w:rPr>
                <w:t xml:space="preserve"> [35]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CI, p-value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Variables available to the surgeon before the decision to conduct DC laparotomy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Mahmood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2014</w:t>
            </w:r>
            <w:hyperlink w:anchor="_ENREF_38" w:tooltip="Mahmood, 2014 #289" w:history="1">
              <w:r w:rsidR="00F703E2">
                <w:rPr>
                  <w:lang w:eastAsia="en-CA"/>
                </w:rPr>
                <w:t xml:space="preserve"> [38]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15/5=3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CI, p-value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Rice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2012</w:t>
            </w:r>
            <w:hyperlink w:anchor="_ENREF_40" w:tooltip="Rice, 2012 #239" w:history="1">
              <w:r w:rsidR="00F703E2">
                <w:rPr>
                  <w:lang w:eastAsia="en-CA"/>
                </w:rPr>
                <w:t xml:space="preserve"> [40]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30 d mortality: 48/14=3.4</w:t>
            </w:r>
          </w:p>
          <w:p w:rsidR="002F0A01" w:rsidRDefault="002F0A01" w:rsidP="00A9278B">
            <w:pPr>
              <w:jc w:val="center"/>
              <w:rPr>
                <w:lang w:eastAsia="en-CA"/>
              </w:rPr>
            </w:pPr>
          </w:p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90 d mortality: 54/14=3.9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CI, p-value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Previously published associations with mortality in trauma patients and authors’ clinical judgment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F703E2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Martin </w:t>
            </w:r>
            <w:r w:rsidRPr="009D4976"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2012</w:t>
            </w:r>
            <w:hyperlink w:anchor="_ENREF_14" w:tooltip="Martin, 2012 #53" w:history="1">
              <w:r w:rsidR="00F703E2">
                <w:rPr>
                  <w:lang w:eastAsia="en-CA"/>
                </w:rPr>
                <w:t xml:space="preserve"> [14]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Major postoperative complication: 264/10=26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CI, p-value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Variables not associated with poor outcomes in bivariate analyses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Chinnery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2012</w:t>
            </w:r>
            <w:hyperlink w:anchor="_ENREF_41" w:tooltip="Chinnery, 2012 #107" w:history="1">
              <w:r w:rsidR="00F703E2">
                <w:rPr>
                  <w:lang w:eastAsia="en-CA"/>
                </w:rPr>
                <w:t xml:space="preserve"> [41]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Mortality: 46/12=3.8</w:t>
            </w:r>
          </w:p>
          <w:p w:rsidR="002F0A01" w:rsidRDefault="002F0A01" w:rsidP="00A9278B">
            <w:pPr>
              <w:jc w:val="center"/>
              <w:rPr>
                <w:lang w:eastAsia="en-CA"/>
              </w:rPr>
            </w:pPr>
          </w:p>
          <w:p w:rsidR="002F0A01" w:rsidRDefault="002F0A01" w:rsidP="00A9278B">
            <w:pPr>
              <w:jc w:val="center"/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Complicati-ons</w:t>
            </w:r>
            <w:proofErr w:type="spellEnd"/>
            <w:r>
              <w:rPr>
                <w:lang w:eastAsia="en-CA"/>
              </w:rPr>
              <w:t>: 150/11=13.6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CI, p-value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Bivariate, p&lt;0.05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Leppäniemi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2011</w:t>
            </w:r>
            <w:hyperlink w:anchor="_ENREF_43" w:tooltip="Leppaniemi, 2011 #203" w:history="1">
              <w:r w:rsidR="00F703E2">
                <w:rPr>
                  <w:lang w:eastAsia="en-CA"/>
                </w:rPr>
                <w:t xml:space="preserve"> [43]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Forward stepwise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lastRenderedPageBreak/>
              <w:t>Timmermans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2010</w:t>
            </w:r>
            <w:hyperlink w:anchor="_ENREF_44" w:tooltip="Timmermans, 2010 #268" w:history="1">
              <w:r w:rsidR="00F703E2">
                <w:rPr>
                  <w:lang w:eastAsia="en-CA"/>
                </w:rPr>
                <w:t xml:space="preserve"> [44]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20/4=5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proofErr w:type="gramStart"/>
            <w:r>
              <w:rPr>
                <w:lang w:eastAsia="en-CA"/>
              </w:rPr>
              <w:t>p</w:t>
            </w:r>
            <w:proofErr w:type="gramEnd"/>
            <w:r>
              <w:rPr>
                <w:lang w:eastAsia="en-CA"/>
              </w:rPr>
              <w:t>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Bivariate, p&lt;0.05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Kashuk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2008</w:t>
            </w:r>
            <w:hyperlink w:anchor="_ENREF_47" w:tooltip="Kashuk, 2008 #462" w:history="1">
              <w:r w:rsidR="00F703E2">
                <w:rPr>
                  <w:lang w:eastAsia="en-CA"/>
                </w:rPr>
                <w:t xml:space="preserve"> [47]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Coefficient, CI, p-value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Risk factors for coagulopathy identified from previous study</w:t>
            </w:r>
            <w:hyperlink w:anchor="_ENREF_57" w:tooltip="Cosgriff, 1997 #454" w:history="1">
              <w:r w:rsidRPr="000E3CE7">
                <w:rPr>
                  <w:lang w:eastAsia="en-CA"/>
                </w:rPr>
                <w:fldChar w:fldCharType="begin">
                  <w:fldData xml:space="preserve">PEVuZE5vdGU+PENpdGU+PEF1dGhvcj5Db3NncmlmZjwvQXV0aG9yPjxZZWFyPjE5OTc8L1llYXI+
PFJlY051bT40NTQ8L1JlY051bT48RGlzcGxheVRleHQ+PHN0eWxlIGZhY2U9InN1cGVyc2NyaXB0
Ij41Nzwvc3R5bGU+PC9EaXNwbGF5VGV4dD48cmVjb3JkPjxyZWMtbnVtYmVyPjQ1NDwvcmVjLW51
bWJlcj48Zm9yZWlnbi1rZXlzPjxrZXkgYXBwPSJFTiIgZGItaWQ9IjJhZDIweHZ0d3Q1YWV3ZWRw
NTB2dHhyZDllc3B2eDJ0ZHJ6cyI+NDU0PC9rZXk+PC9mb3JlaWduLWtleXM+PHJlZi10eXBlIG5h
bWU9IkpvdXJuYWwgQXJ0aWNsZSI+MTc8L3JlZi10eXBlPjxjb250cmlidXRvcnM+PGF1dGhvcnM+
PGF1dGhvcj5Db3NncmlmZiwgTi48L2F1dGhvcj48YXV0aG9yPk1vb3JlLCBFLiBFLjwvYXV0aG9y
PjxhdXRob3I+U2F1YWlhLCBBLjwvYXV0aG9yPjxhdXRob3I+S2VubnktTW95bmloYW4sIE0uPC9h
dXRob3I+PGF1dGhvcj5CdXJjaCwgSi4gTS48L2F1dGhvcj48YXV0aG9yPkdhbGxvd2F5LCBCLjwv
YXV0aG9yPjwvYXV0aG9ycz48L2NvbnRyaWJ1dG9ycz48YXV0aC1hZGRyZXNzPkRlcGFydG1lbnQg
b2YgU3VyZ2VyeSwgRGVudmVyIEhlYWx0aCBNZWRpY2FsIENlbnRlciwgQ29sb3JhZG8gODAyMDQs
IFVTQS48L2F1dGgtYWRkcmVzcz48dGl0bGVzPjx0aXRsZT5QcmVkaWN0aW5nIGxpZmUtdGhyZWF0
ZW5pbmcgY29hZ3Vsb3BhdGh5IGluIHRoZSBtYXNzaXZlbHkgdHJhbnNmdXNlZCB0cmF1bWEgcGF0
aWVudDogaHlwb3RoZXJtaWEgYW5kIGFjaWRvc2VzIHJldmlzaXRlZDwvdGl0bGU+PHNlY29uZGFy
eS10aXRsZT5KIFRyYXVtYTwvc2Vjb25kYXJ5LXRpdGxlPjxhbHQtdGl0bGU+VGhlIEpvdXJuYWwg
b2YgdHJhdW1hPC9hbHQtdGl0bGU+PC90aXRsZXM+PHBlcmlvZGljYWw+PGZ1bGwtdGl0bGU+SiBU
cmF1bWE8L2Z1bGwtdGl0bGU+PGFiYnItMT5UaGUgSm91cm5hbCBvZiB0cmF1bWE8L2FiYnItMT48
L3BlcmlvZGljYWw+PGFsdC1wZXJpb2RpY2FsPjxmdWxsLXRpdGxlPkogVHJhdW1hPC9mdWxsLXRp
dGxlPjxhYmJyLTE+VGhlIEpvdXJuYWwgb2YgdHJhdW1hPC9hYmJyLTE+PC9hbHQtcGVyaW9kaWNh
bD48cGFnZXM+ODU3LTYxOyBkaXNjdXNzaW9uIDg2MS0yPC9wYWdlcz48dm9sdW1lPjQyPC92b2x1
bWU+PG51bWJlcj41PC9udW1iZXI+PGVkaXRpb24+MTk5Ny8wNS8wMTwvZWRpdGlvbj48a2V5d29y
ZHM+PGtleXdvcmQ+QWJkb21pbmFsIEluanVyaWVzL2NvbXBsaWNhdGlvbnMvIHRoZXJhcHk8L2tl
eXdvcmQ+PGtleXdvcmQ+QWNpZG9zaXMvIGV0aW9sb2d5PC9rZXl3b3JkPjxrZXl3b3JkPkFkdWx0
PC9rZXl3b3JkPjxrZXl3b3JkPkJsb29kIENvYWd1bGF0aW9uIERpc29yZGVycy8gZXRpb2xvZ3k8
L2tleXdvcmQ+PGtleXdvcmQ+Qmxvb2QgVHJhbnNmdXNpb24vIGFkdmVyc2UgZWZmZWN0czwva2V5
d29yZD48a2V5d29yZD5GZW1hbGU8L2tleXdvcmQ+PGtleXdvcmQ+SHVtYW5zPC9rZXl3b3JkPjxr
ZXl3b3JkPkh5cG90aGVybWlhLyBldGlvbG9neTwva2V5d29yZD48a2V5d29yZD5Jbmp1cnkgU2V2
ZXJpdHkgU2NvcmU8L2tleXdvcmQ+PGtleXdvcmQ+TG9naXN0aWMgTW9kZWxzPC9rZXl3b3JkPjxr
ZXl3b3JkPk1hbGU8L2tleXdvcmQ+PGtleXdvcmQ+T2RkcyBSYXRpbzwva2V5d29yZD48a2V5d29y
ZD5QcmVkaWN0aXZlIFZhbHVlIG9mIFRlc3RzPC9rZXl3b3JkPjxrZXl3b3JkPlByb3NwZWN0aXZl
IFN0dWRpZXM8L2tleXdvcmQ+PGtleXdvcmQ+UmlzayBGYWN0b3JzPC9rZXl3b3JkPjxrZXl3b3Jk
PlN1cnZpdmFsIEFuYWx5c2lzPC9rZXl3b3JkPjxrZXl3b3JkPlRob3JhY2ljIEluanVyaWVzL2Nv
bXBsaWNhdGlvbnMvIHRoZXJhcHk8L2tleXdvcmQ+PC9rZXl3b3Jkcz48ZGF0ZXM+PHllYXI+MTk5
NzwveWVhcj48cHViLWRhdGVzPjxkYXRlPk1heTwvZGF0ZT48L3B1Yi1kYXRlcz48L2RhdGVzPjxp
c2JuPjAwMjItNTI4MiAoUHJpbnQpJiN4RDswMDIyLTUyODIgKExpbmtpbmcpPC9pc2JuPjxhY2Nl
c3Npb24tbnVtPjkxOTE2Njc8L2FjY2Vzc2lvbi1udW0+PHVybHM+PC91cmxzPjxyZW1vdGUtZGF0
YWJhc2UtcHJvdmlkZXI+TkxNPC9yZW1vdGUtZGF0YWJhc2UtcHJvdmlkZXI+PGxhbmd1YWdlPmVu
ZzwvbGFuZ3VhZ2U+PC9yZWNvcmQ+PC9DaXRlPjwvRW5kTm90ZT4A
</w:fldData>
                </w:fldChar>
              </w:r>
              <w:r>
                <w:rPr>
                  <w:lang w:eastAsia="en-CA"/>
                </w:rPr>
                <w:instrText xml:space="preserve"> ADDIN EN.CITE </w:instrText>
              </w:r>
              <w:r>
                <w:rPr>
                  <w:lang w:eastAsia="en-CA"/>
                </w:rPr>
                <w:fldChar w:fldCharType="begin">
                  <w:fldData xml:space="preserve">PEVuZE5vdGU+PENpdGU+PEF1dGhvcj5Db3NncmlmZjwvQXV0aG9yPjxZZWFyPjE5OTc8L1llYXI+
PFJlY051bT40NTQ8L1JlY051bT48RGlzcGxheVRleHQ+PHN0eWxlIGZhY2U9InN1cGVyc2NyaXB0
Ij41Nzwvc3R5bGU+PC9EaXNwbGF5VGV4dD48cmVjb3JkPjxyZWMtbnVtYmVyPjQ1NDwvcmVjLW51
bWJlcj48Zm9yZWlnbi1rZXlzPjxrZXkgYXBwPSJFTiIgZGItaWQ9IjJhZDIweHZ0d3Q1YWV3ZWRw
NTB2dHhyZDllc3B2eDJ0ZHJ6cyI+NDU0PC9rZXk+PC9mb3JlaWduLWtleXM+PHJlZi10eXBlIG5h
bWU9IkpvdXJuYWwgQXJ0aWNsZSI+MTc8L3JlZi10eXBlPjxjb250cmlidXRvcnM+PGF1dGhvcnM+
PGF1dGhvcj5Db3NncmlmZiwgTi48L2F1dGhvcj48YXV0aG9yPk1vb3JlLCBFLiBFLjwvYXV0aG9y
PjxhdXRob3I+U2F1YWlhLCBBLjwvYXV0aG9yPjxhdXRob3I+S2VubnktTW95bmloYW4sIE0uPC9h
dXRob3I+PGF1dGhvcj5CdXJjaCwgSi4gTS48L2F1dGhvcj48YXV0aG9yPkdhbGxvd2F5LCBCLjwv
YXV0aG9yPjwvYXV0aG9ycz48L2NvbnRyaWJ1dG9ycz48YXV0aC1hZGRyZXNzPkRlcGFydG1lbnQg
b2YgU3VyZ2VyeSwgRGVudmVyIEhlYWx0aCBNZWRpY2FsIENlbnRlciwgQ29sb3JhZG8gODAyMDQs
IFVTQS48L2F1dGgtYWRkcmVzcz48dGl0bGVzPjx0aXRsZT5QcmVkaWN0aW5nIGxpZmUtdGhyZWF0
ZW5pbmcgY29hZ3Vsb3BhdGh5IGluIHRoZSBtYXNzaXZlbHkgdHJhbnNmdXNlZCB0cmF1bWEgcGF0
aWVudDogaHlwb3RoZXJtaWEgYW5kIGFjaWRvc2VzIHJldmlzaXRlZDwvdGl0bGU+PHNlY29uZGFy
eS10aXRsZT5KIFRyYXVtYTwvc2Vjb25kYXJ5LXRpdGxlPjxhbHQtdGl0bGU+VGhlIEpvdXJuYWwg
b2YgdHJhdW1hPC9hbHQtdGl0bGU+PC90aXRsZXM+PHBlcmlvZGljYWw+PGZ1bGwtdGl0bGU+SiBU
cmF1bWE8L2Z1bGwtdGl0bGU+PGFiYnItMT5UaGUgSm91cm5hbCBvZiB0cmF1bWE8L2FiYnItMT48
L3BlcmlvZGljYWw+PGFsdC1wZXJpb2RpY2FsPjxmdWxsLXRpdGxlPkogVHJhdW1hPC9mdWxsLXRp
dGxlPjxhYmJyLTE+VGhlIEpvdXJuYWwgb2YgdHJhdW1hPC9hYmJyLTE+PC9hbHQtcGVyaW9kaWNh
bD48cGFnZXM+ODU3LTYxOyBkaXNjdXNzaW9uIDg2MS0yPC9wYWdlcz48dm9sdW1lPjQyPC92b2x1
bWU+PG51bWJlcj41PC9udW1iZXI+PGVkaXRpb24+MTk5Ny8wNS8wMTwvZWRpdGlvbj48a2V5d29y
ZHM+PGtleXdvcmQ+QWJkb21pbmFsIEluanVyaWVzL2NvbXBsaWNhdGlvbnMvIHRoZXJhcHk8L2tl
eXdvcmQ+PGtleXdvcmQ+QWNpZG9zaXMvIGV0aW9sb2d5PC9rZXl3b3JkPjxrZXl3b3JkPkFkdWx0
PC9rZXl3b3JkPjxrZXl3b3JkPkJsb29kIENvYWd1bGF0aW9uIERpc29yZGVycy8gZXRpb2xvZ3k8
L2tleXdvcmQ+PGtleXdvcmQ+Qmxvb2QgVHJhbnNmdXNpb24vIGFkdmVyc2UgZWZmZWN0czwva2V5
d29yZD48a2V5d29yZD5GZW1hbGU8L2tleXdvcmQ+PGtleXdvcmQ+SHVtYW5zPC9rZXl3b3JkPjxr
ZXl3b3JkPkh5cG90aGVybWlhLyBldGlvbG9neTwva2V5d29yZD48a2V5d29yZD5Jbmp1cnkgU2V2
ZXJpdHkgU2NvcmU8L2tleXdvcmQ+PGtleXdvcmQ+TG9naXN0aWMgTW9kZWxzPC9rZXl3b3JkPjxr
ZXl3b3JkPk1hbGU8L2tleXdvcmQ+PGtleXdvcmQ+T2RkcyBSYXRpbzwva2V5d29yZD48a2V5d29y
ZD5QcmVkaWN0aXZlIFZhbHVlIG9mIFRlc3RzPC9rZXl3b3JkPjxrZXl3b3JkPlByb3NwZWN0aXZl
IFN0dWRpZXM8L2tleXdvcmQ+PGtleXdvcmQ+UmlzayBGYWN0b3JzPC9rZXl3b3JkPjxrZXl3b3Jk
PlN1cnZpdmFsIEFuYWx5c2lzPC9rZXl3b3JkPjxrZXl3b3JkPlRob3JhY2ljIEluanVyaWVzL2Nv
bXBsaWNhdGlvbnMvIHRoZXJhcHk8L2tleXdvcmQ+PC9rZXl3b3Jkcz48ZGF0ZXM+PHllYXI+MTk5
NzwveWVhcj48cHViLWRhdGVzPjxkYXRlPk1heTwvZGF0ZT48L3B1Yi1kYXRlcz48L2RhdGVzPjxp
c2JuPjAwMjItNTI4MiAoUHJpbnQpJiN4RDswMDIyLTUyODIgKExpbmtpbmcpPC9pc2JuPjxhY2Nl
c3Npb24tbnVtPjkxOTE2Njc8L2FjY2Vzc2lvbi1udW0+PHVybHM+PC91cmxzPjxyZW1vdGUtZGF0
YWJhc2UtcHJvdmlkZXI+TkxNPC9yZW1vdGUtZGF0YWJhc2UtcHJvdmlkZXI+PGxhbmd1YWdlPmVu
ZzwvbGFuZ3VhZ2U+PC9yZWNvcmQ+PC9DaXRlPjwvRW5kTm90ZT4A
</w:fldData>
                </w:fldChar>
              </w:r>
              <w:r>
                <w:rPr>
                  <w:lang w:eastAsia="en-CA"/>
                </w:rPr>
                <w:instrText xml:space="preserve"> ADDIN EN.CITE.DATA </w:instrText>
              </w:r>
              <w:r>
                <w:rPr>
                  <w:lang w:eastAsia="en-CA"/>
                </w:rPr>
              </w:r>
              <w:r>
                <w:rPr>
                  <w:lang w:eastAsia="en-CA"/>
                </w:rPr>
                <w:fldChar w:fldCharType="end"/>
              </w:r>
              <w:r w:rsidRPr="000E3CE7">
                <w:rPr>
                  <w:lang w:eastAsia="en-CA"/>
                </w:rPr>
              </w:r>
              <w:r w:rsidRPr="000E3CE7">
                <w:rPr>
                  <w:lang w:eastAsia="en-CA"/>
                </w:rPr>
                <w:fldChar w:fldCharType="separate"/>
              </w:r>
              <w:r w:rsidRPr="002A11EA">
                <w:rPr>
                  <w:noProof/>
                  <w:vertAlign w:val="superscript"/>
                  <w:lang w:eastAsia="en-CA"/>
                </w:rPr>
                <w:t>57</w:t>
              </w:r>
              <w:r w:rsidRPr="000E3CE7">
                <w:rPr>
                  <w:lang w:eastAsia="en-CA"/>
                </w:rPr>
                <w:fldChar w:fldCharType="end"/>
              </w:r>
            </w:hyperlink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Aucar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2003</w:t>
            </w:r>
            <w:hyperlink w:anchor="_ENREF_50" w:tooltip="Aucar, 2003 #77" w:history="1">
              <w:r w:rsidR="00F703E2">
                <w:rPr>
                  <w:lang w:eastAsia="en-CA"/>
                </w:rPr>
                <w:t xml:space="preserve"> [50]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None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Asensio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2003</w:t>
            </w:r>
            <w:hyperlink w:anchor="_ENREF_51" w:tooltip="Asensio, 2003 #76" w:history="1">
              <w:r w:rsidR="00F703E2">
                <w:rPr>
                  <w:lang w:eastAsia="en-CA"/>
                </w:rPr>
                <w:t xml:space="preserve"> [51]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CI, p-value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Bivariate that did not have more than 10% missing data, p&lt;0.20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Stepwise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Asensio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2001</w:t>
            </w:r>
            <w:hyperlink w:anchor="_ENREF_53" w:tooltip="Asensio, 2001 #57" w:history="1">
              <w:r w:rsidR="00F703E2">
                <w:rPr>
                  <w:lang w:eastAsia="en-CA"/>
                </w:rPr>
                <w:t xml:space="preserve"> [53]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CI, p-value for unadjusted estimates only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Bivariate, p&lt;0.20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Krishna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1998</w:t>
            </w:r>
            <w:hyperlink w:anchor="_ENREF_54" w:tooltip="Krishna, 1998 #197" w:history="1">
              <w:r w:rsidR="00F703E2">
                <w:rPr>
                  <w:lang w:eastAsia="en-CA"/>
                </w:rPr>
                <w:t xml:space="preserve"> [54]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13/3=4.3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Informal†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bCs/>
                <w:lang w:eastAsia="en-CA"/>
              </w:rPr>
              <w:t>Forward stepwise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proofErr w:type="spellStart"/>
            <w:r>
              <w:rPr>
                <w:lang w:eastAsia="en-CA"/>
              </w:rPr>
              <w:t>Cosgriff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1997</w:t>
            </w:r>
            <w:hyperlink w:anchor="_ENREF_57" w:tooltip="Cosgriff, 1997 #454" w:history="1">
              <w:r w:rsidR="00F703E2">
                <w:rPr>
                  <w:lang w:eastAsia="en-CA"/>
                </w:rPr>
                <w:t xml:space="preserve"> [57]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27/5=5.4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Coefficient, CI, p-value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Bivariate, p&lt;0.25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bCs/>
                <w:lang w:eastAsia="en-CA"/>
              </w:rPr>
            </w:pPr>
            <w:r>
              <w:rPr>
                <w:bCs/>
                <w:lang w:eastAsia="en-CA"/>
              </w:rPr>
              <w:t>NR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Garrison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1996</w:t>
            </w:r>
            <w:hyperlink w:anchor="_ENREF_58" w:tooltip="Garrison, 1996 #161" w:history="1">
              <w:r w:rsidR="00F703E2">
                <w:rPr>
                  <w:lang w:eastAsia="en-CA"/>
                </w:rPr>
                <w:t xml:space="preserve"> [58]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NA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Rutherford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1992</w:t>
            </w:r>
            <w:hyperlink w:anchor="_ENREF_61" w:tooltip="Rutherford, 1992 #376" w:history="1">
              <w:r w:rsidR="00F703E2">
                <w:rPr>
                  <w:lang w:eastAsia="en-CA"/>
                </w:rPr>
                <w:t xml:space="preserve"> [61]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458/6=76.3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BD*TBI, BD*penetrating MOI, BD*age ≥55 years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CI, p-value</w:t>
            </w:r>
          </w:p>
          <w:p w:rsidR="002F0A01" w:rsidRDefault="002F0A01" w:rsidP="00A9278B">
            <w:pPr>
              <w:rPr>
                <w:lang w:eastAsia="en-C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In alignment with those used in TRISS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Forward stepwise</w:t>
            </w:r>
          </w:p>
        </w:tc>
      </w:tr>
      <w:tr w:rsidR="002F0A01" w:rsidTr="00A927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F703E2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Burch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1992</w:t>
            </w:r>
            <w:hyperlink w:anchor="_ENREF_62" w:tooltip="Burch, 1992 #5" w:history="1">
              <w:r w:rsidR="00F703E2">
                <w:rPr>
                  <w:lang w:eastAsia="en-CA"/>
                </w:rPr>
                <w:t xml:space="preserve"> [62]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proofErr w:type="gramStart"/>
            <w:r>
              <w:rPr>
                <w:lang w:eastAsia="en-CA"/>
              </w:rPr>
              <w:t>p</w:t>
            </w:r>
            <w:proofErr w:type="gramEnd"/>
            <w:r>
              <w:rPr>
                <w:lang w:eastAsia="en-CA"/>
              </w:rPr>
              <w:t>-value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A01" w:rsidRDefault="002F0A0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</w:tr>
    </w:tbl>
    <w:p w:rsidR="002F0A01" w:rsidRDefault="002F0A01" w:rsidP="002F0A01">
      <w:pPr>
        <w:jc w:val="both"/>
        <w:rPr>
          <w:sz w:val="20"/>
          <w:szCs w:val="20"/>
        </w:rPr>
      </w:pPr>
      <w:r>
        <w:rPr>
          <w:sz w:val="20"/>
          <w:szCs w:val="20"/>
        </w:rPr>
        <w:t>Where BD indicates base deficit; CI, confidence interval; DC, damage control; MOI, mechanism of injury; NA, not applicable; NR, not reported; TBI, traumatic brain injury (defined as an Abbreviated Injury Scale score ≥3); and TRISS, Trauma and Injury Severity Score.</w:t>
      </w:r>
    </w:p>
    <w:p w:rsidR="002F0A01" w:rsidRDefault="002F0A01" w:rsidP="002F0A01">
      <w:pPr>
        <w:jc w:val="both"/>
        <w:rPr>
          <w:sz w:val="20"/>
          <w:szCs w:val="20"/>
        </w:rPr>
      </w:pPr>
      <w:r>
        <w:rPr>
          <w:sz w:val="20"/>
          <w:szCs w:val="20"/>
        </w:rPr>
        <w:t>*For continuous predictor variables.</w:t>
      </w:r>
    </w:p>
    <w:p w:rsidR="002F0A01" w:rsidRDefault="002F0A01" w:rsidP="002F0A01">
      <w:pPr>
        <w:jc w:val="both"/>
        <w:rPr>
          <w:sz w:val="20"/>
          <w:szCs w:val="20"/>
        </w:rPr>
      </w:pPr>
      <w:r>
        <w:rPr>
          <w:sz w:val="20"/>
        </w:rPr>
        <w:t>†Although the selection of variables for inclusion in the model was not data driven, the rationale for their inclusion was not described.</w:t>
      </w:r>
      <w:r>
        <w:rPr>
          <w:sz w:val="20"/>
          <w:szCs w:val="20"/>
        </w:rPr>
        <w:t xml:space="preserve"> </w:t>
      </w:r>
    </w:p>
    <w:p w:rsidR="003344C9" w:rsidRPr="002F0A01" w:rsidRDefault="003344C9" w:rsidP="002F0A01">
      <w:pPr>
        <w:rPr>
          <w:sz w:val="20"/>
          <w:szCs w:val="20"/>
        </w:rPr>
      </w:pPr>
    </w:p>
    <w:sectPr w:rsidR="003344C9" w:rsidRPr="002F0A01" w:rsidSect="00594701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Minngs">
    <w:altName w:val="Arial Unicode MS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701"/>
    <w:rsid w:val="002F0A01"/>
    <w:rsid w:val="003344C9"/>
    <w:rsid w:val="00585192"/>
    <w:rsid w:val="00594701"/>
    <w:rsid w:val="00F703E2"/>
    <w:rsid w:val="00FA3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701"/>
    <w:rPr>
      <w:rFonts w:eastAsia="MS Minngs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382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382"/>
    <w:rPr>
      <w:rFonts w:ascii="Lucida Grande" w:hAnsi="Lucida Grande" w:cs="Lucida Grande"/>
      <w:sz w:val="18"/>
      <w:szCs w:val="18"/>
      <w:lang w:eastAsia="en-US"/>
    </w:rPr>
  </w:style>
  <w:style w:type="table" w:styleId="TableGrid">
    <w:name w:val="Table Grid"/>
    <w:basedOn w:val="TableNormal"/>
    <w:uiPriority w:val="99"/>
    <w:rsid w:val="00594701"/>
    <w:rPr>
      <w:rFonts w:eastAsia="MS Minngs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701"/>
    <w:rPr>
      <w:rFonts w:eastAsia="MS Minngs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382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382"/>
    <w:rPr>
      <w:rFonts w:ascii="Lucida Grande" w:hAnsi="Lucida Grande" w:cs="Lucida Grande"/>
      <w:sz w:val="18"/>
      <w:szCs w:val="18"/>
      <w:lang w:eastAsia="en-US"/>
    </w:rPr>
  </w:style>
  <w:style w:type="table" w:styleId="TableGrid">
    <w:name w:val="Table Grid"/>
    <w:basedOn w:val="TableNormal"/>
    <w:uiPriority w:val="99"/>
    <w:rsid w:val="00594701"/>
    <w:rPr>
      <w:rFonts w:eastAsia="MS Minngs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532</Words>
  <Characters>3037</Characters>
  <Application>Microsoft Macintosh Word</Application>
  <DocSecurity>0</DocSecurity>
  <Lines>25</Lines>
  <Paragraphs>7</Paragraphs>
  <ScaleCrop>false</ScaleCrop>
  <Company/>
  <LinksUpToDate>false</LinksUpToDate>
  <CharactersWithSpaces>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Roberts</dc:creator>
  <cp:keywords/>
  <dc:description/>
  <cp:lastModifiedBy>Derek Roberts</cp:lastModifiedBy>
  <cp:revision>2</cp:revision>
  <cp:lastPrinted>2017-12-02T02:04:00Z</cp:lastPrinted>
  <dcterms:created xsi:type="dcterms:W3CDTF">2019-04-13T20:57:00Z</dcterms:created>
  <dcterms:modified xsi:type="dcterms:W3CDTF">2019-04-13T20:57:00Z</dcterms:modified>
</cp:coreProperties>
</file>