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9D98A" w14:textId="555D76A3" w:rsidR="00CE581A" w:rsidRPr="00481298" w:rsidRDefault="00BC1D33" w:rsidP="00C32047">
      <w:pPr>
        <w:pStyle w:val="Title"/>
        <w:spacing w:line="360" w:lineRule="auto"/>
        <w:jc w:val="center"/>
        <w:rPr>
          <w:sz w:val="44"/>
          <w:szCs w:val="44"/>
        </w:rPr>
      </w:pPr>
      <w:r w:rsidRPr="00481298">
        <w:rPr>
          <w:sz w:val="44"/>
          <w:szCs w:val="44"/>
        </w:rPr>
        <w:t xml:space="preserve">Supplementary Information </w:t>
      </w:r>
      <w:r w:rsidR="0091524F" w:rsidRPr="00481298">
        <w:rPr>
          <w:sz w:val="44"/>
          <w:szCs w:val="44"/>
        </w:rPr>
        <w:t>for</w:t>
      </w:r>
    </w:p>
    <w:p w14:paraId="22A93D19" w14:textId="77777777" w:rsidR="00481298" w:rsidDel="00B85A14" w:rsidRDefault="00481298" w:rsidP="00481298">
      <w:pPr>
        <w:pStyle w:val="Title"/>
        <w:jc w:val="center"/>
        <w:rPr>
          <w:rFonts w:eastAsiaTheme="minorEastAsia"/>
        </w:rPr>
      </w:pPr>
      <w:r w:rsidRPr="2B6013B1">
        <w:t>Who pollutes and who suffers from air pollution in India</w:t>
      </w:r>
    </w:p>
    <w:p w14:paraId="62BC2F07" w14:textId="77777777" w:rsidR="0091524F" w:rsidRDefault="0091524F" w:rsidP="00C32047">
      <w:pPr>
        <w:spacing w:line="360" w:lineRule="auto"/>
      </w:pPr>
    </w:p>
    <w:p w14:paraId="7C42A1E2" w14:textId="77777777" w:rsidR="009E273F" w:rsidRDefault="009E273F" w:rsidP="009E273F">
      <w:pPr>
        <w:spacing w:line="360" w:lineRule="auto"/>
        <w:jc w:val="center"/>
      </w:pPr>
      <w:r>
        <w:t>Narasimha D. Rao</w:t>
      </w:r>
      <w:r w:rsidRPr="00511043">
        <w:rPr>
          <w:vertAlign w:val="superscript"/>
        </w:rPr>
        <w:t>1,2</w:t>
      </w:r>
      <w:r>
        <w:t>, Jihoon Min</w:t>
      </w:r>
      <w:r w:rsidRPr="00B30839">
        <w:rPr>
          <w:vertAlign w:val="superscript"/>
        </w:rPr>
        <w:t>1</w:t>
      </w:r>
      <w:r>
        <w:t>, Gregor Kiesewetter</w:t>
      </w:r>
      <w:r w:rsidRPr="00B30839">
        <w:rPr>
          <w:vertAlign w:val="superscript"/>
        </w:rPr>
        <w:t>1</w:t>
      </w:r>
      <w:r>
        <w:t>, Shonali Pachauri</w:t>
      </w:r>
      <w:r w:rsidRPr="00B30839">
        <w:rPr>
          <w:vertAlign w:val="superscript"/>
        </w:rPr>
        <w:t>1</w:t>
      </w:r>
      <w:r>
        <w:t>, Fabian Wagner</w:t>
      </w:r>
      <w:r w:rsidRPr="00511043">
        <w:rPr>
          <w:vertAlign w:val="superscript"/>
        </w:rPr>
        <w:t>1,</w:t>
      </w:r>
      <w:r w:rsidRPr="006F0B31">
        <w:rPr>
          <w:rStyle w:val="FootnoteReference"/>
        </w:rPr>
        <w:footnoteReference w:id="2"/>
      </w:r>
      <w:r>
        <w:t xml:space="preserve"> </w:t>
      </w:r>
    </w:p>
    <w:p w14:paraId="23494CEB" w14:textId="77777777" w:rsidR="009E273F" w:rsidRDefault="009E273F" w:rsidP="009E273F">
      <w:pPr>
        <w:spacing w:line="360" w:lineRule="auto"/>
        <w:jc w:val="center"/>
      </w:pPr>
      <w:r w:rsidRPr="00B30839">
        <w:rPr>
          <w:vertAlign w:val="superscript"/>
        </w:rPr>
        <w:t>1</w:t>
      </w:r>
      <w:r>
        <w:t>International Institute for Applied Systems Analysis (IIASA), Schlossplatz 1, A-2361 Laxenburg, Austria</w:t>
      </w:r>
    </w:p>
    <w:p w14:paraId="4E18A9EA" w14:textId="77777777" w:rsidR="009E273F" w:rsidRPr="00335F71" w:rsidRDefault="009E273F" w:rsidP="009E273F">
      <w:pPr>
        <w:spacing w:line="360" w:lineRule="auto"/>
        <w:jc w:val="center"/>
        <w:rPr>
          <w:rFonts w:cstheme="minorHAnsi"/>
        </w:rPr>
      </w:pPr>
      <w:r w:rsidRPr="00B30839">
        <w:rPr>
          <w:rFonts w:cstheme="minorHAnsi"/>
          <w:vertAlign w:val="superscript"/>
        </w:rPr>
        <w:t>2</w:t>
      </w:r>
      <w:r w:rsidRPr="00335F71">
        <w:rPr>
          <w:rFonts w:cstheme="minorHAnsi"/>
        </w:rPr>
        <w:t>Yale School of the Environment</w:t>
      </w:r>
      <w:r>
        <w:rPr>
          <w:rFonts w:cstheme="minorHAnsi"/>
        </w:rPr>
        <w:t>, Yale University, New Haven, CT 08511, USA</w:t>
      </w:r>
    </w:p>
    <w:p w14:paraId="1B258861" w14:textId="432B2824" w:rsidR="00BF73E8" w:rsidRPr="00BF73E8" w:rsidRDefault="009E273F" w:rsidP="00C32047">
      <w:pPr>
        <w:spacing w:line="360" w:lineRule="auto"/>
        <w:jc w:val="center"/>
      </w:pPr>
      <w:r>
        <w:t>November</w:t>
      </w:r>
      <w:r w:rsidR="00BF73E8">
        <w:t xml:space="preserve"> 2020</w:t>
      </w:r>
    </w:p>
    <w:p w14:paraId="607EE125" w14:textId="05BA0B07" w:rsidR="00845C08" w:rsidRDefault="00845C08" w:rsidP="00C32047">
      <w:pPr>
        <w:spacing w:line="360" w:lineRule="auto"/>
      </w:pPr>
    </w:p>
    <w:p w14:paraId="4D45B14E" w14:textId="18CB5CCF" w:rsidR="0091524F" w:rsidRDefault="0091524F" w:rsidP="00C32047">
      <w:pPr>
        <w:spacing w:line="360" w:lineRule="auto"/>
      </w:pPr>
    </w:p>
    <w:sdt>
      <w:sdtPr>
        <w:rPr>
          <w:rFonts w:asciiTheme="minorHAnsi" w:eastAsiaTheme="minorHAnsi" w:hAnsiTheme="minorHAnsi" w:cstheme="minorBidi"/>
          <w:color w:val="auto"/>
          <w:sz w:val="22"/>
          <w:szCs w:val="22"/>
        </w:rPr>
        <w:id w:val="-730152875"/>
        <w:docPartObj>
          <w:docPartGallery w:val="Table of Contents"/>
          <w:docPartUnique/>
        </w:docPartObj>
      </w:sdtPr>
      <w:sdtEndPr>
        <w:rPr>
          <w:b/>
          <w:bCs/>
          <w:noProof/>
        </w:rPr>
      </w:sdtEndPr>
      <w:sdtContent>
        <w:p w14:paraId="726E45B9" w14:textId="39FAEC08" w:rsidR="00F016C0" w:rsidRDefault="00F016C0" w:rsidP="00C32047">
          <w:pPr>
            <w:pStyle w:val="TOCHeading"/>
            <w:spacing w:line="360" w:lineRule="auto"/>
          </w:pPr>
          <w:r>
            <w:t>Contents</w:t>
          </w:r>
        </w:p>
        <w:p w14:paraId="58A02121" w14:textId="2B2F14D4" w:rsidR="00CA5201" w:rsidRDefault="00F016C0">
          <w:pPr>
            <w:pStyle w:val="TOC1"/>
            <w:tabs>
              <w:tab w:val="left" w:pos="440"/>
              <w:tab w:val="right" w:leader="dot" w:pos="9019"/>
            </w:tabs>
            <w:rPr>
              <w:rFonts w:eastAsiaTheme="minorEastAsia"/>
              <w:noProof/>
            </w:rPr>
          </w:pPr>
          <w:r>
            <w:fldChar w:fldCharType="begin"/>
          </w:r>
          <w:r>
            <w:instrText xml:space="preserve"> TOC \o "1-3" \h \z \u </w:instrText>
          </w:r>
          <w:r>
            <w:fldChar w:fldCharType="separate"/>
          </w:r>
          <w:hyperlink w:anchor="_Toc55241282" w:history="1">
            <w:r w:rsidR="00CA5201" w:rsidRPr="00AF3C9C">
              <w:rPr>
                <w:rStyle w:val="Hyperlink"/>
                <w:noProof/>
              </w:rPr>
              <w:t>1</w:t>
            </w:r>
            <w:r w:rsidR="00CA5201">
              <w:rPr>
                <w:rFonts w:eastAsiaTheme="minorEastAsia"/>
                <w:noProof/>
              </w:rPr>
              <w:tab/>
            </w:r>
            <w:r w:rsidR="00CA5201" w:rsidRPr="00AF3C9C">
              <w:rPr>
                <w:rStyle w:val="Hyperlink"/>
                <w:noProof/>
              </w:rPr>
              <w:t>Methods</w:t>
            </w:r>
            <w:r w:rsidR="00CA5201">
              <w:rPr>
                <w:noProof/>
                <w:webHidden/>
              </w:rPr>
              <w:tab/>
            </w:r>
            <w:r w:rsidR="00CA5201">
              <w:rPr>
                <w:noProof/>
                <w:webHidden/>
              </w:rPr>
              <w:fldChar w:fldCharType="begin"/>
            </w:r>
            <w:r w:rsidR="00CA5201">
              <w:rPr>
                <w:noProof/>
                <w:webHidden/>
              </w:rPr>
              <w:instrText xml:space="preserve"> PAGEREF _Toc55241282 \h </w:instrText>
            </w:r>
            <w:r w:rsidR="00CA5201">
              <w:rPr>
                <w:noProof/>
                <w:webHidden/>
              </w:rPr>
            </w:r>
            <w:r w:rsidR="00CA5201">
              <w:rPr>
                <w:noProof/>
                <w:webHidden/>
              </w:rPr>
              <w:fldChar w:fldCharType="separate"/>
            </w:r>
            <w:r w:rsidR="00CA5201">
              <w:rPr>
                <w:noProof/>
                <w:webHidden/>
              </w:rPr>
              <w:t>1</w:t>
            </w:r>
            <w:r w:rsidR="00CA5201">
              <w:rPr>
                <w:noProof/>
                <w:webHidden/>
              </w:rPr>
              <w:fldChar w:fldCharType="end"/>
            </w:r>
          </w:hyperlink>
        </w:p>
        <w:p w14:paraId="1223CA07" w14:textId="7EE7AFF4" w:rsidR="00CA5201" w:rsidRDefault="00A61553">
          <w:pPr>
            <w:pStyle w:val="TOC2"/>
            <w:tabs>
              <w:tab w:val="left" w:pos="880"/>
              <w:tab w:val="right" w:leader="dot" w:pos="9019"/>
            </w:tabs>
            <w:rPr>
              <w:rFonts w:eastAsiaTheme="minorEastAsia"/>
              <w:noProof/>
            </w:rPr>
          </w:pPr>
          <w:hyperlink w:anchor="_Toc55241283" w:history="1">
            <w:r w:rsidR="00CA5201" w:rsidRPr="00AF3C9C">
              <w:rPr>
                <w:rStyle w:val="Hyperlink"/>
                <w:noProof/>
              </w:rPr>
              <w:t>1.1</w:t>
            </w:r>
            <w:r w:rsidR="00CA5201">
              <w:rPr>
                <w:rFonts w:eastAsiaTheme="minorEastAsia"/>
                <w:noProof/>
              </w:rPr>
              <w:tab/>
            </w:r>
            <w:r w:rsidR="00CA5201" w:rsidRPr="00AF3C9C">
              <w:rPr>
                <w:rStyle w:val="Hyperlink"/>
                <w:noProof/>
              </w:rPr>
              <w:t>Relating emissions to concentrations</w:t>
            </w:r>
            <w:r w:rsidR="00CA5201">
              <w:rPr>
                <w:noProof/>
                <w:webHidden/>
              </w:rPr>
              <w:tab/>
            </w:r>
            <w:r w:rsidR="00CA5201">
              <w:rPr>
                <w:noProof/>
                <w:webHidden/>
              </w:rPr>
              <w:fldChar w:fldCharType="begin"/>
            </w:r>
            <w:r w:rsidR="00CA5201">
              <w:rPr>
                <w:noProof/>
                <w:webHidden/>
              </w:rPr>
              <w:instrText xml:space="preserve"> PAGEREF _Toc55241283 \h </w:instrText>
            </w:r>
            <w:r w:rsidR="00CA5201">
              <w:rPr>
                <w:noProof/>
                <w:webHidden/>
              </w:rPr>
            </w:r>
            <w:r w:rsidR="00CA5201">
              <w:rPr>
                <w:noProof/>
                <w:webHidden/>
              </w:rPr>
              <w:fldChar w:fldCharType="separate"/>
            </w:r>
            <w:r w:rsidR="00CA5201">
              <w:rPr>
                <w:noProof/>
                <w:webHidden/>
              </w:rPr>
              <w:t>2</w:t>
            </w:r>
            <w:r w:rsidR="00CA5201">
              <w:rPr>
                <w:noProof/>
                <w:webHidden/>
              </w:rPr>
              <w:fldChar w:fldCharType="end"/>
            </w:r>
          </w:hyperlink>
        </w:p>
        <w:p w14:paraId="020A3C9F" w14:textId="78CDB851" w:rsidR="00CA5201" w:rsidRDefault="00A61553">
          <w:pPr>
            <w:pStyle w:val="TOC2"/>
            <w:tabs>
              <w:tab w:val="left" w:pos="880"/>
              <w:tab w:val="right" w:leader="dot" w:pos="9019"/>
            </w:tabs>
            <w:rPr>
              <w:rFonts w:eastAsiaTheme="minorEastAsia"/>
              <w:noProof/>
            </w:rPr>
          </w:pPr>
          <w:hyperlink w:anchor="_Toc55241284" w:history="1">
            <w:r w:rsidR="00CA5201" w:rsidRPr="00AF3C9C">
              <w:rPr>
                <w:rStyle w:val="Hyperlink"/>
                <w:noProof/>
              </w:rPr>
              <w:t>1.2</w:t>
            </w:r>
            <w:r w:rsidR="00CA5201">
              <w:rPr>
                <w:rFonts w:eastAsiaTheme="minorEastAsia"/>
                <w:noProof/>
              </w:rPr>
              <w:tab/>
            </w:r>
            <w:r w:rsidR="00CA5201" w:rsidRPr="00AF3C9C">
              <w:rPr>
                <w:rStyle w:val="Hyperlink"/>
                <w:noProof/>
              </w:rPr>
              <w:t>From concentrations to mortality</w:t>
            </w:r>
            <w:r w:rsidR="00CA5201">
              <w:rPr>
                <w:noProof/>
                <w:webHidden/>
              </w:rPr>
              <w:tab/>
            </w:r>
            <w:r w:rsidR="00CA5201">
              <w:rPr>
                <w:noProof/>
                <w:webHidden/>
              </w:rPr>
              <w:fldChar w:fldCharType="begin"/>
            </w:r>
            <w:r w:rsidR="00CA5201">
              <w:rPr>
                <w:noProof/>
                <w:webHidden/>
              </w:rPr>
              <w:instrText xml:space="preserve"> PAGEREF _Toc55241284 \h </w:instrText>
            </w:r>
            <w:r w:rsidR="00CA5201">
              <w:rPr>
                <w:noProof/>
                <w:webHidden/>
              </w:rPr>
            </w:r>
            <w:r w:rsidR="00CA5201">
              <w:rPr>
                <w:noProof/>
                <w:webHidden/>
              </w:rPr>
              <w:fldChar w:fldCharType="separate"/>
            </w:r>
            <w:r w:rsidR="00CA5201">
              <w:rPr>
                <w:noProof/>
                <w:webHidden/>
              </w:rPr>
              <w:t>4</w:t>
            </w:r>
            <w:r w:rsidR="00CA5201">
              <w:rPr>
                <w:noProof/>
                <w:webHidden/>
              </w:rPr>
              <w:fldChar w:fldCharType="end"/>
            </w:r>
          </w:hyperlink>
        </w:p>
        <w:p w14:paraId="5DC45D93" w14:textId="0A59F4D4" w:rsidR="00CA5201" w:rsidRDefault="00A61553">
          <w:pPr>
            <w:pStyle w:val="TOC1"/>
            <w:tabs>
              <w:tab w:val="left" w:pos="440"/>
              <w:tab w:val="right" w:leader="dot" w:pos="9019"/>
            </w:tabs>
            <w:rPr>
              <w:rFonts w:eastAsiaTheme="minorEastAsia"/>
              <w:noProof/>
            </w:rPr>
          </w:pPr>
          <w:hyperlink w:anchor="_Toc55241285" w:history="1">
            <w:r w:rsidR="00CA5201" w:rsidRPr="00AF3C9C">
              <w:rPr>
                <w:rStyle w:val="Hyperlink"/>
                <w:noProof/>
              </w:rPr>
              <w:t>2</w:t>
            </w:r>
            <w:r w:rsidR="00CA5201">
              <w:rPr>
                <w:rFonts w:eastAsiaTheme="minorEastAsia"/>
                <w:noProof/>
              </w:rPr>
              <w:tab/>
            </w:r>
            <w:r w:rsidR="00CA5201" w:rsidRPr="00AF3C9C">
              <w:rPr>
                <w:rStyle w:val="Hyperlink"/>
                <w:noProof/>
              </w:rPr>
              <w:t>Data</w:t>
            </w:r>
            <w:r w:rsidR="00CA5201">
              <w:rPr>
                <w:noProof/>
                <w:webHidden/>
              </w:rPr>
              <w:tab/>
            </w:r>
            <w:r w:rsidR="00CA5201">
              <w:rPr>
                <w:noProof/>
                <w:webHidden/>
              </w:rPr>
              <w:fldChar w:fldCharType="begin"/>
            </w:r>
            <w:r w:rsidR="00CA5201">
              <w:rPr>
                <w:noProof/>
                <w:webHidden/>
              </w:rPr>
              <w:instrText xml:space="preserve"> PAGEREF _Toc55241285 \h </w:instrText>
            </w:r>
            <w:r w:rsidR="00CA5201">
              <w:rPr>
                <w:noProof/>
                <w:webHidden/>
              </w:rPr>
            </w:r>
            <w:r w:rsidR="00CA5201">
              <w:rPr>
                <w:noProof/>
                <w:webHidden/>
              </w:rPr>
              <w:fldChar w:fldCharType="separate"/>
            </w:r>
            <w:r w:rsidR="00CA5201">
              <w:rPr>
                <w:noProof/>
                <w:webHidden/>
              </w:rPr>
              <w:t>5</w:t>
            </w:r>
            <w:r w:rsidR="00CA5201">
              <w:rPr>
                <w:noProof/>
                <w:webHidden/>
              </w:rPr>
              <w:fldChar w:fldCharType="end"/>
            </w:r>
          </w:hyperlink>
        </w:p>
        <w:p w14:paraId="5146CAFD" w14:textId="3EB02EA2" w:rsidR="00CA5201" w:rsidRDefault="00A61553">
          <w:pPr>
            <w:pStyle w:val="TOC2"/>
            <w:tabs>
              <w:tab w:val="left" w:pos="880"/>
              <w:tab w:val="right" w:leader="dot" w:pos="9019"/>
            </w:tabs>
            <w:rPr>
              <w:rFonts w:eastAsiaTheme="minorEastAsia"/>
              <w:noProof/>
            </w:rPr>
          </w:pPr>
          <w:hyperlink w:anchor="_Toc55241286" w:history="1">
            <w:r w:rsidR="00CA5201" w:rsidRPr="00AF3C9C">
              <w:rPr>
                <w:rStyle w:val="Hyperlink"/>
                <w:noProof/>
              </w:rPr>
              <w:t>2.1</w:t>
            </w:r>
            <w:r w:rsidR="00CA5201">
              <w:rPr>
                <w:rFonts w:eastAsiaTheme="minorEastAsia"/>
                <w:noProof/>
              </w:rPr>
              <w:tab/>
            </w:r>
            <w:r w:rsidR="00CA5201" w:rsidRPr="00AF3C9C">
              <w:rPr>
                <w:rStyle w:val="Hyperlink"/>
                <w:noProof/>
              </w:rPr>
              <w:t>Population shares in deciles</w:t>
            </w:r>
            <w:r w:rsidR="00CA5201">
              <w:rPr>
                <w:noProof/>
                <w:webHidden/>
              </w:rPr>
              <w:tab/>
            </w:r>
            <w:r w:rsidR="00CA5201">
              <w:rPr>
                <w:noProof/>
                <w:webHidden/>
              </w:rPr>
              <w:fldChar w:fldCharType="begin"/>
            </w:r>
            <w:r w:rsidR="00CA5201">
              <w:rPr>
                <w:noProof/>
                <w:webHidden/>
              </w:rPr>
              <w:instrText xml:space="preserve"> PAGEREF _Toc55241286 \h </w:instrText>
            </w:r>
            <w:r w:rsidR="00CA5201">
              <w:rPr>
                <w:noProof/>
                <w:webHidden/>
              </w:rPr>
            </w:r>
            <w:r w:rsidR="00CA5201">
              <w:rPr>
                <w:noProof/>
                <w:webHidden/>
              </w:rPr>
              <w:fldChar w:fldCharType="separate"/>
            </w:r>
            <w:r w:rsidR="00CA5201">
              <w:rPr>
                <w:noProof/>
                <w:webHidden/>
              </w:rPr>
              <w:t>5</w:t>
            </w:r>
            <w:r w:rsidR="00CA5201">
              <w:rPr>
                <w:noProof/>
                <w:webHidden/>
              </w:rPr>
              <w:fldChar w:fldCharType="end"/>
            </w:r>
          </w:hyperlink>
        </w:p>
        <w:p w14:paraId="23E61CAF" w14:textId="0540564D" w:rsidR="00CA5201" w:rsidRDefault="00A61553">
          <w:pPr>
            <w:pStyle w:val="TOC2"/>
            <w:tabs>
              <w:tab w:val="left" w:pos="880"/>
              <w:tab w:val="right" w:leader="dot" w:pos="9019"/>
            </w:tabs>
            <w:rPr>
              <w:rFonts w:eastAsiaTheme="minorEastAsia"/>
              <w:noProof/>
            </w:rPr>
          </w:pPr>
          <w:hyperlink w:anchor="_Toc55241287" w:history="1">
            <w:r w:rsidR="00CA5201" w:rsidRPr="00AF3C9C">
              <w:rPr>
                <w:rStyle w:val="Hyperlink"/>
                <w:noProof/>
              </w:rPr>
              <w:t>2.2</w:t>
            </w:r>
            <w:r w:rsidR="00CA5201">
              <w:rPr>
                <w:rFonts w:eastAsiaTheme="minorEastAsia"/>
                <w:noProof/>
              </w:rPr>
              <w:tab/>
            </w:r>
            <w:r w:rsidR="00CA5201" w:rsidRPr="00AF3C9C">
              <w:rPr>
                <w:rStyle w:val="Hyperlink"/>
                <w:noProof/>
              </w:rPr>
              <w:t>The three scenarios</w:t>
            </w:r>
            <w:r w:rsidR="00CA5201">
              <w:rPr>
                <w:noProof/>
                <w:webHidden/>
              </w:rPr>
              <w:tab/>
            </w:r>
            <w:r w:rsidR="00CA5201">
              <w:rPr>
                <w:noProof/>
                <w:webHidden/>
              </w:rPr>
              <w:fldChar w:fldCharType="begin"/>
            </w:r>
            <w:r w:rsidR="00CA5201">
              <w:rPr>
                <w:noProof/>
                <w:webHidden/>
              </w:rPr>
              <w:instrText xml:space="preserve"> PAGEREF _Toc55241287 \h </w:instrText>
            </w:r>
            <w:r w:rsidR="00CA5201">
              <w:rPr>
                <w:noProof/>
                <w:webHidden/>
              </w:rPr>
            </w:r>
            <w:r w:rsidR="00CA5201">
              <w:rPr>
                <w:noProof/>
                <w:webHidden/>
              </w:rPr>
              <w:fldChar w:fldCharType="separate"/>
            </w:r>
            <w:r w:rsidR="00CA5201">
              <w:rPr>
                <w:noProof/>
                <w:webHidden/>
              </w:rPr>
              <w:t>5</w:t>
            </w:r>
            <w:r w:rsidR="00CA5201">
              <w:rPr>
                <w:noProof/>
                <w:webHidden/>
              </w:rPr>
              <w:fldChar w:fldCharType="end"/>
            </w:r>
          </w:hyperlink>
        </w:p>
        <w:p w14:paraId="4DE73812" w14:textId="5433797E" w:rsidR="00CA5201" w:rsidRDefault="00A61553">
          <w:pPr>
            <w:pStyle w:val="TOC2"/>
            <w:tabs>
              <w:tab w:val="left" w:pos="880"/>
              <w:tab w:val="right" w:leader="dot" w:pos="9019"/>
            </w:tabs>
            <w:rPr>
              <w:rFonts w:eastAsiaTheme="minorEastAsia"/>
              <w:noProof/>
            </w:rPr>
          </w:pPr>
          <w:hyperlink w:anchor="_Toc55241288" w:history="1">
            <w:r w:rsidR="00CA5201" w:rsidRPr="00AF3C9C">
              <w:rPr>
                <w:rStyle w:val="Hyperlink"/>
                <w:noProof/>
              </w:rPr>
              <w:t>2.3</w:t>
            </w:r>
            <w:r w:rsidR="00CA5201">
              <w:rPr>
                <w:rFonts w:eastAsiaTheme="minorEastAsia"/>
                <w:noProof/>
              </w:rPr>
              <w:tab/>
            </w:r>
            <w:r w:rsidR="00CA5201" w:rsidRPr="00AF3C9C">
              <w:rPr>
                <w:rStyle w:val="Hyperlink"/>
                <w:noProof/>
              </w:rPr>
              <w:t>Open data / open code</w:t>
            </w:r>
            <w:r w:rsidR="00CA5201">
              <w:rPr>
                <w:noProof/>
                <w:webHidden/>
              </w:rPr>
              <w:tab/>
            </w:r>
            <w:r w:rsidR="00CA5201">
              <w:rPr>
                <w:noProof/>
                <w:webHidden/>
              </w:rPr>
              <w:fldChar w:fldCharType="begin"/>
            </w:r>
            <w:r w:rsidR="00CA5201">
              <w:rPr>
                <w:noProof/>
                <w:webHidden/>
              </w:rPr>
              <w:instrText xml:space="preserve"> PAGEREF _Toc55241288 \h </w:instrText>
            </w:r>
            <w:r w:rsidR="00CA5201">
              <w:rPr>
                <w:noProof/>
                <w:webHidden/>
              </w:rPr>
            </w:r>
            <w:r w:rsidR="00CA5201">
              <w:rPr>
                <w:noProof/>
                <w:webHidden/>
              </w:rPr>
              <w:fldChar w:fldCharType="separate"/>
            </w:r>
            <w:r w:rsidR="00CA5201">
              <w:rPr>
                <w:noProof/>
                <w:webHidden/>
              </w:rPr>
              <w:t>7</w:t>
            </w:r>
            <w:r w:rsidR="00CA5201">
              <w:rPr>
                <w:noProof/>
                <w:webHidden/>
              </w:rPr>
              <w:fldChar w:fldCharType="end"/>
            </w:r>
          </w:hyperlink>
        </w:p>
        <w:p w14:paraId="3A5EE3DB" w14:textId="16D2F068" w:rsidR="00CA5201" w:rsidRDefault="00A61553">
          <w:pPr>
            <w:pStyle w:val="TOC1"/>
            <w:tabs>
              <w:tab w:val="left" w:pos="440"/>
              <w:tab w:val="right" w:leader="dot" w:pos="9019"/>
            </w:tabs>
            <w:rPr>
              <w:rFonts w:eastAsiaTheme="minorEastAsia"/>
              <w:noProof/>
            </w:rPr>
          </w:pPr>
          <w:hyperlink w:anchor="_Toc55241289" w:history="1">
            <w:r w:rsidR="00CA5201" w:rsidRPr="00AF3C9C">
              <w:rPr>
                <w:rStyle w:val="Hyperlink"/>
                <w:noProof/>
              </w:rPr>
              <w:t>3</w:t>
            </w:r>
            <w:r w:rsidR="00CA5201">
              <w:rPr>
                <w:rFonts w:eastAsiaTheme="minorEastAsia"/>
                <w:noProof/>
              </w:rPr>
              <w:tab/>
            </w:r>
            <w:r w:rsidR="00CA5201" w:rsidRPr="00AF3C9C">
              <w:rPr>
                <w:rStyle w:val="Hyperlink"/>
                <w:noProof/>
              </w:rPr>
              <w:t>Results</w:t>
            </w:r>
            <w:r w:rsidR="00CA5201">
              <w:rPr>
                <w:noProof/>
                <w:webHidden/>
              </w:rPr>
              <w:tab/>
            </w:r>
            <w:r w:rsidR="00CA5201">
              <w:rPr>
                <w:noProof/>
                <w:webHidden/>
              </w:rPr>
              <w:fldChar w:fldCharType="begin"/>
            </w:r>
            <w:r w:rsidR="00CA5201">
              <w:rPr>
                <w:noProof/>
                <w:webHidden/>
              </w:rPr>
              <w:instrText xml:space="preserve"> PAGEREF _Toc55241289 \h </w:instrText>
            </w:r>
            <w:r w:rsidR="00CA5201">
              <w:rPr>
                <w:noProof/>
                <w:webHidden/>
              </w:rPr>
            </w:r>
            <w:r w:rsidR="00CA5201">
              <w:rPr>
                <w:noProof/>
                <w:webHidden/>
              </w:rPr>
              <w:fldChar w:fldCharType="separate"/>
            </w:r>
            <w:r w:rsidR="00CA5201">
              <w:rPr>
                <w:noProof/>
                <w:webHidden/>
              </w:rPr>
              <w:t>7</w:t>
            </w:r>
            <w:r w:rsidR="00CA5201">
              <w:rPr>
                <w:noProof/>
                <w:webHidden/>
              </w:rPr>
              <w:fldChar w:fldCharType="end"/>
            </w:r>
          </w:hyperlink>
        </w:p>
        <w:p w14:paraId="65580FD0" w14:textId="15C7289C" w:rsidR="00CA5201" w:rsidRDefault="00A61553">
          <w:pPr>
            <w:pStyle w:val="TOC2"/>
            <w:tabs>
              <w:tab w:val="left" w:pos="880"/>
              <w:tab w:val="right" w:leader="dot" w:pos="9019"/>
            </w:tabs>
            <w:rPr>
              <w:rFonts w:eastAsiaTheme="minorEastAsia"/>
              <w:noProof/>
            </w:rPr>
          </w:pPr>
          <w:hyperlink w:anchor="_Toc55241290" w:history="1">
            <w:r w:rsidR="00CA5201" w:rsidRPr="00AF3C9C">
              <w:rPr>
                <w:rStyle w:val="Hyperlink"/>
                <w:noProof/>
              </w:rPr>
              <w:t>3.1</w:t>
            </w:r>
            <w:r w:rsidR="00CA5201">
              <w:rPr>
                <w:rFonts w:eastAsiaTheme="minorEastAsia"/>
                <w:noProof/>
              </w:rPr>
              <w:tab/>
            </w:r>
            <w:r w:rsidR="00CA5201" w:rsidRPr="00AF3C9C">
              <w:rPr>
                <w:rStyle w:val="Hyperlink"/>
                <w:noProof/>
              </w:rPr>
              <w:t>Sensitivity case: mortality related to ambient air pollution only</w:t>
            </w:r>
            <w:r w:rsidR="00CA5201">
              <w:rPr>
                <w:noProof/>
                <w:webHidden/>
              </w:rPr>
              <w:tab/>
            </w:r>
            <w:r w:rsidR="00CA5201">
              <w:rPr>
                <w:noProof/>
                <w:webHidden/>
              </w:rPr>
              <w:fldChar w:fldCharType="begin"/>
            </w:r>
            <w:r w:rsidR="00CA5201">
              <w:rPr>
                <w:noProof/>
                <w:webHidden/>
              </w:rPr>
              <w:instrText xml:space="preserve"> PAGEREF _Toc55241290 \h </w:instrText>
            </w:r>
            <w:r w:rsidR="00CA5201">
              <w:rPr>
                <w:noProof/>
                <w:webHidden/>
              </w:rPr>
            </w:r>
            <w:r w:rsidR="00CA5201">
              <w:rPr>
                <w:noProof/>
                <w:webHidden/>
              </w:rPr>
              <w:fldChar w:fldCharType="separate"/>
            </w:r>
            <w:r w:rsidR="00CA5201">
              <w:rPr>
                <w:noProof/>
                <w:webHidden/>
              </w:rPr>
              <w:t>7</w:t>
            </w:r>
            <w:r w:rsidR="00CA5201">
              <w:rPr>
                <w:noProof/>
                <w:webHidden/>
              </w:rPr>
              <w:fldChar w:fldCharType="end"/>
            </w:r>
          </w:hyperlink>
        </w:p>
        <w:p w14:paraId="7E6394CC" w14:textId="5BF411BB" w:rsidR="00CA5201" w:rsidRDefault="00A61553">
          <w:pPr>
            <w:pStyle w:val="TOC2"/>
            <w:tabs>
              <w:tab w:val="left" w:pos="880"/>
              <w:tab w:val="right" w:leader="dot" w:pos="9019"/>
            </w:tabs>
            <w:rPr>
              <w:rFonts w:eastAsiaTheme="minorEastAsia"/>
              <w:noProof/>
            </w:rPr>
          </w:pPr>
          <w:hyperlink w:anchor="_Toc55241291" w:history="1">
            <w:r w:rsidR="00CA5201" w:rsidRPr="00AF3C9C">
              <w:rPr>
                <w:rStyle w:val="Hyperlink"/>
                <w:noProof/>
              </w:rPr>
              <w:t>3.2</w:t>
            </w:r>
            <w:r w:rsidR="00CA5201">
              <w:rPr>
                <w:rFonts w:eastAsiaTheme="minorEastAsia"/>
                <w:noProof/>
              </w:rPr>
              <w:tab/>
            </w:r>
            <w:r w:rsidR="00CA5201" w:rsidRPr="00AF3C9C">
              <w:rPr>
                <w:rStyle w:val="Hyperlink"/>
                <w:noProof/>
              </w:rPr>
              <w:t>The PEI for ambient PM</w:t>
            </w:r>
            <w:r w:rsidR="00192BEA" w:rsidRPr="00192BEA">
              <w:rPr>
                <w:rStyle w:val="Hyperlink"/>
                <w:noProof/>
                <w:vertAlign w:val="subscript"/>
              </w:rPr>
              <w:t>2.5</w:t>
            </w:r>
            <w:r w:rsidR="00CA5201" w:rsidRPr="00AF3C9C">
              <w:rPr>
                <w:rStyle w:val="Hyperlink"/>
                <w:noProof/>
              </w:rPr>
              <w:t xml:space="preserve"> pollution only</w:t>
            </w:r>
            <w:r w:rsidR="00CA5201">
              <w:rPr>
                <w:noProof/>
                <w:webHidden/>
              </w:rPr>
              <w:tab/>
            </w:r>
            <w:r w:rsidR="00CA5201">
              <w:rPr>
                <w:noProof/>
                <w:webHidden/>
              </w:rPr>
              <w:fldChar w:fldCharType="begin"/>
            </w:r>
            <w:r w:rsidR="00CA5201">
              <w:rPr>
                <w:noProof/>
                <w:webHidden/>
              </w:rPr>
              <w:instrText xml:space="preserve"> PAGEREF _Toc55241291 \h </w:instrText>
            </w:r>
            <w:r w:rsidR="00CA5201">
              <w:rPr>
                <w:noProof/>
                <w:webHidden/>
              </w:rPr>
            </w:r>
            <w:r w:rsidR="00CA5201">
              <w:rPr>
                <w:noProof/>
                <w:webHidden/>
              </w:rPr>
              <w:fldChar w:fldCharType="separate"/>
            </w:r>
            <w:r w:rsidR="00CA5201">
              <w:rPr>
                <w:noProof/>
                <w:webHidden/>
              </w:rPr>
              <w:t>8</w:t>
            </w:r>
            <w:r w:rsidR="00CA5201">
              <w:rPr>
                <w:noProof/>
                <w:webHidden/>
              </w:rPr>
              <w:fldChar w:fldCharType="end"/>
            </w:r>
          </w:hyperlink>
        </w:p>
        <w:p w14:paraId="4D504813" w14:textId="4F748361" w:rsidR="00CA5201" w:rsidRDefault="00A61553">
          <w:pPr>
            <w:pStyle w:val="TOC2"/>
            <w:tabs>
              <w:tab w:val="left" w:pos="880"/>
              <w:tab w:val="right" w:leader="dot" w:pos="9019"/>
            </w:tabs>
            <w:rPr>
              <w:rFonts w:eastAsiaTheme="minorEastAsia"/>
              <w:noProof/>
            </w:rPr>
          </w:pPr>
          <w:hyperlink w:anchor="_Toc55241292" w:history="1">
            <w:r w:rsidR="00CA5201" w:rsidRPr="00AF3C9C">
              <w:rPr>
                <w:rStyle w:val="Hyperlink"/>
                <w:noProof/>
              </w:rPr>
              <w:t>3.3</w:t>
            </w:r>
            <w:r w:rsidR="00CA5201">
              <w:rPr>
                <w:rFonts w:eastAsiaTheme="minorEastAsia"/>
                <w:noProof/>
              </w:rPr>
              <w:tab/>
            </w:r>
            <w:r w:rsidR="00CA5201" w:rsidRPr="00AF3C9C">
              <w:rPr>
                <w:rStyle w:val="Hyperlink"/>
                <w:noProof/>
              </w:rPr>
              <w:t>Sensitivity: constant baseline mortality vs income-dependent mortality</w:t>
            </w:r>
            <w:r w:rsidR="00CA5201">
              <w:rPr>
                <w:noProof/>
                <w:webHidden/>
              </w:rPr>
              <w:tab/>
            </w:r>
            <w:r w:rsidR="00CA5201">
              <w:rPr>
                <w:noProof/>
                <w:webHidden/>
              </w:rPr>
              <w:fldChar w:fldCharType="begin"/>
            </w:r>
            <w:r w:rsidR="00CA5201">
              <w:rPr>
                <w:noProof/>
                <w:webHidden/>
              </w:rPr>
              <w:instrText xml:space="preserve"> PAGEREF _Toc55241292 \h </w:instrText>
            </w:r>
            <w:r w:rsidR="00CA5201">
              <w:rPr>
                <w:noProof/>
                <w:webHidden/>
              </w:rPr>
            </w:r>
            <w:r w:rsidR="00CA5201">
              <w:rPr>
                <w:noProof/>
                <w:webHidden/>
              </w:rPr>
              <w:fldChar w:fldCharType="separate"/>
            </w:r>
            <w:r w:rsidR="00CA5201">
              <w:rPr>
                <w:noProof/>
                <w:webHidden/>
              </w:rPr>
              <w:t>8</w:t>
            </w:r>
            <w:r w:rsidR="00CA5201">
              <w:rPr>
                <w:noProof/>
                <w:webHidden/>
              </w:rPr>
              <w:fldChar w:fldCharType="end"/>
            </w:r>
          </w:hyperlink>
        </w:p>
        <w:p w14:paraId="1BE9E562" w14:textId="254A6421" w:rsidR="00CA5201" w:rsidRDefault="00A61553">
          <w:pPr>
            <w:pStyle w:val="TOC1"/>
            <w:tabs>
              <w:tab w:val="left" w:pos="440"/>
              <w:tab w:val="right" w:leader="dot" w:pos="9019"/>
            </w:tabs>
            <w:rPr>
              <w:rFonts w:eastAsiaTheme="minorEastAsia"/>
              <w:noProof/>
            </w:rPr>
          </w:pPr>
          <w:hyperlink w:anchor="_Toc55241293" w:history="1">
            <w:r w:rsidR="00CA5201" w:rsidRPr="00AF3C9C">
              <w:rPr>
                <w:rStyle w:val="Hyperlink"/>
                <w:noProof/>
              </w:rPr>
              <w:t>4</w:t>
            </w:r>
            <w:r w:rsidR="00CA5201">
              <w:rPr>
                <w:rFonts w:eastAsiaTheme="minorEastAsia"/>
                <w:noProof/>
              </w:rPr>
              <w:tab/>
            </w:r>
            <w:r w:rsidR="00CA5201" w:rsidRPr="00AF3C9C">
              <w:rPr>
                <w:rStyle w:val="Hyperlink"/>
                <w:noProof/>
              </w:rPr>
              <w:t>References</w:t>
            </w:r>
            <w:r w:rsidR="00CA5201">
              <w:rPr>
                <w:noProof/>
                <w:webHidden/>
              </w:rPr>
              <w:tab/>
            </w:r>
            <w:r w:rsidR="00CA5201">
              <w:rPr>
                <w:noProof/>
                <w:webHidden/>
              </w:rPr>
              <w:fldChar w:fldCharType="begin"/>
            </w:r>
            <w:r w:rsidR="00CA5201">
              <w:rPr>
                <w:noProof/>
                <w:webHidden/>
              </w:rPr>
              <w:instrText xml:space="preserve"> PAGEREF _Toc55241293 \h </w:instrText>
            </w:r>
            <w:r w:rsidR="00CA5201">
              <w:rPr>
                <w:noProof/>
                <w:webHidden/>
              </w:rPr>
            </w:r>
            <w:r w:rsidR="00CA5201">
              <w:rPr>
                <w:noProof/>
                <w:webHidden/>
              </w:rPr>
              <w:fldChar w:fldCharType="separate"/>
            </w:r>
            <w:r w:rsidR="00CA5201">
              <w:rPr>
                <w:noProof/>
                <w:webHidden/>
              </w:rPr>
              <w:t>9</w:t>
            </w:r>
            <w:r w:rsidR="00CA5201">
              <w:rPr>
                <w:noProof/>
                <w:webHidden/>
              </w:rPr>
              <w:fldChar w:fldCharType="end"/>
            </w:r>
          </w:hyperlink>
        </w:p>
        <w:p w14:paraId="0B75BA3A" w14:textId="7711AA54" w:rsidR="00F016C0" w:rsidRDefault="00F016C0" w:rsidP="00C32047">
          <w:pPr>
            <w:spacing w:line="360" w:lineRule="auto"/>
          </w:pPr>
          <w:r>
            <w:rPr>
              <w:b/>
              <w:bCs/>
              <w:noProof/>
            </w:rPr>
            <w:fldChar w:fldCharType="end"/>
          </w:r>
        </w:p>
      </w:sdtContent>
    </w:sdt>
    <w:p w14:paraId="4CB41EFB" w14:textId="77777777" w:rsidR="003B06E1" w:rsidRDefault="003B06E1" w:rsidP="00C32047">
      <w:pPr>
        <w:spacing w:line="360" w:lineRule="auto"/>
      </w:pPr>
    </w:p>
    <w:p w14:paraId="796E994E" w14:textId="5BEF3A33" w:rsidR="0091524F" w:rsidRDefault="00277E1D" w:rsidP="00C32047">
      <w:pPr>
        <w:pStyle w:val="Heading1"/>
        <w:spacing w:line="360" w:lineRule="auto"/>
      </w:pPr>
      <w:bookmarkStart w:id="0" w:name="_Toc55241282"/>
      <w:r w:rsidRPr="00963BC5">
        <w:t>Methods</w:t>
      </w:r>
      <w:bookmarkEnd w:id="0"/>
    </w:p>
    <w:p w14:paraId="0398ACEB" w14:textId="6532C511" w:rsidR="006D047F" w:rsidRDefault="006D047F" w:rsidP="00C32047">
      <w:pPr>
        <w:spacing w:line="360" w:lineRule="auto"/>
      </w:pPr>
      <w:r>
        <w:t xml:space="preserve">In this section </w:t>
      </w:r>
      <w:r w:rsidR="00B40FEE">
        <w:t xml:space="preserve">we provide </w:t>
      </w:r>
      <w:r w:rsidR="009D4C4A">
        <w:t>additional information on</w:t>
      </w:r>
      <w:r w:rsidR="00DD0362">
        <w:t xml:space="preserve"> specific aspect of</w:t>
      </w:r>
      <w:r w:rsidR="009D4C4A">
        <w:t xml:space="preserve"> the meth</w:t>
      </w:r>
      <w:r w:rsidR="003B1FCE">
        <w:t>odolog</w:t>
      </w:r>
      <w:r w:rsidR="00DD0362">
        <w:t>y</w:t>
      </w:r>
      <w:r w:rsidR="003B1FCE">
        <w:t>.</w:t>
      </w:r>
    </w:p>
    <w:p w14:paraId="4860A5C0" w14:textId="77777777" w:rsidR="00B40FEE" w:rsidRPr="006D047F" w:rsidRDefault="00B40FEE" w:rsidP="00C32047">
      <w:pPr>
        <w:spacing w:line="360" w:lineRule="auto"/>
      </w:pPr>
    </w:p>
    <w:p w14:paraId="67DEC064" w14:textId="5A86B825" w:rsidR="00277E1D" w:rsidRDefault="00DD0362" w:rsidP="00C32047">
      <w:pPr>
        <w:pStyle w:val="Heading2"/>
        <w:spacing w:line="360" w:lineRule="auto"/>
      </w:pPr>
      <w:bookmarkStart w:id="1" w:name="_Toc55241283"/>
      <w:r>
        <w:rPr>
          <w:rStyle w:val="Heading2Char"/>
        </w:rPr>
        <w:lastRenderedPageBreak/>
        <w:t>Relating</w:t>
      </w:r>
      <w:r w:rsidR="00943914">
        <w:rPr>
          <w:rStyle w:val="Heading2Char"/>
        </w:rPr>
        <w:t xml:space="preserve"> emissions to concentration</w:t>
      </w:r>
      <w:r w:rsidR="004D2F8C">
        <w:rPr>
          <w:rStyle w:val="Heading2Char"/>
        </w:rPr>
        <w:t>s</w:t>
      </w:r>
      <w:bookmarkEnd w:id="1"/>
    </w:p>
    <w:p w14:paraId="1404A144" w14:textId="564D4A40" w:rsidR="006D047F" w:rsidRDefault="00472D2C" w:rsidP="00C32047">
      <w:pPr>
        <w:spacing w:line="360" w:lineRule="auto"/>
        <w:jc w:val="both"/>
      </w:pPr>
      <w:r>
        <w:t>The GAINS source-receptor matrices</w:t>
      </w:r>
      <w:r w:rsidR="006D047F">
        <w:t xml:space="preserve"> rely on perturbation simulations of atmospheric CTMs, in which emissions from a given source region and pollutant are reduced from base case, and the change in ambient concentration levels is used to calculate a linear transfer coefficient. Source pollutants considered for the formation of PM</w:t>
      </w:r>
      <w:r w:rsidR="00192BEA" w:rsidRPr="00192BEA">
        <w:rPr>
          <w:vertAlign w:val="subscript"/>
        </w:rPr>
        <w:t>2.5</w:t>
      </w:r>
      <w:r w:rsidR="006D047F">
        <w:t xml:space="preserve"> are primary PM</w:t>
      </w:r>
      <w:r w:rsidR="00192BEA" w:rsidRPr="00192BEA">
        <w:rPr>
          <w:vertAlign w:val="subscript"/>
        </w:rPr>
        <w:t>2.5</w:t>
      </w:r>
      <w:r w:rsidR="006D047F">
        <w:t xml:space="preserve"> (PPM), SO</w:t>
      </w:r>
      <w:r w:rsidR="006D047F">
        <w:rPr>
          <w:vertAlign w:val="subscript"/>
        </w:rPr>
        <w:t>2</w:t>
      </w:r>
      <w:r w:rsidR="006D047F">
        <w:t>, NO</w:t>
      </w:r>
      <w:r w:rsidR="006D047F">
        <w:rPr>
          <w:vertAlign w:val="subscript"/>
        </w:rPr>
        <w:t>x</w:t>
      </w:r>
      <w:r w:rsidR="006D047F">
        <w:t>, NH</w:t>
      </w:r>
      <w:r w:rsidR="006D047F">
        <w:rPr>
          <w:vertAlign w:val="subscript"/>
        </w:rPr>
        <w:t>3</w:t>
      </w:r>
      <w:r w:rsidR="006D047F">
        <w:t xml:space="preserve">, and VOC. For PPM, the transfer coefficients are split into one describing low-level emissions from residential combustion and traffic, and one for all other sources, to account for different atmospheric dispersion characteristics of emissions injected at different heights. </w:t>
      </w:r>
    </w:p>
    <w:p w14:paraId="10AB6FB8" w14:textId="77777777" w:rsidR="006D047F" w:rsidRDefault="006D047F" w:rsidP="00C32047">
      <w:pPr>
        <w:spacing w:line="360" w:lineRule="auto"/>
      </w:pPr>
    </w:p>
    <w:p w14:paraId="1BE99A4C" w14:textId="77777777" w:rsidR="006D047F" w:rsidRDefault="006D047F" w:rsidP="00C32047">
      <w:pPr>
        <w:spacing w:line="360" w:lineRule="auto"/>
        <w:jc w:val="both"/>
      </w:pPr>
      <w:r>
        <w:t>Base case and reduction simulations (15% reduction runs for pollutants PPM total, PPM low-level (SNAP 2+7), SO</w:t>
      </w:r>
      <w:r>
        <w:rPr>
          <w:vertAlign w:val="subscript"/>
        </w:rPr>
        <w:t>2</w:t>
      </w:r>
      <w:r>
        <w:t>, NO</w:t>
      </w:r>
      <w:r>
        <w:rPr>
          <w:vertAlign w:val="subscript"/>
        </w:rPr>
        <w:t>X</w:t>
      </w:r>
      <w:r>
        <w:t>, NH</w:t>
      </w:r>
      <w:r>
        <w:softHyphen/>
      </w:r>
      <w:r>
        <w:rPr>
          <w:vertAlign w:val="subscript"/>
        </w:rPr>
        <w:t>3</w:t>
      </w:r>
      <w:r>
        <w:t>, VOC, with meteorological year 2015) have been run with the EMEP CTM at 0.5⁰ resolution, with either an Asia-wide domain as used in the UNEP-CCAC Assessment of Air Pollution in Asia and the Pacific</w:t>
      </w:r>
      <w:r>
        <w:fldChar w:fldCharType="begin"/>
      </w:r>
      <w:r>
        <w:instrText xml:space="preserve"> ADDIN ZOTERO_ITEM CSL_CITATION {"citationID":"HLI6snud","properties":{"formattedCitation":"\\super 36\\nosupersub{}","plainCitation":"36","noteIndex":0},"citationItems":[{"id":12103,"uris":["http://zotero.org/groups/14748/items/SJ6HYZW5"],"uri":["http://zotero.org/groups/14748/items/SJ6HYZW5"],"itemData":{"id":12103,"type":"webpage","abstract":"This report identifies 25 clean air measures that can positively impact human health, crop yields, climate change and socio-economic development, as well as contribute to achieving the Sustainable Development Goals. Implementing these measures could help 1 billion people breathe cleaner air by 2030 and reduce global warming by a third of a degree Celsius by 2050.","genre":"Other","language":"en","title":"Air Pollution in Asia and the Pacific: Science-based solutions","title-short":"Air Pollution in Asia and the Pacific","URL":"http://ccacoalition.org/en/resources/air-pollution-asia-and-pacific-science-based-solutions","author":[{"family":"Hong","given":"Y.-C."},{"family":"Hicks","given":"K."},{"family":"Malley","given":"C."},{"family":"Kuylenstierna","given":"J."},{"family":"Emberson","given":"L."},{"family":"Balakrishnan","given":"K."},{"family":"Pillarisetti","given":"A."},{"family":"Sunwoo","given":"Y."},{"family":"Espita","given":"D."},{"family":"Lu","given":"F."},{"family":"Silayan","given":"A."},{"family":"Dematera","given":"K."},{"family":"Oanh","given":"N."},{"family":"Augustian","given":"D."},{"family":"Hiroyuki","given":"S."},{"family":"Yamashita","given":"K."},{"family":"Mars","given":"K."},{"family":"Rupakheti","given":"M."},{"family":"Unger","given":"C."},{"family":"Panday","given":"A."},{"family":"Pradhan","given":"B."},{"family":"Gul","given":"C."},{"family":"Tanaka","given":"K."},{"family":"Chae","given":"Y."},{"family":"Carmichael","given":"G."},{"family":"Agrawal","given":"M."},{"family":"Steiner","given":"A."},{"family":"Han","given":"C."},{"family":"Jeon","given":"H."},{"family":"Min","given":"M."},{"family":"Yusoff","given":"K."},{"family":"Zhaozhong","given":"F."},{"family":"Wang","given":"Z."},{"family":"Takemura","given":"T."},{"family":"Amann","given":"M."},{"family":"Borken-Kleefeld","given":"J."},{"family":"Cofala","given":"J."},{"family":"Gomez Sanabria","given":"A."},{"family":"Heyes","given":"C."},{"family":"Höglund Isaksson","given":"L."},{"family":"Kiesewetter","given":"G."},{"family":"Klimont","given":"Z."},{"family":"Nguyen","given":"B."},{"family":"Purohit","given":"P."},{"family":"Rafaj","given":"P."},{"family":"Sander","given":"R."},{"family":"Wagner","given":"F."},{"family":"Schöpp","given":"W."},{"family":"Hao","given":"J."},{"family":"Wang","given":"S."},{"family":"Ye","given":"W."},{"family":"Duan","given":"L."},{"family":"Shindell","given":"D."},{"family":"Seltzer","given":"K."},{"family":"Borgford-Parnell","given":"N."},{"family":"Zusman","given":"E."},{"family":"Jagath","given":"P."},{"family":"Gamaralalage","given":"D."},{"family":"Hengesbaugh","given":"M."},{"family":"Yagasa","given":"R."},{"family":"Hotta","given":"Y."},{"family":"Onogawa","given":"K."},{"family":"Totoki","given":"Y."},{"family":"Liu","given":"C."},{"family":"Lee","given":"S.-Y."},{"family":"Akahoshi","given":"K."},{"family":"Elder","given":"M."},{"family":"Liu","given":"X."},{"family":"Pham","given":"N.-B."},{"family":"Feng","given":"X."},{"family":"Murray","given":"F."},{"family":"Rehman","given":"I."},{"family":"Tao","given":"S."},{"family":"Li","given":"W."},{"family":"Tsevegjav","given":"B."},{"family":"Anenberg","given":"S."},{"family":"Saikawa","given":"E."},{"family":"Minjares","given":"R."},{"family":"Fabian","given":"B."},{"family":"Prajapati","given":"S."},{"family":"Chitrakar","given":"M."},{"family":"Maharjan","given":"S."},{"family":"Arif","given":"M."},{"family":"Patel","given":"S."},{"family":"Valdez","given":"S."},{"family":"Shende","given":"R."},{"family":"Xianqiang","given":"M."},{"family":"Youkai","given":"X."},{"family":"Wan","given":"W."},{"family":"Kobashi","given":"T."},{"family":"Unapumnuk","given":"K."},{"family":"Yamineva","given":"Y."},{"family":"Pearson","given":"P."},{"family":"Kamyotra","given":"J. S."}],"accessed":{"date-parts":[["2018",11,6]]},"issued":{"date-parts":[["2019",1]]}}}],"schema":"https://github.com/citation-style-language/schema/raw/master/csl-citation.json"} </w:instrText>
      </w:r>
      <w:r>
        <w:fldChar w:fldCharType="separate"/>
      </w:r>
      <w:r>
        <w:rPr>
          <w:rFonts w:ascii="Calibri" w:hAnsi="Calibri" w:cs="Calibri"/>
          <w:szCs w:val="24"/>
          <w:vertAlign w:val="superscript"/>
        </w:rPr>
        <w:t>36</w:t>
      </w:r>
      <w:r>
        <w:fldChar w:fldCharType="end"/>
      </w:r>
      <w:r>
        <w:t>, or a global domain for all other regions.</w:t>
      </w:r>
    </w:p>
    <w:p w14:paraId="6BD10EC7" w14:textId="77777777" w:rsidR="006D047F" w:rsidRDefault="006D047F" w:rsidP="00C32047">
      <w:pPr>
        <w:spacing w:line="360" w:lineRule="auto"/>
      </w:pPr>
    </w:p>
    <w:p w14:paraId="4E30D8D6" w14:textId="77777777" w:rsidR="006D047F" w:rsidRDefault="006D047F" w:rsidP="00C32047">
      <w:pPr>
        <w:spacing w:line="360" w:lineRule="auto"/>
        <w:jc w:val="both"/>
      </w:pPr>
      <w:r>
        <w:t xml:space="preserve">Transfer coefficients for source regions </w:t>
      </w:r>
      <m:oMath>
        <m:r>
          <w:rPr>
            <w:rFonts w:ascii="Cambria Math" w:hAnsi="Cambria Math"/>
          </w:rPr>
          <m:t>j</m:t>
        </m:r>
      </m:oMath>
      <w:r>
        <w:rPr>
          <w:rFonts w:eastAsiaTheme="minorEastAsia"/>
        </w:rPr>
        <w:t xml:space="preserve">, source pollutants </w:t>
      </w:r>
      <m:oMath>
        <m:r>
          <w:rPr>
            <w:rFonts w:ascii="Cambria Math" w:eastAsiaTheme="minorEastAsia" w:hAnsi="Cambria Math"/>
          </w:rPr>
          <m:t>p</m:t>
        </m:r>
      </m:oMath>
      <w:r>
        <w:rPr>
          <w:rFonts w:eastAsiaTheme="minorEastAsia"/>
        </w:rPr>
        <w:t xml:space="preserve">, to </w:t>
      </w:r>
      <w:r>
        <w:t xml:space="preserve">0.5⁰ grid cells </w:t>
      </w:r>
      <m:oMath>
        <m:r>
          <w:rPr>
            <w:rFonts w:ascii="Cambria Math" w:hAnsi="Cambria Math"/>
          </w:rPr>
          <m:t>i</m:t>
        </m:r>
      </m:oMath>
      <w:r>
        <w:rPr>
          <w:rFonts w:eastAsiaTheme="minorEastAsia"/>
        </w:rPr>
        <w:t xml:space="preserve"> </w:t>
      </w:r>
      <w:r>
        <w:t>are defined as</w:t>
      </w:r>
    </w:p>
    <w:p w14:paraId="42FB5CFD" w14:textId="505C9EDF" w:rsidR="006D047F" w:rsidRDefault="00A61553" w:rsidP="00C32047">
      <w:pPr>
        <w:spacing w:line="360" w:lineRule="auto"/>
      </w:pPr>
      <m:oMathPara>
        <m:oMath>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pj</m:t>
              </m:r>
            </m:sup>
          </m:sSubSup>
          <m:r>
            <w:rPr>
              <w:rFonts w:ascii="Cambria Math" w:hAnsi="Cambria Math"/>
            </w:rPr>
            <m:t>=</m:t>
          </m:r>
          <m:f>
            <m:fPr>
              <m:ctrlPr>
                <w:rPr>
                  <w:rFonts w:ascii="Cambria Math" w:hAnsi="Cambria Math"/>
                  <w:i/>
                </w:rPr>
              </m:ctrlPr>
            </m:fPr>
            <m:num>
              <m:r>
                <m:rPr>
                  <m:sty m:val="p"/>
                </m:rPr>
                <w:rPr>
                  <w:rFonts w:ascii="Cambria Math" w:hAnsi="Cambria Math"/>
                </w:rPr>
                <m:t>Δ</m:t>
              </m:r>
              <m:sSub>
                <m:sSubPr>
                  <m:ctrlPr>
                    <w:rPr>
                      <w:rFonts w:ascii="Cambria Math" w:hAnsi="Cambria Math"/>
                      <w:i/>
                      <w:iCs/>
                    </w:rPr>
                  </m:ctrlPr>
                </m:sSubPr>
                <m:e>
                  <m:d>
                    <m:dPr>
                      <m:begChr m:val="["/>
                      <m:endChr m:val="]"/>
                      <m:ctrlPr>
                        <w:rPr>
                          <w:rFonts w:ascii="Cambria Math" w:hAnsi="Cambria Math"/>
                          <w:i/>
                        </w:rPr>
                      </m:ctrlPr>
                    </m:dPr>
                    <m:e>
                      <m:sSub>
                        <m:sSubPr>
                          <m:ctrlPr>
                            <w:rPr>
                              <w:rFonts w:ascii="Cambria Math" w:hAnsi="Cambria Math"/>
                              <w:iCs/>
                            </w:rPr>
                          </m:ctrlPr>
                        </m:sSubPr>
                        <m:e>
                          <m:r>
                            <m:rPr>
                              <m:sty m:val="p"/>
                            </m:rPr>
                            <w:rPr>
                              <w:rFonts w:ascii="Cambria Math" w:hAnsi="Cambria Math"/>
                            </w:rPr>
                            <m:t>PM</m:t>
                          </m:r>
                          <m:ctrlPr>
                            <w:rPr>
                              <w:rFonts w:ascii="Cambria Math" w:hAnsi="Cambria Math"/>
                              <w:i/>
                            </w:rPr>
                          </m:ctrlPr>
                        </m:e>
                        <m:sub>
                          <m:r>
                            <m:rPr>
                              <m:sty m:val="p"/>
                            </m:rPr>
                            <w:rPr>
                              <w:rFonts w:ascii="Cambria Math" w:hAnsi="Cambria Math"/>
                              <w:vertAlign w:val="subscript"/>
                            </w:rPr>
                            <m:t>2.5</m:t>
                          </m:r>
                        </m:sub>
                      </m:sSub>
                      <m:ctrlPr>
                        <w:rPr>
                          <w:rFonts w:ascii="Cambria Math" w:hAnsi="Cambria Math"/>
                          <w:i/>
                          <w:iCs/>
                        </w:rPr>
                      </m:ctrlPr>
                    </m:e>
                  </m:d>
                </m:e>
                <m:sub>
                  <m:r>
                    <w:rPr>
                      <w:rFonts w:ascii="Cambria Math" w:hAnsi="Cambria Math"/>
                    </w:rPr>
                    <m:t>i</m:t>
                  </m:r>
                </m:sub>
              </m:sSub>
            </m:num>
            <m:den>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pj</m:t>
                  </m:r>
                </m:sub>
              </m:sSub>
            </m:den>
          </m:f>
        </m:oMath>
      </m:oMathPara>
    </w:p>
    <w:p w14:paraId="402B282F" w14:textId="5F822170" w:rsidR="006D047F" w:rsidRDefault="006D047F" w:rsidP="00C32047">
      <w:pPr>
        <w:spacing w:line="360" w:lineRule="auto"/>
      </w:pPr>
      <w:r>
        <w:t xml:space="preserve">with </w:t>
      </w:r>
      <m:oMath>
        <m:r>
          <w:rPr>
            <w:rFonts w:ascii="Cambria Math" w:hAnsi="Cambria Math"/>
          </w:rPr>
          <m:t>p∈</m:t>
        </m:r>
        <m:d>
          <m:dPr>
            <m:begChr m:val="{"/>
            <m:endChr m:val="}"/>
            <m:ctrlPr>
              <w:rPr>
                <w:rFonts w:ascii="Cambria Math" w:hAnsi="Cambria Math"/>
                <w:i/>
              </w:rPr>
            </m:ctrlPr>
          </m:dPr>
          <m:e>
            <m:r>
              <w:rPr>
                <w:rFonts w:ascii="Cambria Math" w:hAnsi="Cambria Math"/>
              </w:rPr>
              <m:t>P,PL,S,N,V</m:t>
            </m:r>
          </m:e>
        </m:d>
      </m:oMath>
      <w:r>
        <w:rPr>
          <w:rFonts w:eastAsiaTheme="minorEastAsia"/>
        </w:rPr>
        <w:t xml:space="preserve"> and</w:t>
      </w:r>
    </w:p>
    <w:p w14:paraId="52B1577C" w14:textId="00FA9612" w:rsidR="006D047F" w:rsidRDefault="006D047F" w:rsidP="00C32047">
      <w:pPr>
        <w:spacing w:line="360" w:lineRule="auto"/>
        <w:rPr>
          <w:rFonts w:eastAsiaTheme="minorEastAsia"/>
        </w:rPr>
      </w:pPr>
      <m:oMathPara>
        <m:oMath>
          <m:r>
            <m:rPr>
              <m:sty m:val="p"/>
            </m:rPr>
            <w:rPr>
              <w:rFonts w:ascii="Cambria Math" w:hAnsi="Cambria Math"/>
            </w:rPr>
            <m:t>Δ</m:t>
          </m:r>
          <m:sSub>
            <m:sSubPr>
              <m:ctrlPr>
                <w:rPr>
                  <w:rFonts w:ascii="Cambria Math" w:hAnsi="Cambria Math"/>
                </w:rPr>
              </m:ctrlPr>
            </m:sSubPr>
            <m:e>
              <m:d>
                <m:dPr>
                  <m:begChr m:val="["/>
                  <m:endChr m:val="]"/>
                  <m:ctrlPr>
                    <w:rPr>
                      <w:rFonts w:ascii="Cambria Math" w:hAnsi="Cambria Math"/>
                      <w:i/>
                    </w:rPr>
                  </m:ctrlPr>
                </m:dPr>
                <m:e>
                  <m:sSub>
                    <m:sSubPr>
                      <m:ctrlPr>
                        <w:rPr>
                          <w:rFonts w:ascii="Cambria Math" w:hAnsi="Cambria Math"/>
                          <w:iCs/>
                        </w:rPr>
                      </m:ctrlPr>
                    </m:sSubPr>
                    <m:e>
                      <m:r>
                        <m:rPr>
                          <m:sty m:val="p"/>
                        </m:rPr>
                        <w:rPr>
                          <w:rFonts w:ascii="Cambria Math" w:hAnsi="Cambria Math"/>
                        </w:rPr>
                        <m:t>PM</m:t>
                      </m:r>
                      <m:ctrlPr>
                        <w:rPr>
                          <w:rFonts w:ascii="Cambria Math" w:hAnsi="Cambria Math"/>
                          <w:i/>
                        </w:rPr>
                      </m:ctrlPr>
                    </m:e>
                    <m:sub>
                      <m:r>
                        <m:rPr>
                          <m:sty m:val="p"/>
                        </m:rPr>
                        <w:rPr>
                          <w:rFonts w:ascii="Cambria Math" w:hAnsi="Cambria Math"/>
                          <w:vertAlign w:val="subscript"/>
                        </w:rPr>
                        <m:t>2.5</m:t>
                      </m:r>
                    </m:sub>
                  </m:sSub>
                  <m:ctrlPr>
                    <w:rPr>
                      <w:rFonts w:ascii="Cambria Math" w:hAnsi="Cambria Math"/>
                      <w:i/>
                      <w:iCs/>
                    </w:rPr>
                  </m:ctrlPr>
                </m:e>
              </m:d>
              <m:ctrlPr>
                <w:rPr>
                  <w:rFonts w:ascii="Cambria Math" w:hAnsi="Cambria Math"/>
                  <w:i/>
                  <w:iCs/>
                </w:rPr>
              </m:ctrlPr>
            </m:e>
            <m:sub>
              <m:r>
                <w:rPr>
                  <w:rFonts w:ascii="Cambria Math" w:hAnsi="Cambria Math"/>
                </w:rPr>
                <m:t>i</m:t>
              </m:r>
            </m:sub>
          </m:sSub>
          <m:r>
            <w:rPr>
              <w:rFonts w:ascii="Cambria Math" w:hAnsi="Cambria Math"/>
            </w:rPr>
            <m:t>=</m:t>
          </m:r>
          <m:sSub>
            <m:sSubPr>
              <m:ctrlPr>
                <w:rPr>
                  <w:rFonts w:ascii="Cambria Math" w:hAnsi="Cambria Math"/>
                  <w:i/>
                  <w:iCs/>
                </w:rPr>
              </m:ctrlPr>
            </m:sSubPr>
            <m:e>
              <m:d>
                <m:dPr>
                  <m:begChr m:val="["/>
                  <m:endChr m:val="]"/>
                  <m:ctrlPr>
                    <w:rPr>
                      <w:rFonts w:ascii="Cambria Math" w:hAnsi="Cambria Math"/>
                      <w:i/>
                    </w:rPr>
                  </m:ctrlPr>
                </m:dPr>
                <m:e>
                  <m:sSub>
                    <m:sSubPr>
                      <m:ctrlPr>
                        <w:rPr>
                          <w:rFonts w:ascii="Cambria Math" w:hAnsi="Cambria Math"/>
                          <w:iCs/>
                        </w:rPr>
                      </m:ctrlPr>
                    </m:sSubPr>
                    <m:e>
                      <m:r>
                        <m:rPr>
                          <m:sty m:val="p"/>
                        </m:rPr>
                        <w:rPr>
                          <w:rFonts w:ascii="Cambria Math" w:hAnsi="Cambria Math"/>
                        </w:rPr>
                        <m:t>PM</m:t>
                      </m:r>
                      <m:ctrlPr>
                        <w:rPr>
                          <w:rFonts w:ascii="Cambria Math" w:hAnsi="Cambria Math"/>
                          <w:i/>
                        </w:rPr>
                      </m:ctrlPr>
                    </m:e>
                    <m:sub>
                      <m:r>
                        <m:rPr>
                          <m:sty m:val="p"/>
                        </m:rPr>
                        <w:rPr>
                          <w:rFonts w:ascii="Cambria Math" w:hAnsi="Cambria Math"/>
                          <w:vertAlign w:val="subscript"/>
                        </w:rPr>
                        <m:t>2.5</m:t>
                      </m:r>
                    </m:sub>
                  </m:sSub>
                  <m:ctrlPr>
                    <w:rPr>
                      <w:rFonts w:ascii="Cambria Math" w:hAnsi="Cambria Math"/>
                      <w:i/>
                      <w:iCs/>
                    </w:rPr>
                  </m:ctrlPr>
                </m:e>
              </m:d>
            </m:e>
            <m:sub>
              <m:r>
                <w:rPr>
                  <w:rFonts w:ascii="Cambria Math" w:hAnsi="Cambria Math"/>
                </w:rPr>
                <m:t>base</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iCs/>
                    </w:rPr>
                  </m:ctrlPr>
                </m:dPr>
                <m:e>
                  <m:sSub>
                    <m:sSubPr>
                      <m:ctrlPr>
                        <w:rPr>
                          <w:rFonts w:ascii="Cambria Math" w:hAnsi="Cambria Math"/>
                        </w:rPr>
                      </m:ctrlPr>
                    </m:sSubPr>
                    <m:e>
                      <m:r>
                        <m:rPr>
                          <m:sty m:val="p"/>
                        </m:rPr>
                        <w:rPr>
                          <w:rFonts w:ascii="Cambria Math" w:hAnsi="Cambria Math"/>
                        </w:rPr>
                        <m:t>PM</m:t>
                      </m:r>
                      <m:ctrlPr>
                        <w:rPr>
                          <w:rFonts w:ascii="Cambria Math" w:hAnsi="Cambria Math"/>
                          <w:i/>
                          <w:iCs/>
                        </w:rPr>
                      </m:ctrlPr>
                    </m:e>
                    <m:sub>
                      <m:r>
                        <m:rPr>
                          <m:sty m:val="p"/>
                        </m:rPr>
                        <w:rPr>
                          <w:rFonts w:ascii="Cambria Math" w:hAnsi="Cambria Math"/>
                          <w:vertAlign w:val="subscript"/>
                        </w:rPr>
                        <m:t>2.5</m:t>
                      </m:r>
                    </m:sub>
                  </m:sSub>
                  <m:ctrlPr>
                    <w:rPr>
                      <w:rFonts w:ascii="Cambria Math" w:hAnsi="Cambria Math"/>
                      <w:i/>
                    </w:rPr>
                  </m:ctrlPr>
                </m:e>
              </m:d>
              <m:ctrlPr>
                <w:rPr>
                  <w:rFonts w:ascii="Cambria Math" w:hAnsi="Cambria Math"/>
                  <w:i/>
                  <w:iCs/>
                </w:rPr>
              </m:ctrlPr>
            </m:e>
            <m:sub>
              <m:r>
                <w:rPr>
                  <w:rFonts w:ascii="Cambria Math" w:hAnsi="Cambria Math"/>
                </w:rPr>
                <m:t>red</m:t>
              </m:r>
            </m:sub>
          </m:sSub>
        </m:oMath>
      </m:oMathPara>
    </w:p>
    <w:p w14:paraId="787603AA" w14:textId="77777777" w:rsidR="006D047F" w:rsidRDefault="006D047F" w:rsidP="00C32047">
      <w:pPr>
        <w:spacing w:line="360" w:lineRule="auto"/>
        <w:rPr>
          <w:rFonts w:eastAsiaTheme="minorEastAsia"/>
        </w:rPr>
      </w:pPr>
    </w:p>
    <w:p w14:paraId="627785DE" w14:textId="651CA398" w:rsidR="006D047F" w:rsidRDefault="006D047F" w:rsidP="00C32047">
      <w:pPr>
        <w:spacing w:line="360" w:lineRule="auto"/>
        <w:jc w:val="both"/>
        <w:rPr>
          <w:rFonts w:eastAsiaTheme="minorEastAsia"/>
        </w:rPr>
      </w:pPr>
      <w:r>
        <w:rPr>
          <w:rFonts w:eastAsiaTheme="minorEastAsia"/>
        </w:rPr>
        <w:t>the difference between base case (</w:t>
      </w:r>
      <m:oMath>
        <m:r>
          <w:rPr>
            <w:rFonts w:ascii="Cambria Math" w:eastAsiaTheme="minorEastAsia" w:hAnsi="Cambria Math"/>
          </w:rPr>
          <m:t>base</m:t>
        </m:r>
      </m:oMath>
      <w:r>
        <w:rPr>
          <w:rFonts w:eastAsiaTheme="minorEastAsia"/>
        </w:rPr>
        <w:t>) and reduction case (</w:t>
      </w:r>
      <m:oMath>
        <m:r>
          <w:rPr>
            <w:rFonts w:ascii="Cambria Math" w:eastAsiaTheme="minorEastAsia" w:hAnsi="Cambria Math"/>
          </w:rPr>
          <m:t>red</m:t>
        </m:r>
      </m:oMath>
      <w:r>
        <w:rPr>
          <w:rFonts w:eastAsiaTheme="minorEastAsia"/>
        </w:rPr>
        <w:t>) in modelled PM</w:t>
      </w:r>
      <w:r w:rsidR="00192BEA" w:rsidRPr="00192BEA">
        <w:rPr>
          <w:rFonts w:eastAsiaTheme="minorEastAsia"/>
          <w:vertAlign w:val="subscript"/>
        </w:rPr>
        <w:t>2.5</w:t>
      </w:r>
      <w:r>
        <w:rPr>
          <w:rFonts w:eastAsiaTheme="minorEastAsia"/>
        </w:rPr>
        <w:t xml:space="preserve"> concentrations in grid cell </w:t>
      </w:r>
      <m:oMath>
        <m:r>
          <w:rPr>
            <w:rFonts w:ascii="Cambria Math" w:eastAsiaTheme="minorEastAsia" w:hAnsi="Cambria Math"/>
          </w:rPr>
          <m:t>i</m:t>
        </m:r>
      </m:oMath>
      <w:r>
        <w:rPr>
          <w:rFonts w:eastAsiaTheme="minorEastAsia"/>
        </w:rPr>
        <w:t xml:space="preserve"> when emissions </w:t>
      </w:r>
      <m:oMath>
        <m:r>
          <w:rPr>
            <w:rFonts w:ascii="Cambria Math" w:eastAsiaTheme="minorEastAsia" w:hAnsi="Cambria Math"/>
          </w:rPr>
          <m:t>E</m:t>
        </m:r>
      </m:oMath>
      <w:r>
        <w:rPr>
          <w:rFonts w:eastAsiaTheme="minorEastAsia"/>
        </w:rPr>
        <w:t xml:space="preserve"> of pollutant </w:t>
      </w:r>
      <m:oMath>
        <m:r>
          <w:rPr>
            <w:rFonts w:ascii="Cambria Math" w:eastAsiaTheme="minorEastAsia" w:hAnsi="Cambria Math"/>
          </w:rPr>
          <m:t>p</m:t>
        </m:r>
      </m:oMath>
      <w:r>
        <w:rPr>
          <w:rFonts w:eastAsiaTheme="minorEastAsia"/>
        </w:rPr>
        <w:t xml:space="preserve"> from source region </w:t>
      </w:r>
      <m:oMath>
        <m:r>
          <w:rPr>
            <w:rFonts w:ascii="Cambria Math" w:eastAsiaTheme="minorEastAsia" w:hAnsi="Cambria Math"/>
          </w:rPr>
          <m:t>j</m:t>
        </m:r>
      </m:oMath>
      <w:r>
        <w:rPr>
          <w:rFonts w:eastAsiaTheme="minorEastAsia"/>
        </w:rPr>
        <w:t xml:space="preserve"> are changed. For easier reading, we use upper indices on </w:t>
      </w:r>
      <m:oMath>
        <m:r>
          <w:rPr>
            <w:rFonts w:ascii="Cambria Math" w:eastAsiaTheme="minorEastAsia" w:hAnsi="Cambria Math"/>
          </w:rPr>
          <m:t>π</m:t>
        </m:r>
      </m:oMath>
      <w:r>
        <w:rPr>
          <w:rFonts w:eastAsiaTheme="minorEastAsia"/>
        </w:rPr>
        <w:t xml:space="preserve"> for sources and lower indices for receptor grid cells. </w:t>
      </w:r>
    </w:p>
    <w:p w14:paraId="1E579242" w14:textId="77777777" w:rsidR="006D047F" w:rsidRDefault="006D047F" w:rsidP="00C32047">
      <w:pPr>
        <w:spacing w:line="360" w:lineRule="auto"/>
      </w:pPr>
    </w:p>
    <w:p w14:paraId="2092A414" w14:textId="6910B2AF" w:rsidR="006D047F" w:rsidRDefault="006D047F" w:rsidP="00C32047">
      <w:pPr>
        <w:spacing w:line="360" w:lineRule="auto"/>
        <w:jc w:val="both"/>
      </w:pPr>
      <w:r>
        <w:t>The 0.5⁰ resolution is not sufficient to capture local gradients of ambient PM</w:t>
      </w:r>
      <w:r w:rsidR="00192BEA" w:rsidRPr="00192BEA">
        <w:rPr>
          <w:vertAlign w:val="subscript"/>
        </w:rPr>
        <w:t>2.5</w:t>
      </w:r>
      <w:r>
        <w:t>, which are mostly related to near-ground emissions from sources such as traffic, residential combustion, and waste burning. Therefore, on top of these ordinary transfer coefficient calculations, two global simulations with 0.1</w:t>
      </w:r>
      <w:r>
        <w:rPr>
          <w:rFonts w:cstheme="minorHAnsi"/>
        </w:rPr>
        <w:t>⁰</w:t>
      </w:r>
      <w:r>
        <w:t xml:space="preserve"> resolution were conducted for meteorological year 2015: a base case simulation, and a simulation in which all residential emissions from located urban areas (all pollutants) were reduced by 30% simultaneously. This additional reduction run was used to split the PPM low-level transfer coefficient into urban and non-urban, and to split the SO</w:t>
      </w:r>
      <w:r>
        <w:rPr>
          <w:vertAlign w:val="subscript"/>
        </w:rPr>
        <w:t>2</w:t>
      </w:r>
      <w:r>
        <w:t xml:space="preserve"> and NO</w:t>
      </w:r>
      <w:r>
        <w:rPr>
          <w:vertAlign w:val="subscript"/>
        </w:rPr>
        <w:t>x</w:t>
      </w:r>
      <w:r>
        <w:t xml:space="preserve"> transfer coefficients (</w:t>
      </w:r>
      <m:oMath>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Sj</m:t>
            </m:r>
          </m:sup>
        </m:sSubSup>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Nj</m:t>
            </m:r>
          </m:sup>
        </m:sSubSup>
      </m:oMath>
      <w:r>
        <w:rPr>
          <w:rFonts w:eastAsiaTheme="minorEastAsia"/>
        </w:rPr>
        <w:t xml:space="preserve">) </w:t>
      </w:r>
      <w:r>
        <w:t>into low-level urban and the rest.</w:t>
      </w:r>
    </w:p>
    <w:p w14:paraId="34AD4C49" w14:textId="77777777" w:rsidR="006D047F" w:rsidRDefault="006D047F" w:rsidP="00C32047">
      <w:pPr>
        <w:spacing w:line="360" w:lineRule="auto"/>
      </w:pPr>
    </w:p>
    <w:p w14:paraId="77546F1F" w14:textId="77777777" w:rsidR="006D047F" w:rsidRDefault="006D047F" w:rsidP="00C32047">
      <w:pPr>
        <w:spacing w:line="360" w:lineRule="auto"/>
        <w:jc w:val="both"/>
      </w:pPr>
      <w:r>
        <w:lastRenderedPageBreak/>
        <w:t>While the overall urban reduction simulation allows to identify contributions from cities versus rural areas, the contributions of different source regions are not identified from these two simulations. Here we use the region-specific contributions from low-level sources to the respective 0.5⁰ grid cell to split the effects from urban emission reductions into source regions:</w:t>
      </w:r>
    </w:p>
    <w:p w14:paraId="7D37F9F6" w14:textId="77777777" w:rsidR="006D047F" w:rsidRDefault="006D047F" w:rsidP="00C32047">
      <w:pPr>
        <w:spacing w:line="360" w:lineRule="auto"/>
      </w:pPr>
    </w:p>
    <w:p w14:paraId="677D3C63" w14:textId="68342B3D" w:rsidR="006D047F" w:rsidRDefault="00A61553" w:rsidP="00C32047">
      <w:pPr>
        <w:spacing w:line="360" w:lineRule="auto"/>
        <w:rPr>
          <w:iCs/>
        </w:rPr>
      </w:pPr>
      <m:oMathPara>
        <m:oMath>
          <m:sSubSup>
            <m:sSubSupPr>
              <m:ctrlPr>
                <w:rPr>
                  <w:rFonts w:ascii="Cambria Math" w:hAnsi="Cambria Math"/>
                  <w:i/>
                </w:rPr>
              </m:ctrlPr>
            </m:sSubSupPr>
            <m:e>
              <m:r>
                <m:rPr>
                  <m:sty m:val="p"/>
                </m:rPr>
                <w:rPr>
                  <w:rFonts w:ascii="Cambria Math" w:hAnsi="Cambria Math"/>
                </w:rPr>
                <m:t>Δ</m:t>
              </m:r>
              <m:d>
                <m:dPr>
                  <m:begChr m:val="["/>
                  <m:endChr m:val="]"/>
                  <m:ctrlPr>
                    <w:rPr>
                      <w:rFonts w:ascii="Cambria Math" w:hAnsi="Cambria Math"/>
                      <w:i/>
                    </w:rPr>
                  </m:ctrlPr>
                </m:dPr>
                <m:e>
                  <m:sSub>
                    <m:sSubPr>
                      <m:ctrlPr>
                        <w:rPr>
                          <w:rFonts w:ascii="Cambria Math" w:hAnsi="Cambria Math"/>
                          <w:iCs/>
                        </w:rPr>
                      </m:ctrlPr>
                    </m:sSubPr>
                    <m:e>
                      <m:r>
                        <m:rPr>
                          <m:sty m:val="p"/>
                        </m:rPr>
                        <w:rPr>
                          <w:rFonts w:ascii="Cambria Math" w:hAnsi="Cambria Math"/>
                        </w:rPr>
                        <m:t>PPM</m:t>
                      </m:r>
                      <m:ctrlPr>
                        <w:rPr>
                          <w:rFonts w:ascii="Cambria Math" w:hAnsi="Cambria Math"/>
                          <w:i/>
                        </w:rPr>
                      </m:ctrlPr>
                    </m:e>
                    <m:sub>
                      <m:r>
                        <m:rPr>
                          <m:sty m:val="p"/>
                        </m:rPr>
                        <w:rPr>
                          <w:rFonts w:ascii="Cambria Math" w:hAnsi="Cambria Math"/>
                          <w:vertAlign w:val="subscript"/>
                        </w:rPr>
                        <m:t>2.5</m:t>
                      </m:r>
                    </m:sub>
                  </m:sSub>
                </m:e>
              </m:d>
            </m:e>
            <m:sub>
              <m:r>
                <w:rPr>
                  <w:rFonts w:ascii="Cambria Math" w:hAnsi="Cambria Math"/>
                </w:rPr>
                <m:t>m</m:t>
              </m:r>
            </m:sub>
            <m:sup>
              <m:r>
                <w:rPr>
                  <w:rFonts w:ascii="Cambria Math" w:hAnsi="Cambria Math"/>
                </w:rPr>
                <m:t>Lju</m:t>
              </m:r>
            </m:sup>
          </m:sSubSup>
          <m:r>
            <w:rPr>
              <w:rFonts w:ascii="Cambria Math" w:hAnsi="Cambria Math"/>
            </w:rPr>
            <m:t>=</m:t>
          </m:r>
          <m:r>
            <m:rPr>
              <m:sty m:val="p"/>
            </m:rPr>
            <w:rPr>
              <w:rFonts w:ascii="Cambria Math" w:hAnsi="Cambria Math"/>
            </w:rPr>
            <m:t>Δ</m:t>
          </m:r>
          <m:sSubSup>
            <m:sSubSupPr>
              <m:ctrlPr>
                <w:rPr>
                  <w:rFonts w:ascii="Cambria Math" w:hAnsi="Cambria Math"/>
                  <w:i/>
                  <w:iCs/>
                </w:rPr>
              </m:ctrlPr>
            </m:sSubSupPr>
            <m:e>
              <m:d>
                <m:dPr>
                  <m:begChr m:val="["/>
                  <m:endChr m:val="]"/>
                  <m:ctrlPr>
                    <w:rPr>
                      <w:rFonts w:ascii="Cambria Math" w:hAnsi="Cambria Math"/>
                      <w:i/>
                    </w:rPr>
                  </m:ctrlPr>
                </m:dPr>
                <m:e>
                  <m:sSub>
                    <m:sSubPr>
                      <m:ctrlPr>
                        <w:rPr>
                          <w:rFonts w:ascii="Cambria Math" w:hAnsi="Cambria Math"/>
                          <w:iCs/>
                        </w:rPr>
                      </m:ctrlPr>
                    </m:sSubPr>
                    <m:e>
                      <m:r>
                        <m:rPr>
                          <m:sty m:val="p"/>
                        </m:rPr>
                        <w:rPr>
                          <w:rFonts w:ascii="Cambria Math" w:hAnsi="Cambria Math"/>
                        </w:rPr>
                        <m:t>PPM</m:t>
                      </m:r>
                      <m:ctrlPr>
                        <w:rPr>
                          <w:rFonts w:ascii="Cambria Math" w:hAnsi="Cambria Math"/>
                          <w:i/>
                        </w:rPr>
                      </m:ctrlPr>
                    </m:e>
                    <m:sub>
                      <m:r>
                        <m:rPr>
                          <m:sty m:val="p"/>
                        </m:rPr>
                        <w:rPr>
                          <w:rFonts w:ascii="Cambria Math" w:hAnsi="Cambria Math"/>
                          <w:vertAlign w:val="subscript"/>
                        </w:rPr>
                        <m:t>2.5</m:t>
                      </m:r>
                    </m:sub>
                  </m:sSub>
                  <m:ctrlPr>
                    <w:rPr>
                      <w:rFonts w:ascii="Cambria Math" w:hAnsi="Cambria Math"/>
                      <w:i/>
                      <w:iCs/>
                    </w:rPr>
                  </m:ctrlPr>
                </m:e>
              </m:d>
            </m:e>
            <m:sub>
              <m:r>
                <w:rPr>
                  <w:rFonts w:ascii="Cambria Math" w:hAnsi="Cambria Math"/>
                </w:rPr>
                <m:t>m</m:t>
              </m:r>
            </m:sub>
            <m:sup>
              <m:r>
                <w:rPr>
                  <w:rFonts w:ascii="Cambria Math" w:hAnsi="Cambria Math"/>
                </w:rPr>
                <m:t>u</m:t>
              </m:r>
            </m:sup>
          </m:sSubSup>
          <m:r>
            <w:rPr>
              <w:rFonts w:ascii="Cambria Math" w:hAnsi="Cambria Math"/>
            </w:rPr>
            <m:t>⋅</m:t>
          </m:r>
          <m:sSubSup>
            <m:sSubSupPr>
              <m:ctrlPr>
                <w:rPr>
                  <w:rFonts w:ascii="Cambria Math" w:hAnsi="Cambria Math"/>
                  <w:i/>
                  <w:iCs/>
                </w:rPr>
              </m:ctrlPr>
            </m:sSubSupPr>
            <m:e>
              <m:r>
                <w:rPr>
                  <w:rFonts w:ascii="Cambria Math" w:hAnsi="Cambria Math"/>
                </w:rPr>
                <m:t>π</m:t>
              </m:r>
            </m:e>
            <m:sub>
              <m:r>
                <w:rPr>
                  <w:rFonts w:ascii="Cambria Math" w:hAnsi="Cambria Math"/>
                </w:rPr>
                <m:t>i</m:t>
              </m:r>
            </m:sub>
            <m:sup>
              <m:r>
                <w:rPr>
                  <w:rFonts w:ascii="Cambria Math" w:hAnsi="Cambria Math"/>
                </w:rPr>
                <m:t>PLj</m:t>
              </m:r>
            </m:sup>
          </m:sSubSup>
        </m:oMath>
      </m:oMathPara>
    </w:p>
    <w:p w14:paraId="4A82A311" w14:textId="77777777" w:rsidR="006D047F" w:rsidRDefault="006D047F" w:rsidP="00C32047">
      <w:pPr>
        <w:spacing w:line="360" w:lineRule="auto"/>
      </w:pPr>
    </w:p>
    <w:p w14:paraId="10B69BBF" w14:textId="77777777" w:rsidR="006D047F" w:rsidRDefault="006D047F" w:rsidP="00C32047">
      <w:pPr>
        <w:spacing w:line="360" w:lineRule="auto"/>
        <w:jc w:val="both"/>
        <w:rPr>
          <w:rFonts w:eastAsiaTheme="minorEastAsia"/>
        </w:rPr>
      </w:pPr>
      <w:r>
        <w:t xml:space="preserve">where </w:t>
      </w:r>
      <m:oMath>
        <m:r>
          <w:rPr>
            <w:rFonts w:ascii="Cambria Math" w:hAnsi="Cambria Math"/>
          </w:rPr>
          <m:t>j</m:t>
        </m:r>
      </m:oMath>
      <w:r>
        <w:rPr>
          <w:rFonts w:eastAsiaTheme="minorEastAsia"/>
        </w:rPr>
        <w:t xml:space="preserve"> is the source region, </w:t>
      </w:r>
      <m:oMath>
        <m:r>
          <w:rPr>
            <w:rFonts w:ascii="Cambria Math" w:eastAsiaTheme="minorEastAsia" w:hAnsi="Cambria Math"/>
          </w:rPr>
          <m:t>u</m:t>
        </m:r>
      </m:oMath>
      <w:r>
        <w:rPr>
          <w:rFonts w:eastAsiaTheme="minorEastAsia"/>
        </w:rPr>
        <w:t xml:space="preserve"> the urban origin, </w:t>
      </w:r>
      <m:oMath>
        <m:r>
          <w:rPr>
            <w:rFonts w:ascii="Cambria Math" w:eastAsiaTheme="minorEastAsia" w:hAnsi="Cambria Math"/>
          </w:rPr>
          <m:t>m</m:t>
        </m:r>
      </m:oMath>
      <w:r>
        <w:rPr>
          <w:rFonts w:eastAsiaTheme="minorEastAsia"/>
        </w:rPr>
        <w:t xml:space="preserve"> the 0.1⁰ receptor grid cell, and </w:t>
      </w:r>
      <m:oMath>
        <m:r>
          <w:rPr>
            <w:rFonts w:ascii="Cambria Math" w:eastAsiaTheme="minorEastAsia" w:hAnsi="Cambria Math"/>
          </w:rPr>
          <m:t>i</m:t>
        </m:r>
      </m:oMath>
      <w:r>
        <w:rPr>
          <w:rFonts w:eastAsiaTheme="minorEastAsia"/>
        </w:rPr>
        <w:t xml:space="preserve"> the 0.5⁰ grid cell which contains </w:t>
      </w:r>
      <m:oMath>
        <m:r>
          <w:rPr>
            <w:rFonts w:ascii="Cambria Math" w:eastAsiaTheme="minorEastAsia" w:hAnsi="Cambria Math"/>
          </w:rPr>
          <m:t>m</m:t>
        </m:r>
      </m:oMath>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j</m:t>
            </m:r>
          </m:sup>
        </m:sSubSup>
      </m:oMath>
      <w:r>
        <w:rPr>
          <w:rFonts w:eastAsiaTheme="minorEastAsia"/>
        </w:rPr>
        <w:t xml:space="preserve"> are the transfer coefficients for PPM from low-level sources in region </w:t>
      </w:r>
      <m:oMath>
        <m:r>
          <w:rPr>
            <w:rFonts w:ascii="Cambria Math" w:eastAsiaTheme="minorEastAsia" w:hAnsi="Cambria Math"/>
          </w:rPr>
          <m:t>j</m:t>
        </m:r>
      </m:oMath>
      <w:r>
        <w:rPr>
          <w:rFonts w:eastAsiaTheme="minorEastAsia"/>
        </w:rPr>
        <w:t xml:space="preserve"> to grid cell </w:t>
      </w:r>
      <m:oMath>
        <m:r>
          <w:rPr>
            <w:rFonts w:ascii="Cambria Math" w:eastAsiaTheme="minorEastAsia" w:hAnsi="Cambria Math"/>
          </w:rPr>
          <m:t>i</m:t>
        </m:r>
      </m:oMath>
      <w:r>
        <w:rPr>
          <w:rFonts w:eastAsiaTheme="minorEastAsia"/>
        </w:rPr>
        <w:t xml:space="preserve">. The corresponding transfer coefficient from low-level urban emissions in region </w:t>
      </w:r>
      <m:oMath>
        <m:r>
          <w:rPr>
            <w:rFonts w:ascii="Cambria Math" w:eastAsiaTheme="minorEastAsia" w:hAnsi="Cambria Math"/>
          </w:rPr>
          <m:t>j</m:t>
        </m:r>
      </m:oMath>
      <w:r>
        <w:rPr>
          <w:rFonts w:eastAsiaTheme="minorEastAsia"/>
        </w:rPr>
        <w:t xml:space="preserve"> to grid cell </w:t>
      </w:r>
      <m:oMath>
        <m:r>
          <w:rPr>
            <w:rFonts w:ascii="Cambria Math" w:eastAsiaTheme="minorEastAsia" w:hAnsi="Cambria Math"/>
          </w:rPr>
          <m:t>m</m:t>
        </m:r>
      </m:oMath>
      <w:r>
        <w:rPr>
          <w:rFonts w:eastAsiaTheme="minorEastAsia"/>
        </w:rPr>
        <w:t xml:space="preserve"> is then defined by dividing the changes in grid concentrations by the urban PPM emissions from region </w:t>
      </w:r>
      <m:oMath>
        <m:r>
          <w:rPr>
            <w:rFonts w:ascii="Cambria Math" w:eastAsiaTheme="minorEastAsia" w:hAnsi="Cambria Math"/>
          </w:rPr>
          <m:t>j</m:t>
        </m:r>
      </m:oMath>
      <w:r>
        <w:rPr>
          <w:rFonts w:eastAsiaTheme="minorEastAsia"/>
        </w:rPr>
        <w:t>,</w:t>
      </w:r>
    </w:p>
    <w:p w14:paraId="48819653" w14:textId="24DC5C57" w:rsidR="006D047F" w:rsidRDefault="00A61553" w:rsidP="00C32047">
      <w:pPr>
        <w:spacing w:line="360" w:lineRule="auto"/>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m</m:t>
              </m:r>
            </m:sub>
            <m:sup>
              <m:r>
                <w:rPr>
                  <w:rFonts w:ascii="Cambria Math" w:eastAsiaTheme="minorEastAsia" w:hAnsi="Cambria Math"/>
                </w:rPr>
                <m:t>PLju</m:t>
              </m:r>
            </m:sup>
          </m:sSubSup>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Δ</m:t>
              </m:r>
              <m:sSubSup>
                <m:sSubSupPr>
                  <m:ctrlPr>
                    <w:rPr>
                      <w:rFonts w:ascii="Cambria Math" w:eastAsiaTheme="minorEastAsia" w:hAnsi="Cambria Math"/>
                      <w:i/>
                      <w:iCs/>
                    </w:rPr>
                  </m:ctrlPr>
                </m:sSubSupPr>
                <m:e>
                  <m:d>
                    <m:dPr>
                      <m:begChr m:val="["/>
                      <m:endChr m:val="]"/>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PPM</m:t>
                          </m:r>
                          <m:ctrlPr>
                            <w:rPr>
                              <w:rFonts w:ascii="Cambria Math" w:eastAsiaTheme="minorEastAsia" w:hAnsi="Cambria Math"/>
                              <w:i/>
                            </w:rPr>
                          </m:ctrlPr>
                        </m:e>
                        <m:sub>
                          <m:r>
                            <m:rPr>
                              <m:sty m:val="p"/>
                            </m:rPr>
                            <w:rPr>
                              <w:rFonts w:ascii="Cambria Math" w:eastAsiaTheme="minorEastAsia" w:hAnsi="Cambria Math"/>
                              <w:vertAlign w:val="subscript"/>
                            </w:rPr>
                            <m:t>2.5</m:t>
                          </m:r>
                        </m:sub>
                      </m:sSub>
                      <m:ctrlPr>
                        <w:rPr>
                          <w:rFonts w:ascii="Cambria Math" w:eastAsiaTheme="minorEastAsia" w:hAnsi="Cambria Math"/>
                          <w:i/>
                          <w:iCs/>
                        </w:rPr>
                      </m:ctrlPr>
                    </m:e>
                  </m:d>
                </m:e>
                <m:sub>
                  <m:r>
                    <w:rPr>
                      <w:rFonts w:ascii="Cambria Math" w:eastAsiaTheme="minorEastAsia" w:hAnsi="Cambria Math"/>
                    </w:rPr>
                    <m:t>m</m:t>
                  </m:r>
                </m:sub>
                <m:sup>
                  <m:r>
                    <w:rPr>
                      <w:rFonts w:ascii="Cambria Math" w:eastAsiaTheme="minorEastAsia" w:hAnsi="Cambria Math"/>
                    </w:rPr>
                    <m:t>ju</m:t>
                  </m:r>
                </m:sup>
              </m:sSubSup>
            </m:num>
            <m:den>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E</m:t>
                  </m:r>
                </m:e>
                <m:sub/>
                <m:sup>
                  <m:r>
                    <w:rPr>
                      <w:rFonts w:ascii="Cambria Math" w:eastAsiaTheme="minorEastAsia" w:hAnsi="Cambria Math"/>
                    </w:rPr>
                    <m:t>Pju</m:t>
                  </m:r>
                </m:sup>
              </m:sSubSup>
            </m:den>
          </m:f>
        </m:oMath>
      </m:oMathPara>
    </w:p>
    <w:p w14:paraId="2E70C0E0" w14:textId="77777777" w:rsidR="006D047F" w:rsidRDefault="006D047F" w:rsidP="00C32047">
      <w:pPr>
        <w:spacing w:line="360" w:lineRule="auto"/>
        <w:rPr>
          <w:rFonts w:eastAsiaTheme="minorEastAsia"/>
        </w:rPr>
      </w:pPr>
    </w:p>
    <w:p w14:paraId="36A4193B" w14:textId="77777777" w:rsidR="006D047F" w:rsidRDefault="006D047F" w:rsidP="00472D2C">
      <w:pPr>
        <w:spacing w:line="360" w:lineRule="auto"/>
        <w:jc w:val="both"/>
        <w:rPr>
          <w:rFonts w:eastAsiaTheme="minorEastAsia"/>
        </w:rPr>
      </w:pPr>
      <w:r>
        <w:rPr>
          <w:rFonts w:eastAsiaTheme="minorEastAsia"/>
        </w:rPr>
        <w:t xml:space="preserve">Since doing a separate reduction simulation for rural low-level emissions at 0.1⁰ resolution was not feasible due to financial and time constraints, the transfer coefficient for rural low-level PPM emissions is estimated from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PLj</m:t>
            </m:r>
          </m:sup>
        </m:sSubSup>
      </m:oMath>
      <w:r>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m</m:t>
            </m:r>
          </m:sub>
          <m:sup>
            <m:r>
              <w:rPr>
                <w:rFonts w:ascii="Cambria Math" w:eastAsiaTheme="minorEastAsia" w:hAnsi="Cambria Math"/>
              </w:rPr>
              <m:t>PLju</m:t>
            </m:r>
          </m:sup>
        </m:sSubSup>
      </m:oMath>
      <w:r>
        <w:rPr>
          <w:rFonts w:eastAsiaTheme="minorEastAsia"/>
        </w:rPr>
        <w:t xml:space="preserve">. For this purpose, the residual between urban and total low-level PPM transfer coefficient at the 0.5⁰ resolution is linked to rural low-level PPM emissions to define the equivalent transfer coefficient from rural low-level sources to ambient PM concentrations, </w:t>
      </w:r>
    </w:p>
    <w:p w14:paraId="5068CDB1" w14:textId="77777777" w:rsidR="006D047F" w:rsidRDefault="006D047F" w:rsidP="00472D2C">
      <w:pPr>
        <w:spacing w:line="360" w:lineRule="auto"/>
        <w:jc w:val="both"/>
        <w:rPr>
          <w:rFonts w:eastAsiaTheme="minorEastAsia"/>
        </w:rPr>
      </w:pPr>
    </w:p>
    <w:p w14:paraId="5FA7D04C" w14:textId="77777777" w:rsidR="006D047F" w:rsidRDefault="00A61553" w:rsidP="00472D2C">
      <w:pPr>
        <w:spacing w:line="360" w:lineRule="auto"/>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PLjr</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Pj,SNAP2</m:t>
                  </m:r>
                </m:sup>
              </m:sSup>
              <m:sSubSup>
                <m:sSubSupPr>
                  <m:ctrlPr>
                    <w:rPr>
                      <w:rFonts w:ascii="Cambria Math" w:eastAsiaTheme="minorEastAsia" w:hAnsi="Cambria Math"/>
                      <w:i/>
                      <w:iCs/>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PLj</m:t>
                  </m:r>
                </m:sup>
              </m:sSubSup>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Pj,SNAP2</m:t>
                  </m:r>
                </m:sup>
              </m:sSup>
              <m:sSubSup>
                <m:sSubSupPr>
                  <m:ctrlPr>
                    <w:rPr>
                      <w:rFonts w:ascii="Cambria Math" w:eastAsiaTheme="minorEastAsia" w:hAnsi="Cambria Math"/>
                      <w:i/>
                      <w:iCs/>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PLju</m:t>
                  </m:r>
                </m:sup>
              </m:sSubSup>
            </m:num>
            <m:den>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Pju,SNAP2</m:t>
                  </m:r>
                </m:sup>
              </m:sSup>
            </m:den>
          </m:f>
        </m:oMath>
      </m:oMathPara>
    </w:p>
    <w:p w14:paraId="43EEDB03" w14:textId="77777777" w:rsidR="006D047F" w:rsidRDefault="006D047F" w:rsidP="00472D2C">
      <w:pPr>
        <w:spacing w:line="360" w:lineRule="auto"/>
        <w:jc w:val="both"/>
        <w:rPr>
          <w:rFonts w:eastAsiaTheme="minorEastAsia"/>
        </w:rPr>
      </w:pPr>
    </w:p>
    <w:p w14:paraId="3D54CF0B" w14:textId="2FBAA36B" w:rsidR="006D047F" w:rsidRDefault="006D047F" w:rsidP="00472D2C">
      <w:pPr>
        <w:spacing w:line="360" w:lineRule="auto"/>
        <w:jc w:val="both"/>
        <w:rPr>
          <w:rFonts w:eastAsiaTheme="minorEastAsia"/>
        </w:rPr>
      </w:pPr>
      <w:r>
        <w:rPr>
          <w:rFonts w:eastAsiaTheme="minorEastAsia"/>
        </w:rPr>
        <w:t xml:space="preserve">To represent the variability of this transfer coefficient at 0.1⁰ level, we apply the pattern of sub-grid variability of PPM in the 0.1⁰ base case simulation, after subtracting the total contribution from urban low-level emissions estimated as </w:t>
      </w:r>
      <m:oMath>
        <m:sSub>
          <m:sSubPr>
            <m:ctrlPr>
              <w:rPr>
                <w:rFonts w:ascii="Cambria Math" w:eastAsiaTheme="minorEastAsia" w:hAnsi="Cambria Math"/>
                <w:i/>
                <w:iCs/>
              </w:rPr>
            </m:ctrlPr>
          </m:sSubPr>
          <m:e>
            <m:d>
              <m:dPr>
                <m:begChr m:val="["/>
                <m:endChr m:val="]"/>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PPM</m:t>
                    </m:r>
                    <m:ctrlPr>
                      <w:rPr>
                        <w:rFonts w:ascii="Cambria Math" w:eastAsiaTheme="minorEastAsia" w:hAnsi="Cambria Math"/>
                        <w:i/>
                      </w:rPr>
                    </m:ctrlPr>
                  </m:e>
                  <m:sub>
                    <m:r>
                      <m:rPr>
                        <m:sty m:val="p"/>
                      </m:rPr>
                      <w:rPr>
                        <w:rFonts w:ascii="Cambria Math" w:eastAsiaTheme="minorEastAsia" w:hAnsi="Cambria Math"/>
                        <w:vertAlign w:val="subscript"/>
                      </w:rPr>
                      <m:t>2.5</m:t>
                    </m:r>
                  </m:sub>
                </m:sSub>
                <m:ctrlPr>
                  <w:rPr>
                    <w:rFonts w:ascii="Cambria Math" w:eastAsiaTheme="minorEastAsia" w:hAnsi="Cambria Math"/>
                    <w:i/>
                    <w:iCs/>
                  </w:rPr>
                </m:ctrlPr>
              </m:e>
            </m:d>
          </m:e>
          <m:sub>
            <m:r>
              <w:rPr>
                <w:rFonts w:ascii="Cambria Math" w:eastAsiaTheme="minorEastAsia" w:hAnsi="Cambria Math"/>
              </w:rPr>
              <m:t>base,m</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iCs/>
                  </w:rPr>
                </m:ctrlPr>
              </m:dPr>
              <m:e>
                <m:sSub>
                  <m:sSubPr>
                    <m:ctrlPr>
                      <w:rPr>
                        <w:rFonts w:ascii="Cambria Math" w:eastAsiaTheme="minorEastAsia" w:hAnsi="Cambria Math"/>
                        <w:i/>
                        <w:iCs/>
                      </w:rPr>
                    </m:ctrlPr>
                  </m:sSubPr>
                  <m:e>
                    <m:d>
                      <m:dPr>
                        <m:begChr m:val="["/>
                        <m:endChr m:val="]"/>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PPM</m:t>
                            </m:r>
                            <m:ctrlPr>
                              <w:rPr>
                                <w:rFonts w:ascii="Cambria Math" w:eastAsiaTheme="minorEastAsia" w:hAnsi="Cambria Math"/>
                                <w:i/>
                              </w:rPr>
                            </m:ctrlPr>
                          </m:e>
                          <m:sub>
                            <m:r>
                              <m:rPr>
                                <m:sty m:val="p"/>
                              </m:rPr>
                              <w:rPr>
                                <w:rFonts w:ascii="Cambria Math" w:eastAsiaTheme="minorEastAsia" w:hAnsi="Cambria Math"/>
                                <w:vertAlign w:val="subscript"/>
                              </w:rPr>
                              <m:t>2.5</m:t>
                            </m:r>
                          </m:sub>
                        </m:sSub>
                        <m:ctrlPr>
                          <w:rPr>
                            <w:rFonts w:ascii="Cambria Math" w:eastAsiaTheme="minorEastAsia" w:hAnsi="Cambria Math"/>
                            <w:i/>
                            <w:iCs/>
                          </w:rPr>
                        </m:ctrlPr>
                      </m:e>
                    </m:d>
                  </m:e>
                  <m:sub>
                    <m:r>
                      <w:rPr>
                        <w:rFonts w:ascii="Cambria Math" w:eastAsiaTheme="minorEastAsia" w:hAnsi="Cambria Math"/>
                      </w:rPr>
                      <m:t>base,m</m:t>
                    </m:r>
                  </m:sub>
                </m:sSub>
                <m:r>
                  <w:rPr>
                    <w:rFonts w:ascii="Cambria Math" w:eastAsiaTheme="minorEastAsia" w:hAnsi="Cambria Math"/>
                  </w:rPr>
                  <m:t>-</m:t>
                </m:r>
                <m:sSub>
                  <m:sSubPr>
                    <m:ctrlPr>
                      <w:rPr>
                        <w:rFonts w:ascii="Cambria Math" w:eastAsiaTheme="minorEastAsia" w:hAnsi="Cambria Math"/>
                        <w:i/>
                        <w:iCs/>
                      </w:rPr>
                    </m:ctrlPr>
                  </m:sSubPr>
                  <m:e>
                    <m:d>
                      <m:dPr>
                        <m:begChr m:val="["/>
                        <m:endChr m:val="]"/>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PPM</m:t>
                            </m:r>
                            <m:ctrlPr>
                              <w:rPr>
                                <w:rFonts w:ascii="Cambria Math" w:eastAsiaTheme="minorEastAsia" w:hAnsi="Cambria Math"/>
                                <w:i/>
                              </w:rPr>
                            </m:ctrlPr>
                          </m:e>
                          <m:sub>
                            <m:r>
                              <m:rPr>
                                <m:sty m:val="p"/>
                              </m:rPr>
                              <w:rPr>
                                <w:rFonts w:ascii="Cambria Math" w:eastAsiaTheme="minorEastAsia" w:hAnsi="Cambria Math"/>
                                <w:vertAlign w:val="subscript"/>
                              </w:rPr>
                              <m:t>2.5</m:t>
                            </m:r>
                          </m:sub>
                        </m:sSub>
                        <m:ctrlPr>
                          <w:rPr>
                            <w:rFonts w:ascii="Cambria Math" w:eastAsiaTheme="minorEastAsia" w:hAnsi="Cambria Math"/>
                            <w:i/>
                            <w:iCs/>
                          </w:rPr>
                        </m:ctrlPr>
                      </m:e>
                    </m:d>
                  </m:e>
                  <m:sub>
                    <m:r>
                      <w:rPr>
                        <w:rFonts w:ascii="Cambria Math" w:eastAsiaTheme="minorEastAsia" w:hAnsi="Cambria Math"/>
                      </w:rPr>
                      <m:t>red,m</m:t>
                    </m:r>
                  </m:sub>
                </m:sSub>
              </m:e>
            </m:d>
          </m:num>
          <m:den>
            <m:r>
              <w:rPr>
                <w:rFonts w:ascii="Cambria Math" w:eastAsiaTheme="minorEastAsia" w:hAnsi="Cambria Math"/>
              </w:rPr>
              <m:t>0.3</m:t>
            </m:r>
          </m:den>
        </m:f>
      </m:oMath>
      <w:r>
        <w:rPr>
          <w:rFonts w:eastAsiaTheme="minorEastAsia"/>
        </w:rPr>
        <w:t xml:space="preserve">. </w:t>
      </w:r>
    </w:p>
    <w:p w14:paraId="7997A160" w14:textId="77777777" w:rsidR="006D047F" w:rsidRDefault="006D047F" w:rsidP="00472D2C">
      <w:pPr>
        <w:spacing w:line="360" w:lineRule="auto"/>
        <w:jc w:val="both"/>
        <w:rPr>
          <w:rFonts w:eastAsiaTheme="minorEastAsia"/>
        </w:rPr>
      </w:pPr>
    </w:p>
    <w:p w14:paraId="4916CB8C" w14:textId="77777777" w:rsidR="006D047F" w:rsidRDefault="006D047F" w:rsidP="00472D2C">
      <w:pPr>
        <w:spacing w:line="360" w:lineRule="auto"/>
        <w:jc w:val="both"/>
        <w:rPr>
          <w:rFonts w:eastAsiaTheme="minorEastAsia"/>
        </w:rPr>
      </w:pPr>
      <w:r>
        <w:rPr>
          <w:rFonts w:eastAsiaTheme="minorEastAsia"/>
        </w:rPr>
        <w:t>Equivalently, modelled changes in SO</w:t>
      </w:r>
      <w:r>
        <w:rPr>
          <w:rFonts w:eastAsiaTheme="minorEastAsia"/>
          <w:vertAlign w:val="subscript"/>
        </w:rPr>
        <w:t>4</w:t>
      </w:r>
      <w:r>
        <w:rPr>
          <w:rFonts w:eastAsiaTheme="minorEastAsia"/>
          <w:vertAlign w:val="superscript"/>
        </w:rPr>
        <w:t>2-</w:t>
      </w:r>
      <w:r>
        <w:rPr>
          <w:rFonts w:eastAsiaTheme="minorEastAsia"/>
        </w:rPr>
        <w:t xml:space="preserve"> from the urban reduction simulation are linked to changes in urban residential SO</w:t>
      </w:r>
      <w:r>
        <w:rPr>
          <w:rFonts w:eastAsiaTheme="minorEastAsia"/>
          <w:vertAlign w:val="subscript"/>
        </w:rPr>
        <w:t>2</w:t>
      </w:r>
      <w:r>
        <w:rPr>
          <w:rFonts w:eastAsiaTheme="minorEastAsia"/>
        </w:rPr>
        <w:t xml:space="preserve"> emissions to construct an SO</w:t>
      </w:r>
      <w:r>
        <w:rPr>
          <w:rFonts w:eastAsiaTheme="minorEastAsia"/>
          <w:vertAlign w:val="subscript"/>
        </w:rPr>
        <w:t>2</w:t>
      </w:r>
      <w:r>
        <w:rPr>
          <w:rFonts w:eastAsiaTheme="minorEastAsia"/>
        </w:rPr>
        <w:t xml:space="preserve"> low-level urban transfer coefficient,</w:t>
      </w:r>
    </w:p>
    <w:p w14:paraId="0A8B9474" w14:textId="1CFF64B7" w:rsidR="006D047F" w:rsidRDefault="006D047F" w:rsidP="00472D2C">
      <w:pPr>
        <w:spacing w:line="360" w:lineRule="auto"/>
        <w:jc w:val="both"/>
        <w:rPr>
          <w:rFonts w:eastAsiaTheme="minorEastAsia"/>
        </w:rPr>
      </w:pPr>
      <w:r>
        <w:rPr>
          <w:rFonts w:eastAsiaTheme="minorEastAsia"/>
        </w:rPr>
        <w:t xml:space="preserve"> </w:t>
      </w:r>
      <m:oMath>
        <m:r>
          <m:rPr>
            <m:sty m:val="p"/>
          </m:rPr>
          <w:rPr>
            <w:rFonts w:ascii="Cambria Math" w:eastAsiaTheme="minorEastAsia" w:hAnsi="Cambria Math"/>
          </w:rPr>
          <w:br/>
        </m:r>
      </m:oMath>
      <m:oMathPara>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m</m:t>
              </m:r>
            </m:sub>
            <m:sup>
              <m:r>
                <w:rPr>
                  <w:rFonts w:ascii="Cambria Math" w:eastAsiaTheme="minorEastAsia" w:hAnsi="Cambria Math"/>
                </w:rPr>
                <m:t>SLju</m:t>
              </m:r>
            </m:sup>
          </m:sSubSup>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Δ</m:t>
              </m:r>
              <m:sSubSup>
                <m:sSubSupPr>
                  <m:ctrlPr>
                    <w:rPr>
                      <w:rFonts w:ascii="Cambria Math" w:eastAsiaTheme="minorEastAsia" w:hAnsi="Cambria Math"/>
                      <w:i/>
                      <w:iCs/>
                    </w:rPr>
                  </m:ctrlPr>
                </m:sSubSupPr>
                <m:e>
                  <m:d>
                    <m:dPr>
                      <m:begChr m:val="["/>
                      <m:endChr m:val="]"/>
                      <m:ctrlPr>
                        <w:rPr>
                          <w:rFonts w:ascii="Cambria Math" w:eastAsiaTheme="minorEastAsia" w:hAnsi="Cambria Math"/>
                          <w:i/>
                        </w:rPr>
                      </m:ctrlPr>
                    </m:dPr>
                    <m:e>
                      <m:sSub>
                        <m:sSubPr>
                          <m:ctrlPr>
                            <w:rPr>
                              <w:rFonts w:ascii="Cambria Math" w:eastAsiaTheme="minorEastAsia" w:hAnsi="Cambria Math"/>
                              <w:iCs/>
                            </w:rPr>
                          </m:ctrlPr>
                        </m:sSubPr>
                        <m:e>
                          <m:r>
                            <m:rPr>
                              <m:sty m:val="p"/>
                            </m:rPr>
                            <w:rPr>
                              <w:rFonts w:ascii="Cambria Math" w:eastAsiaTheme="minorEastAsia" w:hAnsi="Cambria Math"/>
                            </w:rPr>
                            <m:t>PPM</m:t>
                          </m:r>
                          <m:ctrlPr>
                            <w:rPr>
                              <w:rFonts w:ascii="Cambria Math" w:eastAsiaTheme="minorEastAsia" w:hAnsi="Cambria Math"/>
                              <w:i/>
                            </w:rPr>
                          </m:ctrlPr>
                        </m:e>
                        <m:sub>
                          <m:r>
                            <m:rPr>
                              <m:sty m:val="p"/>
                            </m:rPr>
                            <w:rPr>
                              <w:rFonts w:ascii="Cambria Math" w:eastAsiaTheme="minorEastAsia" w:hAnsi="Cambria Math"/>
                              <w:vertAlign w:val="subscript"/>
                            </w:rPr>
                            <m:t>2.5</m:t>
                          </m:r>
                        </m:sub>
                      </m:sSub>
                      <m:ctrlPr>
                        <w:rPr>
                          <w:rFonts w:ascii="Cambria Math" w:eastAsiaTheme="minorEastAsia" w:hAnsi="Cambria Math"/>
                          <w:i/>
                          <w:iCs/>
                        </w:rPr>
                      </m:ctrlPr>
                    </m:e>
                  </m:d>
                </m:e>
                <m:sub>
                  <m:r>
                    <w:rPr>
                      <w:rFonts w:ascii="Cambria Math" w:eastAsiaTheme="minorEastAsia" w:hAnsi="Cambria Math"/>
                    </w:rPr>
                    <m:t>m</m:t>
                  </m:r>
                </m:sub>
                <m:sup>
                  <m:r>
                    <w:rPr>
                      <w:rFonts w:ascii="Cambria Math" w:eastAsiaTheme="minorEastAsia" w:hAnsi="Cambria Math"/>
                    </w:rPr>
                    <m:t>ju</m:t>
                  </m:r>
                </m:sup>
              </m:sSubSup>
            </m:num>
            <m:den>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E</m:t>
                  </m:r>
                </m:e>
                <m:sub/>
                <m:sup>
                  <m:r>
                    <w:rPr>
                      <w:rFonts w:ascii="Cambria Math" w:eastAsiaTheme="minorEastAsia" w:hAnsi="Cambria Math"/>
                    </w:rPr>
                    <m:t>SLju</m:t>
                  </m:r>
                </m:sup>
              </m:sSubSup>
            </m:den>
          </m:f>
        </m:oMath>
      </m:oMathPara>
    </w:p>
    <w:p w14:paraId="27CACA68" w14:textId="77777777" w:rsidR="006D047F" w:rsidRDefault="006D047F" w:rsidP="00472D2C">
      <w:pPr>
        <w:spacing w:line="360" w:lineRule="auto"/>
        <w:jc w:val="both"/>
        <w:rPr>
          <w:rFonts w:eastAsiaTheme="minorEastAsia"/>
        </w:rPr>
      </w:pPr>
      <w:r>
        <w:rPr>
          <w:rFonts w:eastAsiaTheme="minorEastAsia"/>
        </w:rPr>
        <w:lastRenderedPageBreak/>
        <w:t>and NO</w:t>
      </w:r>
      <w:r>
        <w:rPr>
          <w:rFonts w:eastAsiaTheme="minorEastAsia"/>
          <w:vertAlign w:val="subscript"/>
        </w:rPr>
        <w:t>3</w:t>
      </w:r>
      <w:r>
        <w:rPr>
          <w:rFonts w:eastAsiaTheme="minorEastAsia"/>
          <w:vertAlign w:val="superscript"/>
        </w:rPr>
        <w:t>-</w:t>
      </w:r>
      <w:r>
        <w:rPr>
          <w:rFonts w:eastAsiaTheme="minorEastAsia"/>
        </w:rPr>
        <w:t xml:space="preserve"> changes are related to NOx emissions to construct a transfer coefficient from urban low-level NOx emissions,</w:t>
      </w:r>
    </w:p>
    <w:p w14:paraId="29C3CE53" w14:textId="77777777" w:rsidR="006D047F" w:rsidRDefault="00A61553" w:rsidP="00472D2C">
      <w:pPr>
        <w:spacing w:line="360" w:lineRule="auto"/>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m</m:t>
              </m:r>
            </m:sub>
            <m:sup>
              <m:r>
                <w:rPr>
                  <w:rFonts w:ascii="Cambria Math" w:eastAsiaTheme="minorEastAsia" w:hAnsi="Cambria Math"/>
                </w:rPr>
                <m:t>NLju</m:t>
              </m:r>
            </m:sup>
          </m:sSubSup>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rPr>
                <m:t>Δ</m:t>
              </m:r>
              <m:sSubSup>
                <m:sSubSupPr>
                  <m:ctrlPr>
                    <w:rPr>
                      <w:rFonts w:ascii="Cambria Math" w:eastAsiaTheme="minorEastAsia" w:hAnsi="Cambria Math"/>
                      <w:i/>
                      <w:iCs/>
                    </w:rPr>
                  </m:ctrlPr>
                </m:sSubSupPr>
                <m:e>
                  <m:d>
                    <m:dPr>
                      <m:begChr m:val="["/>
                      <m:endChr m:val="]"/>
                      <m:ctrlPr>
                        <w:rPr>
                          <w:rFonts w:ascii="Cambria Math" w:eastAsiaTheme="minorEastAsia" w:hAnsi="Cambria Math"/>
                          <w:i/>
                        </w:rPr>
                      </m:ctrlPr>
                    </m:dPr>
                    <m:e>
                      <m:sSubSup>
                        <m:sSubSupPr>
                          <m:ctrlPr>
                            <w:rPr>
                              <w:rFonts w:ascii="Cambria Math" w:eastAsiaTheme="minorEastAsia" w:hAnsi="Cambria Math"/>
                              <w:i/>
                              <w:iCs/>
                            </w:rPr>
                          </m:ctrlPr>
                        </m:sSubSupPr>
                        <m:e>
                          <m:r>
                            <m:rPr>
                              <m:sty m:val="p"/>
                            </m:rPr>
                            <w:rPr>
                              <w:rFonts w:ascii="Cambria Math" w:eastAsiaTheme="minorEastAsia" w:hAnsi="Cambria Math"/>
                            </w:rPr>
                            <m:t>NO</m:t>
                          </m:r>
                          <m:ctrlPr>
                            <w:rPr>
                              <w:rFonts w:ascii="Cambria Math" w:eastAsiaTheme="minorEastAsia" w:hAnsi="Cambria Math"/>
                            </w:rPr>
                          </m:ctrlPr>
                        </m:e>
                        <m:sub>
                          <m:r>
                            <w:rPr>
                              <w:rFonts w:ascii="Cambria Math" w:eastAsiaTheme="minorEastAsia" w:hAnsi="Cambria Math"/>
                            </w:rPr>
                            <m:t>3</m:t>
                          </m:r>
                        </m:sub>
                        <m:sup>
                          <m:r>
                            <w:rPr>
                              <w:rFonts w:ascii="Cambria Math" w:eastAsiaTheme="minorEastAsia" w:hAnsi="Cambria Math"/>
                            </w:rPr>
                            <m:t>-</m:t>
                          </m:r>
                        </m:sup>
                      </m:sSubSup>
                      <m:ctrlPr>
                        <w:rPr>
                          <w:rFonts w:ascii="Cambria Math" w:eastAsiaTheme="minorEastAsia" w:hAnsi="Cambria Math"/>
                          <w:i/>
                          <w:iCs/>
                        </w:rPr>
                      </m:ctrlPr>
                    </m:e>
                  </m:d>
                </m:e>
                <m:sub>
                  <m:r>
                    <w:rPr>
                      <w:rFonts w:ascii="Cambria Math" w:eastAsiaTheme="minorEastAsia" w:hAnsi="Cambria Math"/>
                    </w:rPr>
                    <m:t>m</m:t>
                  </m:r>
                </m:sub>
                <m:sup>
                  <m:r>
                    <w:rPr>
                      <w:rFonts w:ascii="Cambria Math" w:eastAsiaTheme="minorEastAsia" w:hAnsi="Cambria Math"/>
                    </w:rPr>
                    <m:t>ju</m:t>
                  </m:r>
                </m:sup>
              </m:sSubSup>
            </m:num>
            <m:den>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E</m:t>
                  </m:r>
                </m:e>
                <m:sub/>
                <m:sup>
                  <m:r>
                    <w:rPr>
                      <w:rFonts w:ascii="Cambria Math" w:eastAsiaTheme="minorEastAsia" w:hAnsi="Cambria Math"/>
                    </w:rPr>
                    <m:t>NLju</m:t>
                  </m:r>
                </m:sup>
              </m:sSubSup>
            </m:den>
          </m:f>
        </m:oMath>
      </m:oMathPara>
    </w:p>
    <w:p w14:paraId="0AF5FD07" w14:textId="1838A4CF" w:rsidR="00264496" w:rsidRDefault="006D047F" w:rsidP="00472D2C">
      <w:pPr>
        <w:spacing w:line="360" w:lineRule="auto"/>
        <w:jc w:val="both"/>
        <w:rPr>
          <w:rFonts w:eastAsiaTheme="minorEastAsia"/>
        </w:rPr>
      </w:pPr>
      <w:r>
        <w:rPr>
          <w:rFonts w:eastAsiaTheme="minorEastAsia"/>
        </w:rPr>
        <w:t xml:space="preserve">The counterparts </w:t>
      </w:r>
      <m:oMath>
        <m:sSubSup>
          <m:sSubSupPr>
            <m:ctrlPr>
              <w:rPr>
                <w:rFonts w:ascii="Cambria Math" w:eastAsiaTheme="minorEastAsia" w:hAnsi="Cambria Math" w:cs="Times New Roman"/>
                <w:i/>
                <w:sz w:val="24"/>
                <w:szCs w:val="24"/>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SLjr</m:t>
            </m:r>
          </m:sup>
        </m:sSubSup>
      </m:oMath>
      <w:r>
        <w:rPr>
          <w:rFonts w:eastAsiaTheme="minorEastAsia"/>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NLjr</m:t>
            </m:r>
          </m:sup>
        </m:sSubSup>
      </m:oMath>
      <w:r>
        <w:rPr>
          <w:rFonts w:eastAsiaTheme="minorEastAsia"/>
        </w:rPr>
        <w:t xml:space="preserve"> at 0.5⁰ resolution are estimated equivalently to PPM, however with the total SO</w:t>
      </w:r>
      <w:r>
        <w:rPr>
          <w:rFonts w:eastAsiaTheme="minorEastAsia"/>
          <w:vertAlign w:val="subscript"/>
        </w:rPr>
        <w:t>2</w:t>
      </w:r>
      <w:r>
        <w:rPr>
          <w:rFonts w:eastAsiaTheme="minorEastAsia"/>
        </w:rPr>
        <w:t xml:space="preserve"> and NO</w:t>
      </w:r>
      <w:r>
        <w:rPr>
          <w:rFonts w:eastAsiaTheme="minorEastAsia"/>
          <w:vertAlign w:val="subscript"/>
        </w:rPr>
        <w:t>x</w:t>
      </w:r>
      <w:r>
        <w:rPr>
          <w:rFonts w:eastAsiaTheme="minorEastAsia"/>
        </w:rPr>
        <w:t xml:space="preserve"> transfer coefficients used instead of the low-level PPM region-to-grid coefficient. We again apply the spatial pattern of SO</w:t>
      </w:r>
      <w:r>
        <w:rPr>
          <w:rFonts w:eastAsiaTheme="minorEastAsia"/>
          <w:vertAlign w:val="subscript"/>
        </w:rPr>
        <w:t>4</w:t>
      </w:r>
      <w:r>
        <w:rPr>
          <w:rFonts w:eastAsiaTheme="minorEastAsia"/>
          <w:vertAlign w:val="superscript"/>
        </w:rPr>
        <w:t>2-</w:t>
      </w:r>
      <w:r>
        <w:rPr>
          <w:rFonts w:eastAsiaTheme="minorEastAsia"/>
        </w:rPr>
        <w:t xml:space="preserve"> and NO</w:t>
      </w:r>
      <w:r>
        <w:rPr>
          <w:rFonts w:eastAsiaTheme="minorEastAsia"/>
          <w:vertAlign w:val="subscript"/>
        </w:rPr>
        <w:t>3</w:t>
      </w:r>
      <w:r>
        <w:rPr>
          <w:rFonts w:eastAsiaTheme="minorEastAsia"/>
          <w:vertAlign w:val="superscript"/>
        </w:rPr>
        <w:t>-</w:t>
      </w:r>
      <w:r>
        <w:rPr>
          <w:rFonts w:eastAsiaTheme="minorEastAsia"/>
        </w:rPr>
        <w:t xml:space="preserve"> variability at 0.1⁰ resolution, after subtracting the estimated contribution from urban low-level sources, to downscale </w:t>
      </w:r>
      <m:oMath>
        <m:sSubSup>
          <m:sSubSupPr>
            <m:ctrlPr>
              <w:rPr>
                <w:rFonts w:ascii="Cambria Math" w:eastAsiaTheme="minorEastAsia" w:hAnsi="Cambria Math" w:cs="Times New Roman"/>
                <w:i/>
                <w:sz w:val="24"/>
                <w:szCs w:val="24"/>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SLjr</m:t>
            </m:r>
          </m:sup>
        </m:sSubSup>
      </m:oMath>
      <w:r>
        <w:rPr>
          <w:rFonts w:eastAsiaTheme="minorEastAsia"/>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rPr>
              <m:t>π</m:t>
            </m:r>
          </m:e>
          <m:sub>
            <m:r>
              <w:rPr>
                <w:rFonts w:ascii="Cambria Math" w:eastAsiaTheme="minorEastAsia" w:hAnsi="Cambria Math"/>
              </w:rPr>
              <m:t>i</m:t>
            </m:r>
          </m:sub>
          <m:sup>
            <m:r>
              <w:rPr>
                <w:rFonts w:ascii="Cambria Math" w:eastAsiaTheme="minorEastAsia" w:hAnsi="Cambria Math"/>
              </w:rPr>
              <m:t>NLjr</m:t>
            </m:r>
          </m:sup>
        </m:sSubSup>
      </m:oMath>
      <w:r>
        <w:rPr>
          <w:rFonts w:eastAsiaTheme="minorEastAsia"/>
        </w:rPr>
        <w:t xml:space="preserve"> to the 0.1⁰ resolution.</w:t>
      </w:r>
    </w:p>
    <w:p w14:paraId="5B3C1764" w14:textId="3EAC2D98" w:rsidR="00277E1D" w:rsidRDefault="00277E1D" w:rsidP="00472D2C">
      <w:pPr>
        <w:spacing w:line="360" w:lineRule="auto"/>
        <w:jc w:val="both"/>
      </w:pPr>
    </w:p>
    <w:p w14:paraId="6E5DE9B9" w14:textId="2D276156" w:rsidR="00943914" w:rsidRDefault="008A749B" w:rsidP="00C32047">
      <w:pPr>
        <w:pStyle w:val="Heading2"/>
        <w:spacing w:line="360" w:lineRule="auto"/>
      </w:pPr>
      <w:bookmarkStart w:id="2" w:name="_Toc55241284"/>
      <w:r>
        <w:t xml:space="preserve">From concentrations to </w:t>
      </w:r>
      <w:r w:rsidR="00716065">
        <w:t>mor</w:t>
      </w:r>
      <w:r w:rsidR="00472D2C">
        <w:t>t</w:t>
      </w:r>
      <w:r w:rsidR="00716065">
        <w:t>ality</w:t>
      </w:r>
      <w:bookmarkEnd w:id="2"/>
    </w:p>
    <w:p w14:paraId="70EF560B" w14:textId="6F86BC26" w:rsidR="00716065" w:rsidRDefault="00716065" w:rsidP="00472D2C">
      <w:pPr>
        <w:spacing w:line="360" w:lineRule="auto"/>
        <w:jc w:val="both"/>
      </w:pPr>
      <w:r>
        <w:t xml:space="preserve">Within each 0.1° grid cell </w:t>
      </w:r>
      <m:oMath>
        <m:r>
          <w:rPr>
            <w:rFonts w:ascii="Cambria Math" w:hAnsi="Cambria Math"/>
          </w:rPr>
          <m:t>m</m:t>
        </m:r>
      </m:oMath>
      <w:r w:rsidR="00A5621C">
        <w:rPr>
          <w:rFonts w:eastAsiaTheme="minorEastAsia"/>
        </w:rPr>
        <w:t xml:space="preserve"> within a region</w:t>
      </w:r>
      <w:r w:rsidR="00877BCB">
        <w:rPr>
          <w:rFonts w:eastAsiaTheme="minorEastAsia"/>
        </w:rPr>
        <w:t xml:space="preserve"> </w:t>
      </w:r>
      <m:oMath>
        <m:r>
          <w:rPr>
            <w:rFonts w:ascii="Cambria Math" w:eastAsiaTheme="minorEastAsia" w:hAnsi="Cambria Math"/>
          </w:rPr>
          <m:t>j</m:t>
        </m:r>
      </m:oMath>
      <w:r>
        <w:t xml:space="preserve">, </w:t>
      </w:r>
      <w:r w:rsidR="00A21D6A">
        <w:t xml:space="preserve">the </w:t>
      </w:r>
      <w:r>
        <w:t xml:space="preserve">relative risk </w:t>
      </w:r>
      <m:oMath>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mda</m:t>
            </m:r>
          </m:sub>
        </m:sSub>
      </m:oMath>
      <w:r>
        <w:t xml:space="preserve"> for population of age </w:t>
      </w:r>
      <m:oMath>
        <m:r>
          <w:rPr>
            <w:rFonts w:ascii="Cambria Math" w:hAnsi="Cambria Math"/>
          </w:rPr>
          <m:t>a</m:t>
        </m:r>
      </m:oMath>
      <w:r>
        <w:t xml:space="preserve"> to die from disease </w:t>
      </w:r>
      <m:oMath>
        <m:r>
          <w:rPr>
            <w:rFonts w:ascii="Cambria Math" w:hAnsi="Cambria Math"/>
          </w:rPr>
          <m:t>d</m:t>
        </m:r>
      </m:oMath>
      <w:r>
        <w:t xml:space="preserve"> is given by the disease and (partly) age specific IER, which is a non-linear function of the PM</w:t>
      </w:r>
      <w:r w:rsidR="00192BEA" w:rsidRPr="00192BEA">
        <w:rPr>
          <w:vertAlign w:val="subscript"/>
        </w:rPr>
        <w:t>2.5</w:t>
      </w:r>
      <w:r>
        <w:t xml:space="preserve"> concentration,</w:t>
      </w:r>
    </w:p>
    <w:p w14:paraId="243B3B66" w14:textId="04216CC1" w:rsidR="00716065" w:rsidRPr="00AF7577" w:rsidRDefault="00697F93" w:rsidP="00472D2C">
      <w:pPr>
        <w:spacing w:line="360" w:lineRule="auto"/>
        <w:jc w:val="both"/>
      </w:pPr>
      <m:oMathPara>
        <m:oMath>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mda</m:t>
              </m:r>
            </m:sub>
          </m:sSub>
          <m:r>
            <w:rPr>
              <w:rFonts w:ascii="Cambria Math" w:hAnsi="Cambria Math"/>
            </w:rPr>
            <m:t>=IER</m:t>
          </m:r>
          <m:d>
            <m:dPr>
              <m:ctrlPr>
                <w:rPr>
                  <w:rFonts w:ascii="Cambria Math" w:hAnsi="Cambria Math"/>
                  <w:i/>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m:t>
                          </m:r>
                        </m:e>
                        <m:sub>
                          <m:r>
                            <w:rPr>
                              <w:rFonts w:ascii="Cambria Math" w:hAnsi="Cambria Math"/>
                              <w:vertAlign w:val="subscript"/>
                            </w:rPr>
                            <m:t>2.5</m:t>
                          </m:r>
                        </m:sub>
                      </m:sSub>
                    </m:e>
                  </m:d>
                </m:e>
                <m:sub>
                  <m:r>
                    <w:rPr>
                      <w:rFonts w:ascii="Cambria Math" w:hAnsi="Cambria Math"/>
                    </w:rPr>
                    <m:t>jm</m:t>
                  </m:r>
                </m:sub>
              </m:sSub>
              <m:r>
                <w:rPr>
                  <w:rFonts w:ascii="Cambria Math" w:hAnsi="Cambria Math"/>
                </w:rPr>
                <m:t>, d,a</m:t>
              </m:r>
            </m:e>
          </m:d>
          <m:r>
            <m:rPr>
              <m:sty m:val="p"/>
            </m:rPr>
            <w:rPr>
              <w:highlight w:val="yellow"/>
            </w:rPr>
            <w:br/>
          </m:r>
        </m:oMath>
      </m:oMathPara>
      <w:r w:rsidR="00716065" w:rsidRPr="00AF7577">
        <w:t xml:space="preserve">The population-attributable fraction </w:t>
      </w:r>
      <w:r w:rsidR="00D972DD">
        <w:t xml:space="preserve">(PAF) </w:t>
      </w:r>
      <w:r w:rsidR="00716065" w:rsidRPr="00AF7577">
        <w:t xml:space="preserve">of incidence of disease </w:t>
      </w:r>
      <m:oMath>
        <m:r>
          <w:rPr>
            <w:rFonts w:ascii="Cambria Math" w:hAnsi="Cambria Math"/>
          </w:rPr>
          <m:t>d</m:t>
        </m:r>
      </m:oMath>
      <w:r w:rsidR="00716065" w:rsidRPr="00AF7577">
        <w:t xml:space="preserve"> within each population subgroup of region </w:t>
      </w:r>
      <m:oMath>
        <m:r>
          <w:rPr>
            <w:rFonts w:ascii="Cambria Math" w:hAnsi="Cambria Math"/>
          </w:rPr>
          <m:t>j</m:t>
        </m:r>
      </m:oMath>
      <w:r w:rsidR="00716065" w:rsidRPr="00AF7577">
        <w:t xml:space="preserve">, residence </w:t>
      </w:r>
      <m:oMath>
        <m:r>
          <w:rPr>
            <w:rFonts w:ascii="Cambria Math" w:hAnsi="Cambria Math"/>
          </w:rPr>
          <m:t xml:space="preserve">z= </m:t>
        </m:r>
        <m:d>
          <m:dPr>
            <m:begChr m:val="{"/>
            <m:endChr m:val="}"/>
            <m:ctrlPr>
              <w:rPr>
                <w:rFonts w:ascii="Cambria Math" w:hAnsi="Cambria Math"/>
                <w:i/>
              </w:rPr>
            </m:ctrlPr>
          </m:dPr>
          <m:e>
            <m:r>
              <w:rPr>
                <w:rFonts w:ascii="Cambria Math" w:hAnsi="Cambria Math"/>
              </w:rPr>
              <m:t>u,r</m:t>
            </m:r>
          </m:e>
        </m:d>
      </m:oMath>
      <w:r w:rsidR="00716065" w:rsidRPr="00AF7577">
        <w:t xml:space="preserve">, and age </w:t>
      </w:r>
      <m:oMath>
        <m:r>
          <w:rPr>
            <w:rFonts w:ascii="Cambria Math" w:hAnsi="Cambria Math"/>
          </w:rPr>
          <m:t>a</m:t>
        </m:r>
      </m:oMath>
      <w:r w:rsidR="00716065" w:rsidRPr="00AF7577">
        <w:t xml:space="preserve"> is given by</w:t>
      </w:r>
    </w:p>
    <w:p w14:paraId="0F626D8F" w14:textId="77777777" w:rsidR="00716065" w:rsidRDefault="00716065" w:rsidP="00472D2C">
      <w:pPr>
        <w:spacing w:line="360" w:lineRule="auto"/>
        <w:jc w:val="both"/>
        <w:rPr>
          <w:highlight w:val="yellow"/>
        </w:rPr>
      </w:pPr>
    </w:p>
    <w:p w14:paraId="0005CB64" w14:textId="0DE5E933" w:rsidR="00716065" w:rsidRPr="00332905" w:rsidRDefault="003566EE" w:rsidP="00472D2C">
      <w:pPr>
        <w:spacing w:line="360" w:lineRule="auto"/>
        <w:jc w:val="both"/>
      </w:pPr>
      <m:oMathPara>
        <m:oMath>
          <m:r>
            <w:rPr>
              <w:rFonts w:ascii="Cambria Math" w:hAnsi="Cambria Math"/>
            </w:rPr>
            <m:t>PA</m:t>
          </m:r>
          <m:sSub>
            <m:sSubPr>
              <m:ctrlPr>
                <w:rPr>
                  <w:rFonts w:ascii="Cambria Math" w:hAnsi="Cambria Math"/>
                  <w:i/>
                </w:rPr>
              </m:ctrlPr>
            </m:sSubPr>
            <m:e>
              <m:r>
                <w:rPr>
                  <w:rFonts w:ascii="Cambria Math" w:hAnsi="Cambria Math"/>
                </w:rPr>
                <m:t>F</m:t>
              </m:r>
            </m:e>
            <m:sub>
              <m:r>
                <w:rPr>
                  <w:rFonts w:ascii="Cambria Math" w:hAnsi="Cambria Math"/>
                </w:rPr>
                <m:t>djza</m:t>
              </m:r>
            </m:sub>
          </m:sSub>
          <m:r>
            <w:rPr>
              <w:rFonts w:ascii="Cambria Math" w:hAnsi="Cambria Math"/>
            </w:rPr>
            <m:t>=</m:t>
          </m:r>
          <m:f>
            <m:fPr>
              <m:ctrlPr>
                <w:rPr>
                  <w:rFonts w:ascii="Cambria Math" w:hAnsi="Cambria Math"/>
                </w:rPr>
              </m:ctrlPr>
            </m:fPr>
            <m:num>
              <m:nary>
                <m:naryPr>
                  <m:chr m:val="∑"/>
                  <m:supHide m:val="1"/>
                  <m:ctrlPr>
                    <w:rPr>
                      <w:rFonts w:ascii="Cambria Math" w:hAnsi="Cambria Math"/>
                    </w:rPr>
                  </m:ctrlPr>
                </m:naryPr>
                <m:sub>
                  <m:r>
                    <w:rPr>
                      <w:rFonts w:ascii="Cambria Math" w:hAnsi="Cambria Math"/>
                    </w:rPr>
                    <m:t>im</m:t>
                  </m:r>
                  <m:ctrlPr>
                    <w:rPr>
                      <w:rFonts w:ascii="Cambria Math" w:hAnsi="Cambria Math"/>
                      <w:i/>
                    </w:rPr>
                  </m:ctrlPr>
                </m:sub>
                <m:sup>
                  <m:ctrlPr>
                    <w:rPr>
                      <w:rFonts w:ascii="Cambria Math" w:hAnsi="Cambria Math"/>
                      <w:i/>
                    </w:rPr>
                  </m:ctrlPr>
                </m:sup>
                <m:e>
                  <m:f>
                    <m:fPr>
                      <m:ctrlPr>
                        <w:rPr>
                          <w:rFonts w:ascii="Cambria Math" w:hAnsi="Cambria Math"/>
                        </w:rPr>
                      </m:ctrlPr>
                    </m:fPr>
                    <m:num>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jzim</m:t>
                          </m:r>
                        </m:sub>
                      </m:sSub>
                      <m:ctrlPr>
                        <w:rPr>
                          <w:rFonts w:ascii="Cambria Math" w:hAnsi="Cambria Math"/>
                          <w:i/>
                        </w:rPr>
                      </m:ctrlPr>
                    </m:num>
                    <m:den>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jz</m:t>
                          </m:r>
                        </m:sub>
                      </m:sSub>
                      <m:ctrlPr>
                        <w:rPr>
                          <w:rFonts w:ascii="Cambria Math" w:hAnsi="Cambria Math"/>
                          <w:i/>
                        </w:rPr>
                      </m:ctrlPr>
                    </m:den>
                  </m:f>
                  <m:ctrlPr>
                    <w:rPr>
                      <w:rFonts w:ascii="Cambria Math" w:hAnsi="Cambria Math"/>
                      <w:i/>
                    </w:rPr>
                  </m:ctrlPr>
                </m:e>
              </m:nary>
              <m:d>
                <m:dPr>
                  <m:ctrlPr>
                    <w:rPr>
                      <w:rFonts w:ascii="Cambria Math" w:hAnsi="Cambria Math"/>
                      <w:i/>
                    </w:rPr>
                  </m:ctrlPr>
                </m:dPr>
                <m:e>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imda</m:t>
                      </m:r>
                    </m:sub>
                  </m:sSub>
                  <m:r>
                    <w:rPr>
                      <w:rFonts w:ascii="Cambria Math" w:hAnsi="Cambria Math"/>
                    </w:rPr>
                    <m:t>-1</m:t>
                  </m:r>
                </m:e>
              </m:d>
              <m:ctrlPr>
                <w:rPr>
                  <w:rFonts w:ascii="Cambria Math" w:hAnsi="Cambria Math"/>
                  <w:i/>
                </w:rPr>
              </m:ctrlPr>
            </m:num>
            <m:den>
              <m:r>
                <w:rPr>
                  <w:rFonts w:ascii="Cambria Math" w:hAnsi="Cambria Math"/>
                </w:rPr>
                <m:t>1+</m:t>
              </m:r>
              <m:nary>
                <m:naryPr>
                  <m:chr m:val="∑"/>
                  <m:supHide m:val="1"/>
                  <m:ctrlPr>
                    <w:rPr>
                      <w:rFonts w:ascii="Cambria Math" w:hAnsi="Cambria Math"/>
                    </w:rPr>
                  </m:ctrlPr>
                </m:naryPr>
                <m:sub>
                  <m:r>
                    <w:rPr>
                      <w:rFonts w:ascii="Cambria Math" w:hAnsi="Cambria Math"/>
                    </w:rPr>
                    <m:t>im</m:t>
                  </m:r>
                  <m:ctrlPr>
                    <w:rPr>
                      <w:rFonts w:ascii="Cambria Math" w:hAnsi="Cambria Math"/>
                      <w:i/>
                    </w:rPr>
                  </m:ctrlPr>
                </m:sub>
                <m:sup>
                  <m:ctrlPr>
                    <w:rPr>
                      <w:rFonts w:ascii="Cambria Math" w:hAnsi="Cambria Math"/>
                      <w:i/>
                    </w:rPr>
                  </m:ctrlPr>
                </m:sup>
                <m:e>
                  <m:f>
                    <m:fPr>
                      <m:ctrlPr>
                        <w:rPr>
                          <w:rFonts w:ascii="Cambria Math" w:hAnsi="Cambria Math"/>
                        </w:rPr>
                      </m:ctrlPr>
                    </m:fPr>
                    <m:num>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jzim</m:t>
                          </m:r>
                        </m:sub>
                      </m:sSub>
                      <m:ctrlPr>
                        <w:rPr>
                          <w:rFonts w:ascii="Cambria Math" w:hAnsi="Cambria Math"/>
                          <w:i/>
                        </w:rPr>
                      </m:ctrlPr>
                    </m:num>
                    <m:den>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jz</m:t>
                          </m:r>
                        </m:sub>
                      </m:sSub>
                      <m:ctrlPr>
                        <w:rPr>
                          <w:rFonts w:ascii="Cambria Math" w:hAnsi="Cambria Math"/>
                          <w:i/>
                        </w:rPr>
                      </m:ctrlPr>
                    </m:den>
                  </m:f>
                  <m:ctrlPr>
                    <w:rPr>
                      <w:rFonts w:ascii="Cambria Math" w:hAnsi="Cambria Math"/>
                      <w:i/>
                    </w:rPr>
                  </m:ctrlPr>
                </m:e>
              </m:nary>
              <m:d>
                <m:dPr>
                  <m:ctrlPr>
                    <w:rPr>
                      <w:rFonts w:ascii="Cambria Math" w:hAnsi="Cambria Math"/>
                      <w:i/>
                    </w:rPr>
                  </m:ctrlPr>
                </m:dPr>
                <m:e>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imda</m:t>
                      </m:r>
                    </m:sub>
                  </m:sSub>
                  <m:r>
                    <w:rPr>
                      <w:rFonts w:ascii="Cambria Math" w:hAnsi="Cambria Math"/>
                    </w:rPr>
                    <m:t>-1</m:t>
                  </m:r>
                </m:e>
              </m:d>
              <m:ctrlPr>
                <w:rPr>
                  <w:rFonts w:ascii="Cambria Math" w:hAnsi="Cambria Math"/>
                  <w:i/>
                </w:rPr>
              </m:ctrlPr>
            </m:den>
          </m:f>
          <m:r>
            <m:rPr>
              <m:sty m:val="p"/>
            </m:rPr>
            <w:rPr>
              <w:rFonts w:ascii="Cambria Math" w:hAnsi="Cambria Math"/>
            </w:rPr>
            <w:br/>
          </m:r>
        </m:oMath>
      </m:oMathPara>
      <w:r w:rsidR="00716065">
        <w:t xml:space="preserve">The attributable number of deaths from </w:t>
      </w:r>
      <w:r w:rsidR="006D3035" w:rsidRPr="006D3035">
        <w:t xml:space="preserve">disease </w:t>
      </w:r>
      <m:oMath>
        <m:r>
          <w:rPr>
            <w:rFonts w:ascii="Cambria Math" w:hAnsi="Cambria Math"/>
          </w:rPr>
          <m:t>d</m:t>
        </m:r>
      </m:oMath>
      <w:r w:rsidR="006D3035" w:rsidRPr="006D3035">
        <w:t xml:space="preserve"> </w:t>
      </w:r>
      <w:r w:rsidR="00716065" w:rsidRPr="006D3035">
        <w:t xml:space="preserve">among residents of </w:t>
      </w:r>
      <w:r w:rsidR="006D3035" w:rsidRPr="006D3035">
        <w:t>region</w:t>
      </w:r>
      <w:r w:rsidR="006D3035" w:rsidRPr="00AF7577">
        <w:t xml:space="preserve"> </w:t>
      </w:r>
      <m:oMath>
        <m:r>
          <w:rPr>
            <w:rFonts w:ascii="Cambria Math" w:hAnsi="Cambria Math"/>
          </w:rPr>
          <m:t>j</m:t>
        </m:r>
      </m:oMath>
      <w:r w:rsidR="006D3035">
        <w:rPr>
          <w:rFonts w:eastAsiaTheme="minorEastAsia"/>
        </w:rPr>
        <w:t>.</w:t>
      </w:r>
      <w:r w:rsidR="00332905">
        <w:t xml:space="preserve"> </w:t>
      </w:r>
      <w:r w:rsidR="00716065">
        <w:t xml:space="preserve">The number of premature deaths attributable to AAP in </w:t>
      </w:r>
      <w:r w:rsidR="00F96C05" w:rsidRPr="006130C2">
        <w:t xml:space="preserve">region </w:t>
      </w:r>
      <m:oMath>
        <m:r>
          <w:rPr>
            <w:rFonts w:ascii="Cambria Math" w:hAnsi="Cambria Math"/>
          </w:rPr>
          <m:t>j</m:t>
        </m:r>
      </m:oMath>
      <w:r w:rsidR="00716065" w:rsidRPr="006130C2">
        <w:t xml:space="preserve">, </w:t>
      </w:r>
      <w:r w:rsidR="00F96C05" w:rsidRPr="006130C2">
        <w:t xml:space="preserve">age </w:t>
      </w:r>
      <m:oMath>
        <m:r>
          <w:rPr>
            <w:rFonts w:ascii="Cambria Math" w:hAnsi="Cambria Math"/>
          </w:rPr>
          <m:t>a</m:t>
        </m:r>
      </m:oMath>
      <w:r w:rsidR="00F96C05" w:rsidRPr="006130C2">
        <w:rPr>
          <w:rFonts w:eastAsiaTheme="minorEastAsia"/>
        </w:rPr>
        <w:t xml:space="preserve">, </w:t>
      </w:r>
      <w:r w:rsidR="00F96C05" w:rsidRPr="006130C2">
        <w:t xml:space="preserve">residence </w:t>
      </w:r>
      <m:oMath>
        <m:r>
          <w:rPr>
            <w:rFonts w:ascii="Cambria Math" w:hAnsi="Cambria Math"/>
          </w:rPr>
          <m:t>z</m:t>
        </m:r>
      </m:oMath>
      <w:r w:rsidR="00332905">
        <w:t xml:space="preserve"> is cal</w:t>
      </w:r>
      <w:r w:rsidR="00F96C05" w:rsidRPr="006130C2">
        <w:t xml:space="preserve">culated </w:t>
      </w:r>
      <w:r w:rsidR="00716065" w:rsidRPr="006130C2">
        <w:t>as</w:t>
      </w:r>
    </w:p>
    <w:p w14:paraId="53760B0E" w14:textId="2D556ED8" w:rsidR="00374A4A" w:rsidRPr="00472D2C" w:rsidRDefault="00A61553" w:rsidP="00472D2C">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d</m:t>
              </m:r>
            </m:e>
            <m:sub>
              <m:r>
                <w:rPr>
                  <w:rFonts w:ascii="Cambria Math" w:hAnsi="Cambria Math"/>
                </w:rPr>
                <m:t>AAP</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0,jaz</m:t>
              </m:r>
            </m:sub>
          </m:sSub>
          <m:r>
            <m:rPr>
              <m:sty m:val="p"/>
            </m:rP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ctrlPr>
                    <w:rPr>
                      <w:rFonts w:ascii="Cambria Math" w:hAnsi="Cambria Math"/>
                      <w:i/>
                    </w:rPr>
                  </m:ctrlPr>
                </m:sub>
                <m:sup>
                  <m:ctrlPr>
                    <w:rPr>
                      <w:rFonts w:ascii="Cambria Math" w:hAnsi="Cambria Math"/>
                      <w:i/>
                    </w:rPr>
                  </m:ctrlPr>
                </m:sup>
                <m:e>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jar</m:t>
                      </m:r>
                    </m:sub>
                  </m:sSub>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da</m:t>
                      </m:r>
                    </m:sub>
                  </m:sSub>
                  <m:d>
                    <m:dPr>
                      <m:ctrlPr>
                        <w:rPr>
                          <w:rFonts w:ascii="Cambria Math" w:hAnsi="Cambria Math"/>
                          <w:i/>
                        </w:rPr>
                      </m:ctrlPr>
                    </m:dPr>
                    <m:e>
                      <m:r>
                        <w:rPr>
                          <w:rFonts w:ascii="Cambria Math" w:hAnsi="Cambria Math"/>
                        </w:rPr>
                        <m:t>PM</m:t>
                      </m:r>
                    </m:e>
                  </m:d>
                  <m:ctrlPr>
                    <w:rPr>
                      <w:rFonts w:ascii="Cambria Math" w:hAnsi="Cambria Math"/>
                      <w:i/>
                    </w:rPr>
                  </m:ctrlPr>
                </m:e>
              </m:nary>
              <m:r>
                <w:rPr>
                  <w:rFonts w:ascii="Cambria Math" w:hAnsi="Cambria Math"/>
                </w:rPr>
                <m:t>-1</m:t>
              </m:r>
              <m:ctrlPr>
                <w:rPr>
                  <w:rFonts w:ascii="Cambria Math" w:hAnsi="Cambria Math"/>
                  <w:i/>
                </w:rPr>
              </m:ctrlPr>
            </m:num>
            <m:den>
              <m:nary>
                <m:naryPr>
                  <m:chr m:val="∑"/>
                  <m:subHide m:val="1"/>
                  <m:supHide m:val="1"/>
                  <m:ctrlPr>
                    <w:rPr>
                      <w:rFonts w:ascii="Cambria Math" w:hAnsi="Cambria Math"/>
                    </w:rPr>
                  </m:ctrlPr>
                </m:naryPr>
                <m:sub>
                  <m:ctrlPr>
                    <w:rPr>
                      <w:rFonts w:ascii="Cambria Math" w:hAnsi="Cambria Math"/>
                      <w:i/>
                    </w:rPr>
                  </m:ctrlPr>
                </m:sub>
                <m:sup>
                  <m:ctrlPr>
                    <w:rPr>
                      <w:rFonts w:ascii="Cambria Math" w:hAnsi="Cambria Math"/>
                      <w:i/>
                    </w:rPr>
                  </m:ctrlPr>
                </m:sup>
                <m:e>
                  <m:r>
                    <w:rPr>
                      <w:rFonts w:ascii="Cambria Math" w:hAnsi="Cambria Math"/>
                    </w:rPr>
                    <m:t>po</m:t>
                  </m:r>
                  <m:sSub>
                    <m:sSubPr>
                      <m:ctrlPr>
                        <w:rPr>
                          <w:rFonts w:ascii="Cambria Math" w:hAnsi="Cambria Math"/>
                          <w:i/>
                        </w:rPr>
                      </m:ctrlPr>
                    </m:sSubPr>
                    <m:e>
                      <m:r>
                        <w:rPr>
                          <w:rFonts w:ascii="Cambria Math" w:hAnsi="Cambria Math"/>
                        </w:rPr>
                        <m:t>p</m:t>
                      </m:r>
                    </m:e>
                    <m:sub>
                      <m:r>
                        <w:rPr>
                          <w:rFonts w:ascii="Cambria Math" w:hAnsi="Cambria Math"/>
                        </w:rPr>
                        <m:t>jar</m:t>
                      </m:r>
                    </m:sub>
                  </m:sSub>
                  <m:r>
                    <w:rPr>
                      <w:rFonts w:ascii="Cambria Math" w:hAnsi="Cambria Math"/>
                    </w:rPr>
                    <m:t>R</m:t>
                  </m:r>
                  <m:sSub>
                    <m:sSubPr>
                      <m:ctrlPr>
                        <w:rPr>
                          <w:rFonts w:ascii="Cambria Math" w:hAnsi="Cambria Math"/>
                          <w:i/>
                        </w:rPr>
                      </m:ctrlPr>
                    </m:sSubPr>
                    <m:e>
                      <m:r>
                        <w:rPr>
                          <w:rFonts w:ascii="Cambria Math" w:hAnsi="Cambria Math"/>
                        </w:rPr>
                        <m:t>R</m:t>
                      </m:r>
                    </m:e>
                    <m:sub>
                      <m:r>
                        <w:rPr>
                          <w:rFonts w:ascii="Cambria Math" w:hAnsi="Cambria Math"/>
                        </w:rPr>
                        <m:t>da</m:t>
                      </m:r>
                    </m:sub>
                  </m:sSub>
                  <m:d>
                    <m:dPr>
                      <m:ctrlPr>
                        <w:rPr>
                          <w:rFonts w:ascii="Cambria Math" w:hAnsi="Cambria Math"/>
                          <w:i/>
                        </w:rPr>
                      </m:ctrlPr>
                    </m:dPr>
                    <m:e>
                      <m:r>
                        <w:rPr>
                          <w:rFonts w:ascii="Cambria Math" w:hAnsi="Cambria Math"/>
                        </w:rPr>
                        <m:t>PM</m:t>
                      </m:r>
                    </m:e>
                  </m:d>
                  <m:ctrlPr>
                    <w:rPr>
                      <w:rFonts w:ascii="Cambria Math" w:hAnsi="Cambria Math"/>
                      <w:i/>
                    </w:rPr>
                  </m:ctrlPr>
                </m:e>
              </m:nary>
              <m:ctrlPr>
                <w:rPr>
                  <w:rFonts w:ascii="Cambria Math" w:hAnsi="Cambria Math"/>
                  <w:i/>
                </w:rPr>
              </m:ctrlPr>
            </m:den>
          </m:f>
        </m:oMath>
      </m:oMathPara>
    </w:p>
    <w:p w14:paraId="418A2385" w14:textId="0EC4DF0A" w:rsidR="00472D2C" w:rsidRPr="006130C2" w:rsidRDefault="00472D2C" w:rsidP="00472D2C">
      <w:pPr>
        <w:spacing w:line="360" w:lineRule="auto"/>
        <w:jc w:val="both"/>
        <w:rPr>
          <w:rFonts w:eastAsiaTheme="minorEastAsia"/>
        </w:rPr>
      </w:pPr>
      <w:r>
        <w:rPr>
          <w:rFonts w:eastAsiaTheme="minorEastAsia"/>
        </w:rPr>
        <w:t xml:space="preserve">Thus, the mortality calculation reflects the spatial pattern of sources, as well as the population densities in each grid cell. It also takes into account the mortality rate, which in turn may also be a function of the average per capita income within the subnational region (in general the state) the grid cell is located in. </w:t>
      </w:r>
    </w:p>
    <w:p w14:paraId="0AEEA061" w14:textId="77777777" w:rsidR="00472D2C" w:rsidRPr="00472D2C" w:rsidRDefault="00472D2C" w:rsidP="00472D2C"/>
    <w:p w14:paraId="3F2B4423" w14:textId="31526890" w:rsidR="00277E1D" w:rsidRDefault="00277E1D" w:rsidP="00C32047">
      <w:pPr>
        <w:pStyle w:val="Heading1"/>
        <w:spacing w:line="360" w:lineRule="auto"/>
      </w:pPr>
      <w:bookmarkStart w:id="3" w:name="_Toc55241285"/>
      <w:r>
        <w:lastRenderedPageBreak/>
        <w:t>Data</w:t>
      </w:r>
      <w:bookmarkEnd w:id="3"/>
      <w:r>
        <w:t xml:space="preserve"> </w:t>
      </w:r>
    </w:p>
    <w:p w14:paraId="79039C8A" w14:textId="2BF618A9" w:rsidR="00E93F56" w:rsidRDefault="00281933" w:rsidP="00C32047">
      <w:pPr>
        <w:pStyle w:val="Heading2"/>
        <w:spacing w:line="360" w:lineRule="auto"/>
      </w:pPr>
      <w:bookmarkStart w:id="4" w:name="_Toc55241286"/>
      <w:r>
        <w:t xml:space="preserve">Population shares in </w:t>
      </w:r>
      <w:r w:rsidR="00DC1673">
        <w:t>deciles</w:t>
      </w:r>
      <w:bookmarkEnd w:id="4"/>
    </w:p>
    <w:p w14:paraId="1B1CCB16" w14:textId="4EE5D280" w:rsidR="008F0330" w:rsidRPr="008F0330" w:rsidRDefault="00FD4AC7" w:rsidP="00C32047">
      <w:pPr>
        <w:spacing w:line="360" w:lineRule="auto"/>
      </w:pPr>
      <w:r>
        <w:fldChar w:fldCharType="begin"/>
      </w:r>
      <w:r>
        <w:instrText xml:space="preserve"> REF _Ref50116076 \h </w:instrText>
      </w:r>
      <w:r w:rsidR="00411AD4">
        <w:instrText xml:space="preserve"> \* MERGEFORMAT </w:instrText>
      </w:r>
      <w:r>
        <w:fldChar w:fldCharType="separate"/>
      </w:r>
      <w:r w:rsidR="00F84921">
        <w:t xml:space="preserve">Figure </w:t>
      </w:r>
      <w:r w:rsidR="00F84921">
        <w:rPr>
          <w:noProof/>
        </w:rPr>
        <w:t>1</w:t>
      </w:r>
      <w:r>
        <w:fldChar w:fldCharType="end"/>
      </w:r>
      <w:r>
        <w:t xml:space="preserve"> shows the </w:t>
      </w:r>
      <w:r w:rsidR="005D7F49">
        <w:t>u</w:t>
      </w:r>
      <w:r w:rsidR="005D7F49" w:rsidRPr="005D7F49">
        <w:t>rban and rural population shares by decile in India in 2010</w:t>
      </w:r>
      <w:r w:rsidR="005D7F49">
        <w:t xml:space="preserve">. </w:t>
      </w:r>
      <w:r w:rsidR="0035035E">
        <w:t>We use a</w:t>
      </w:r>
      <w:r w:rsidR="005D7F49">
        <w:t xml:space="preserve"> total population </w:t>
      </w:r>
      <w:r w:rsidR="0035035E">
        <w:t>of</w:t>
      </w:r>
      <w:r w:rsidR="005D7F49">
        <w:t xml:space="preserve"> </w:t>
      </w:r>
      <w:r w:rsidR="006F3248" w:rsidRPr="006F3248">
        <w:t>1</w:t>
      </w:r>
      <w:r w:rsidR="006F3248">
        <w:t>,</w:t>
      </w:r>
      <w:r w:rsidR="006F3248" w:rsidRPr="006F3248">
        <w:t>049</w:t>
      </w:r>
      <w:r w:rsidR="0035035E">
        <w:t>,</w:t>
      </w:r>
      <w:r w:rsidR="006F3248" w:rsidRPr="006F3248">
        <w:t>504</w:t>
      </w:r>
      <w:r w:rsidR="0035035E">
        <w:t>,</w:t>
      </w:r>
      <w:r w:rsidR="006F3248" w:rsidRPr="006F3248">
        <w:t>637</w:t>
      </w:r>
      <w:r w:rsidR="0035035E">
        <w:t xml:space="preserve"> people.</w:t>
      </w:r>
    </w:p>
    <w:p w14:paraId="3F60FCE7" w14:textId="77777777" w:rsidR="008F0330" w:rsidRDefault="008F0330" w:rsidP="00C32047">
      <w:pPr>
        <w:keepNext/>
        <w:spacing w:line="360" w:lineRule="auto"/>
      </w:pPr>
      <w:r>
        <w:rPr>
          <w:noProof/>
        </w:rPr>
        <w:drawing>
          <wp:inline distT="0" distB="0" distL="0" distR="0" wp14:anchorId="088FC0AD" wp14:editId="5FB488EF">
            <wp:extent cx="4805095" cy="3303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303" cy="3306850"/>
                    </a:xfrm>
                    <a:prstGeom prst="rect">
                      <a:avLst/>
                    </a:prstGeom>
                    <a:noFill/>
                    <a:ln>
                      <a:noFill/>
                    </a:ln>
                  </pic:spPr>
                </pic:pic>
              </a:graphicData>
            </a:graphic>
          </wp:inline>
        </w:drawing>
      </w:r>
    </w:p>
    <w:p w14:paraId="4920B8A0" w14:textId="1AE52C74" w:rsidR="00E379C1" w:rsidRPr="00E379C1" w:rsidRDefault="008F0330" w:rsidP="00C32047">
      <w:pPr>
        <w:pStyle w:val="Caption"/>
        <w:spacing w:line="360" w:lineRule="auto"/>
      </w:pPr>
      <w:bookmarkStart w:id="5" w:name="_Ref50116076"/>
      <w:r>
        <w:t xml:space="preserve">Figure </w:t>
      </w:r>
      <w:r w:rsidR="00A61553">
        <w:fldChar w:fldCharType="begin"/>
      </w:r>
      <w:r w:rsidR="00A61553">
        <w:instrText xml:space="preserve"> SEQ Figure \* ARABIC </w:instrText>
      </w:r>
      <w:r w:rsidR="00A61553">
        <w:fldChar w:fldCharType="separate"/>
      </w:r>
      <w:r w:rsidR="00F84921">
        <w:rPr>
          <w:noProof/>
        </w:rPr>
        <w:t>1</w:t>
      </w:r>
      <w:r w:rsidR="00A61553">
        <w:rPr>
          <w:noProof/>
        </w:rPr>
        <w:fldChar w:fldCharType="end"/>
      </w:r>
      <w:bookmarkEnd w:id="5"/>
      <w:r>
        <w:t xml:space="preserve"> </w:t>
      </w:r>
      <w:r w:rsidR="003C7250">
        <w:t xml:space="preserve">Urban and rural </w:t>
      </w:r>
      <w:r w:rsidR="00FD4AC7">
        <w:t>p</w:t>
      </w:r>
      <w:r>
        <w:t xml:space="preserve">opulation shares </w:t>
      </w:r>
      <w:r w:rsidR="00FD4AC7">
        <w:t>by decile in India in 2010.</w:t>
      </w:r>
      <w:r>
        <w:t xml:space="preserve"> </w:t>
      </w:r>
    </w:p>
    <w:p w14:paraId="5C0A8032" w14:textId="77777777" w:rsidR="00DC5DE3" w:rsidRPr="00DC5DE3" w:rsidRDefault="00DC5DE3" w:rsidP="00C32047">
      <w:pPr>
        <w:spacing w:line="360" w:lineRule="auto"/>
      </w:pPr>
    </w:p>
    <w:p w14:paraId="71258BEB" w14:textId="167634CC" w:rsidR="00264496" w:rsidRDefault="00264496" w:rsidP="00C32047">
      <w:pPr>
        <w:pStyle w:val="Heading2"/>
        <w:spacing w:line="360" w:lineRule="auto"/>
      </w:pPr>
      <w:bookmarkStart w:id="6" w:name="_Toc55241287"/>
      <w:r>
        <w:t>The three scenarios</w:t>
      </w:r>
      <w:bookmarkEnd w:id="6"/>
    </w:p>
    <w:p w14:paraId="1C3D4F48" w14:textId="26181E8E" w:rsidR="006C1D5B" w:rsidRDefault="006C1D5B" w:rsidP="00C32047">
      <w:pPr>
        <w:spacing w:line="360" w:lineRule="auto"/>
        <w:jc w:val="both"/>
      </w:pPr>
      <w:r>
        <w:fldChar w:fldCharType="begin"/>
      </w:r>
      <w:r>
        <w:instrText xml:space="preserve"> REF _Ref50114375 \h </w:instrText>
      </w:r>
      <w:r w:rsidR="00411AD4">
        <w:instrText xml:space="preserve"> \* MERGEFORMAT </w:instrText>
      </w:r>
      <w:r>
        <w:fldChar w:fldCharType="separate"/>
      </w:r>
      <w:r w:rsidR="00F84921">
        <w:t xml:space="preserve">Figure </w:t>
      </w:r>
      <w:r w:rsidR="00F84921">
        <w:rPr>
          <w:noProof/>
        </w:rPr>
        <w:t>2</w:t>
      </w:r>
      <w:r>
        <w:fldChar w:fldCharType="end"/>
      </w:r>
      <w:r>
        <w:t xml:space="preserve"> shows the emissions of of primary PM</w:t>
      </w:r>
      <w:r w:rsidR="00192BEA" w:rsidRPr="00192BEA">
        <w:rPr>
          <w:vertAlign w:val="subscript"/>
        </w:rPr>
        <w:t>2.5</w:t>
      </w:r>
      <w:r>
        <w:t xml:space="preserve"> and its precursors in the three scenarios discussed in the paper, aggregated to GNFR sectors. </w:t>
      </w:r>
      <w:r w:rsidRPr="002E7D82">
        <w:t xml:space="preserve">GNFR is an  aggregated  version  of  the  NFR  (Nomenclature For Reporting) which is used by individual country emission reporting to </w:t>
      </w:r>
      <w:r>
        <w:t>the</w:t>
      </w:r>
      <w:r w:rsidRPr="002E7D82">
        <w:t xml:space="preserve"> EU</w:t>
      </w:r>
      <w:r>
        <w:t>.</w:t>
      </w:r>
    </w:p>
    <w:p w14:paraId="4FED15DE" w14:textId="556CD8E3" w:rsidR="000B08D6" w:rsidRDefault="000B08D6" w:rsidP="00C32047">
      <w:pPr>
        <w:spacing w:line="360" w:lineRule="auto"/>
        <w:jc w:val="both"/>
      </w:pPr>
    </w:p>
    <w:p w14:paraId="4BC9643D" w14:textId="0FED26A6" w:rsidR="000B08D6" w:rsidRDefault="000B08D6" w:rsidP="00C32047">
      <w:pPr>
        <w:spacing w:line="360" w:lineRule="auto"/>
        <w:jc w:val="both"/>
      </w:pPr>
      <w:r>
        <w:t>The effects of the two alternative policies can clearly be discerned. For the CC scenario, only the house</w:t>
      </w:r>
      <w:r w:rsidR="005328E0">
        <w:t>hold emissions (‘C_SmallComb’ = small combustion, light grey) is reduced</w:t>
      </w:r>
      <w:r w:rsidR="00B32003">
        <w:t xml:space="preserve"> for all relevant pollutants, whereas all other emission categories stay at reference levels. For the </w:t>
      </w:r>
      <w:r w:rsidR="00D3235F">
        <w:t xml:space="preserve">MCO </w:t>
      </w:r>
      <w:r w:rsidR="00736AB1">
        <w:t xml:space="preserve">emissions from </w:t>
      </w:r>
      <w:r w:rsidR="00D3235F">
        <w:t>all other sectors</w:t>
      </w:r>
      <w:r w:rsidR="00736AB1">
        <w:t xml:space="preserve"> are reduced to the maximum technically feasible reduction level</w:t>
      </w:r>
      <w:r w:rsidR="00451D76">
        <w:t xml:space="preserve">. This level is determined by </w:t>
      </w:r>
      <w:r w:rsidR="00C77837">
        <w:t>essentially applying emission standards from a major western European countr</w:t>
      </w:r>
      <w:r w:rsidR="00444131">
        <w:t>y</w:t>
      </w:r>
      <w:r w:rsidR="00C77837">
        <w:t xml:space="preserve"> to </w:t>
      </w:r>
      <w:r w:rsidR="00444131">
        <w:t xml:space="preserve">India. </w:t>
      </w:r>
      <w:r w:rsidR="006E4ECF">
        <w:t xml:space="preserve">The CC scenario is obtained by </w:t>
      </w:r>
      <w:r w:rsidR="00192512">
        <w:t>removing all solid fuels for cooking from the</w:t>
      </w:r>
      <w:r w:rsidR="00C0051F">
        <w:t xml:space="preserve"> reference</w:t>
      </w:r>
      <w:r w:rsidR="00192512">
        <w:t xml:space="preserve"> scenario, assuming that </w:t>
      </w:r>
      <w:r w:rsidR="00C0051F">
        <w:t xml:space="preserve">the replacement fuels will not </w:t>
      </w:r>
      <w:r w:rsidR="0097421E">
        <w:t xml:space="preserve">cause significant emissions for the relevant air pollutants. </w:t>
      </w:r>
      <w:r w:rsidR="00504378">
        <w:t>This is certainly true for primary PM</w:t>
      </w:r>
      <w:r w:rsidR="00192BEA" w:rsidRPr="00192BEA">
        <w:rPr>
          <w:vertAlign w:val="subscript"/>
        </w:rPr>
        <w:t>2.5</w:t>
      </w:r>
      <w:r w:rsidR="00504378">
        <w:t xml:space="preserve">, SO2 and </w:t>
      </w:r>
      <w:r w:rsidR="00677C3B">
        <w:t>NH3. For NOx and VOC this</w:t>
      </w:r>
      <w:r w:rsidR="0097421E">
        <w:t xml:space="preserve"> is a minor simplification</w:t>
      </w:r>
      <w:r w:rsidR="00C43114">
        <w:t>, so the resulting NOx and VOC reduction in the CC scenario may be slightly overestimated</w:t>
      </w:r>
      <w:r w:rsidR="00D640DD">
        <w:t xml:space="preserve">; however, </w:t>
      </w:r>
      <w:r w:rsidR="00D640DD">
        <w:lastRenderedPageBreak/>
        <w:t>the impact of VOC on secondary</w:t>
      </w:r>
      <w:r w:rsidR="00191968">
        <w:t xml:space="preserve"> PM</w:t>
      </w:r>
      <w:r w:rsidR="00192BEA" w:rsidRPr="00192BEA">
        <w:rPr>
          <w:vertAlign w:val="subscript"/>
        </w:rPr>
        <w:t>2.5</w:t>
      </w:r>
      <w:r w:rsidR="00191968">
        <w:t xml:space="preserve"> is relatively small and for NOx the relative error introduced by this simplification is minor</w:t>
      </w:r>
      <w:r w:rsidR="00E379C1">
        <w:t xml:space="preserve"> already at the level of emissions</w:t>
      </w:r>
      <w:r w:rsidR="00191968">
        <w:t xml:space="preserve">. </w:t>
      </w:r>
    </w:p>
    <w:p w14:paraId="771750FF" w14:textId="77777777" w:rsidR="006C1D5B" w:rsidRDefault="006C1D5B" w:rsidP="00C32047">
      <w:pPr>
        <w:spacing w:line="360" w:lineRule="auto"/>
      </w:pPr>
    </w:p>
    <w:p w14:paraId="4FD43D37" w14:textId="77777777" w:rsidR="006C1D5B" w:rsidRPr="006C1D5B" w:rsidRDefault="006C1D5B" w:rsidP="00C32047">
      <w:pPr>
        <w:spacing w:line="360" w:lineRule="auto"/>
      </w:pPr>
    </w:p>
    <w:p w14:paraId="284DC96F" w14:textId="77777777" w:rsidR="00EB17FB" w:rsidRDefault="00EB17FB" w:rsidP="00C32047">
      <w:pPr>
        <w:keepNext/>
        <w:spacing w:line="360" w:lineRule="auto"/>
      </w:pPr>
      <w:r>
        <w:rPr>
          <w:noProof/>
        </w:rPr>
        <w:drawing>
          <wp:inline distT="0" distB="0" distL="0" distR="0" wp14:anchorId="37C16CD6" wp14:editId="27E3A965">
            <wp:extent cx="5733415" cy="366966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3415" cy="3669665"/>
                    </a:xfrm>
                    <a:prstGeom prst="rect">
                      <a:avLst/>
                    </a:prstGeom>
                    <a:noFill/>
                    <a:ln>
                      <a:noFill/>
                    </a:ln>
                  </pic:spPr>
                </pic:pic>
              </a:graphicData>
            </a:graphic>
          </wp:inline>
        </w:drawing>
      </w:r>
    </w:p>
    <w:p w14:paraId="4875A2CB" w14:textId="7DA75305" w:rsidR="00264496" w:rsidRDefault="00EB17FB" w:rsidP="00C32047">
      <w:pPr>
        <w:pStyle w:val="Caption"/>
        <w:spacing w:line="360" w:lineRule="auto"/>
      </w:pPr>
      <w:bookmarkStart w:id="7" w:name="_Ref50114375"/>
      <w:r>
        <w:t xml:space="preserve">Figure </w:t>
      </w:r>
      <w:r w:rsidR="00A61553">
        <w:fldChar w:fldCharType="begin"/>
      </w:r>
      <w:r w:rsidR="00A61553">
        <w:instrText xml:space="preserve"> SEQ Figure \* ARABIC </w:instrText>
      </w:r>
      <w:r w:rsidR="00A61553">
        <w:fldChar w:fldCharType="separate"/>
      </w:r>
      <w:r w:rsidR="00F84921">
        <w:rPr>
          <w:noProof/>
        </w:rPr>
        <w:t>2</w:t>
      </w:r>
      <w:r w:rsidR="00A61553">
        <w:rPr>
          <w:noProof/>
        </w:rPr>
        <w:fldChar w:fldCharType="end"/>
      </w:r>
      <w:bookmarkEnd w:id="7"/>
      <w:r>
        <w:t xml:space="preserve"> Emissions of primary PM</w:t>
      </w:r>
      <w:r w:rsidR="00192BEA" w:rsidRPr="00192BEA">
        <w:rPr>
          <w:vertAlign w:val="subscript"/>
        </w:rPr>
        <w:t>2.5</w:t>
      </w:r>
      <w:r>
        <w:t xml:space="preserve"> and its precursors in the three scenarios discussed in the paper</w:t>
      </w:r>
      <w:r w:rsidR="003D6C64">
        <w:t>, aggregated to GNFR</w:t>
      </w:r>
      <w:r w:rsidR="007E6A88">
        <w:t xml:space="preserve"> source categories</w:t>
      </w:r>
      <w:r w:rsidR="009B38DA">
        <w:t xml:space="preserve">. </w:t>
      </w:r>
      <w:r w:rsidR="00402189">
        <w:t>(Source: GAINS</w:t>
      </w:r>
      <w:r w:rsidR="00451D76">
        <w:t>)</w:t>
      </w:r>
    </w:p>
    <w:p w14:paraId="74CE82BF" w14:textId="77777777" w:rsidR="00AF0DFA" w:rsidRDefault="00AF0DFA" w:rsidP="00C32047">
      <w:pPr>
        <w:spacing w:line="360" w:lineRule="auto"/>
        <w:rPr>
          <w:highlight w:val="yellow"/>
        </w:rPr>
      </w:pPr>
    </w:p>
    <w:p w14:paraId="4762CD30" w14:textId="77777777" w:rsidR="00AF0DFA" w:rsidRPr="008F04E1" w:rsidRDefault="00AF0DFA" w:rsidP="00AF0DFA">
      <w:pPr>
        <w:keepNext/>
        <w:spacing w:line="360" w:lineRule="auto"/>
      </w:pPr>
      <w:r w:rsidRPr="008F04E1">
        <w:rPr>
          <w:noProof/>
        </w:rPr>
        <w:drawing>
          <wp:inline distT="0" distB="0" distL="0" distR="0" wp14:anchorId="1B64D2DB" wp14:editId="45F88DB8">
            <wp:extent cx="5724525" cy="2867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2867025"/>
                    </a:xfrm>
                    <a:prstGeom prst="rect">
                      <a:avLst/>
                    </a:prstGeom>
                    <a:noFill/>
                    <a:ln>
                      <a:noFill/>
                    </a:ln>
                  </pic:spPr>
                </pic:pic>
              </a:graphicData>
            </a:graphic>
          </wp:inline>
        </w:drawing>
      </w:r>
    </w:p>
    <w:p w14:paraId="34668195" w14:textId="17E8947E" w:rsidR="00AF0DFA" w:rsidRPr="008F04E1" w:rsidRDefault="00AF0DFA" w:rsidP="00AF0DFA">
      <w:pPr>
        <w:pStyle w:val="Caption"/>
      </w:pPr>
      <w:bookmarkStart w:id="8" w:name="_Ref55232839"/>
      <w:r w:rsidRPr="008F04E1">
        <w:t xml:space="preserve">Figure </w:t>
      </w:r>
      <w:r w:rsidR="00A61553">
        <w:fldChar w:fldCharType="begin"/>
      </w:r>
      <w:r w:rsidR="00A61553">
        <w:instrText xml:space="preserve"> SEQ Figure \* ARABIC </w:instrText>
      </w:r>
      <w:r w:rsidR="00A61553">
        <w:fldChar w:fldCharType="separate"/>
      </w:r>
      <w:r w:rsidR="00F84921">
        <w:rPr>
          <w:noProof/>
        </w:rPr>
        <w:t>3</w:t>
      </w:r>
      <w:r w:rsidR="00A61553">
        <w:rPr>
          <w:noProof/>
        </w:rPr>
        <w:fldChar w:fldCharType="end"/>
      </w:r>
      <w:bookmarkEnd w:id="8"/>
      <w:r w:rsidRPr="008F04E1">
        <w:t xml:space="preserve"> </w:t>
      </w:r>
      <w:r w:rsidR="00214130" w:rsidRPr="008F04E1">
        <w:t>C</w:t>
      </w:r>
      <w:r w:rsidRPr="008F04E1">
        <w:t>ontribution</w:t>
      </w:r>
      <w:r w:rsidR="00214130" w:rsidRPr="008F04E1">
        <w:t>s by sector</w:t>
      </w:r>
      <w:r w:rsidR="00835BF5" w:rsidRPr="008F04E1">
        <w:t xml:space="preserve"> groups </w:t>
      </w:r>
      <w:r w:rsidR="00214130" w:rsidRPr="008F04E1">
        <w:t xml:space="preserve">to </w:t>
      </w:r>
      <w:r w:rsidR="006975F2" w:rsidRPr="008F04E1">
        <w:t>ambien</w:t>
      </w:r>
      <w:r w:rsidR="00835BF5" w:rsidRPr="008F04E1">
        <w:t>t</w:t>
      </w:r>
      <w:r w:rsidR="00214130" w:rsidRPr="008F04E1">
        <w:t xml:space="preserve"> </w:t>
      </w:r>
      <w:r w:rsidR="006975F2" w:rsidRPr="008F04E1">
        <w:t>PM</w:t>
      </w:r>
      <w:r w:rsidR="00192BEA" w:rsidRPr="00192BEA">
        <w:rPr>
          <w:vertAlign w:val="subscript"/>
        </w:rPr>
        <w:t>2.5</w:t>
      </w:r>
      <w:r w:rsidR="006975F2" w:rsidRPr="008F04E1">
        <w:t xml:space="preserve"> concentration for each </w:t>
      </w:r>
      <w:r w:rsidR="00835BF5" w:rsidRPr="008F04E1">
        <w:t xml:space="preserve">of the </w:t>
      </w:r>
      <w:r w:rsidR="006975F2" w:rsidRPr="008F04E1">
        <w:t>scenari</w:t>
      </w:r>
      <w:r w:rsidR="00171CF5">
        <w:t>os</w:t>
      </w:r>
      <w:r w:rsidR="002938C4">
        <w:t>.</w:t>
      </w:r>
    </w:p>
    <w:p w14:paraId="4D68ABCF" w14:textId="0FE93742" w:rsidR="009B38DA" w:rsidRDefault="006975F2" w:rsidP="00C32047">
      <w:pPr>
        <w:spacing w:line="360" w:lineRule="auto"/>
      </w:pPr>
      <w:r w:rsidRPr="008F04E1">
        <w:lastRenderedPageBreak/>
        <w:fldChar w:fldCharType="begin"/>
      </w:r>
      <w:r w:rsidRPr="008F04E1">
        <w:instrText xml:space="preserve"> REF _Ref55232839 \h </w:instrText>
      </w:r>
      <w:r w:rsidR="008F04E1">
        <w:instrText xml:space="preserve"> \* MERGEFORMAT </w:instrText>
      </w:r>
      <w:r w:rsidRPr="008F04E1">
        <w:fldChar w:fldCharType="separate"/>
      </w:r>
      <w:r w:rsidR="00F84921" w:rsidRPr="008F04E1">
        <w:t xml:space="preserve">Figure </w:t>
      </w:r>
      <w:r w:rsidR="00F84921">
        <w:rPr>
          <w:noProof/>
        </w:rPr>
        <w:t>3</w:t>
      </w:r>
      <w:r w:rsidRPr="008F04E1">
        <w:fldChar w:fldCharType="end"/>
      </w:r>
      <w:r w:rsidRPr="008F04E1">
        <w:t xml:space="preserve"> shows the b</w:t>
      </w:r>
      <w:r w:rsidR="00097560" w:rsidRPr="008F04E1">
        <w:t>reakdown of contributions to ambient PM</w:t>
      </w:r>
      <w:r w:rsidR="00192BEA" w:rsidRPr="00192BEA">
        <w:rPr>
          <w:vertAlign w:val="subscript"/>
        </w:rPr>
        <w:t>2.5</w:t>
      </w:r>
      <w:r w:rsidR="00097560" w:rsidRPr="008F04E1">
        <w:t xml:space="preserve"> levels</w:t>
      </w:r>
      <w:r w:rsidR="00EA16D2" w:rsidRPr="008F04E1">
        <w:t xml:space="preserve"> for the different scenarios, </w:t>
      </w:r>
      <w:r w:rsidR="00AE4FC2">
        <w:t xml:space="preserve">i.e. </w:t>
      </w:r>
      <w:r w:rsidR="00EA16D2" w:rsidRPr="008F04E1">
        <w:t xml:space="preserve">a comparison of the right hand panel of Figure </w:t>
      </w:r>
      <w:r w:rsidR="00097560" w:rsidRPr="008F04E1">
        <w:t>1</w:t>
      </w:r>
      <w:r w:rsidRPr="008F04E1">
        <w:t xml:space="preserve"> of the main text </w:t>
      </w:r>
      <w:r w:rsidR="00EA16D2" w:rsidRPr="008F04E1">
        <w:t>across scenarios</w:t>
      </w:r>
      <w:r w:rsidR="00733A51" w:rsidRPr="008F04E1">
        <w:t>.</w:t>
      </w:r>
    </w:p>
    <w:p w14:paraId="62C96D12" w14:textId="61647155" w:rsidR="00024ECA" w:rsidRPr="007039F3" w:rsidRDefault="00024ECA" w:rsidP="00C32047">
      <w:pPr>
        <w:pStyle w:val="Heading2"/>
        <w:spacing w:line="360" w:lineRule="auto"/>
      </w:pPr>
      <w:bookmarkStart w:id="9" w:name="_Toc55241288"/>
      <w:r>
        <w:t>Open data / open code</w:t>
      </w:r>
      <w:bookmarkEnd w:id="9"/>
    </w:p>
    <w:p w14:paraId="0BB7D1A4" w14:textId="3491BD77" w:rsidR="009714C1" w:rsidRDefault="00560D70" w:rsidP="00653F53">
      <w:pPr>
        <w:spacing w:line="360" w:lineRule="auto"/>
        <w:jc w:val="both"/>
      </w:pPr>
      <w:r>
        <w:t xml:space="preserve">The scenario data are </w:t>
      </w:r>
      <w:r w:rsidR="00995E63">
        <w:t>available in the GAINS online model</w:t>
      </w:r>
      <w:r w:rsidR="002C30EA">
        <w:t>.</w:t>
      </w:r>
      <w:r w:rsidR="00D51C0B" w:rsidRPr="006F0B31">
        <w:rPr>
          <w:rStyle w:val="FootnoteReference"/>
        </w:rPr>
        <w:footnoteReference w:id="3"/>
      </w:r>
      <w:r w:rsidR="002C30EA">
        <w:t xml:space="preserve"> </w:t>
      </w:r>
      <w:r w:rsidR="000513A2">
        <w:t xml:space="preserve">While emission </w:t>
      </w:r>
      <w:r w:rsidR="002C30EA">
        <w:t xml:space="preserve">data </w:t>
      </w:r>
      <w:r w:rsidR="000513A2">
        <w:t xml:space="preserve">are in principle </w:t>
      </w:r>
      <w:r w:rsidR="00653F53">
        <w:t xml:space="preserve">openly </w:t>
      </w:r>
      <w:r w:rsidR="00D51C0B">
        <w:t>accessible, interested parties are requ</w:t>
      </w:r>
      <w:r w:rsidR="00315B60">
        <w:t>ested to contact the authors to obtain guidance</w:t>
      </w:r>
      <w:r w:rsidR="00B107A8">
        <w:t xml:space="preserve"> on the choice of datasets that have actually been used for this paper.</w:t>
      </w:r>
    </w:p>
    <w:p w14:paraId="14C5F40B" w14:textId="691CAA22" w:rsidR="00277E1D" w:rsidRDefault="00277E1D" w:rsidP="00C32047">
      <w:pPr>
        <w:pStyle w:val="Heading1"/>
        <w:spacing w:line="360" w:lineRule="auto"/>
      </w:pPr>
      <w:bookmarkStart w:id="10" w:name="_Toc55241289"/>
      <w:r>
        <w:t>Results</w:t>
      </w:r>
      <w:bookmarkEnd w:id="10"/>
    </w:p>
    <w:p w14:paraId="48FB6F80" w14:textId="172CA6F8" w:rsidR="005335EE" w:rsidRDefault="005335EE" w:rsidP="00C32047">
      <w:pPr>
        <w:pStyle w:val="Heading2"/>
        <w:spacing w:line="360" w:lineRule="auto"/>
      </w:pPr>
      <w:bookmarkStart w:id="11" w:name="_Toc55241290"/>
      <w:r>
        <w:t>Se</w:t>
      </w:r>
      <w:r w:rsidR="008853C3">
        <w:t xml:space="preserve">nsitivity case: mortality </w:t>
      </w:r>
      <w:r w:rsidR="00D132C7">
        <w:t xml:space="preserve">related to </w:t>
      </w:r>
      <w:r w:rsidR="008853C3">
        <w:t xml:space="preserve">ambient air pollution </w:t>
      </w:r>
      <w:r w:rsidR="00D132C7">
        <w:t>only</w:t>
      </w:r>
      <w:bookmarkEnd w:id="11"/>
    </w:p>
    <w:p w14:paraId="05A4290F" w14:textId="3404CE7B" w:rsidR="000F0E06" w:rsidRDefault="00044CE9" w:rsidP="00C32047">
      <w:pPr>
        <w:spacing w:line="360" w:lineRule="auto"/>
        <w:jc w:val="both"/>
        <w:rPr>
          <w:b/>
          <w:bCs/>
          <w:color w:val="FF0000"/>
        </w:rPr>
      </w:pPr>
      <w:r>
        <w:fldChar w:fldCharType="begin"/>
      </w:r>
      <w:r>
        <w:instrText xml:space="preserve"> REF _Ref50116515 \h </w:instrText>
      </w:r>
      <w:r w:rsidR="00411AD4">
        <w:instrText xml:space="preserve"> \* MERGEFORMAT </w:instrText>
      </w:r>
      <w:r>
        <w:fldChar w:fldCharType="separate"/>
      </w:r>
      <w:r w:rsidR="00F84921">
        <w:t xml:space="preserve">Figure </w:t>
      </w:r>
      <w:r w:rsidR="00F84921">
        <w:rPr>
          <w:noProof/>
        </w:rPr>
        <w:t>4</w:t>
      </w:r>
      <w:r>
        <w:fldChar w:fldCharType="end"/>
      </w:r>
      <w:r>
        <w:t xml:space="preserve"> shows a version of Figure 3 of the main text, when only the mortality from ambient PM</w:t>
      </w:r>
      <w:r w:rsidR="00192BEA" w:rsidRPr="00192BEA">
        <w:rPr>
          <w:vertAlign w:val="subscript"/>
        </w:rPr>
        <w:t>2.5</w:t>
      </w:r>
      <w:r>
        <w:t xml:space="preserve"> concentration is considered instead of the total mortality from PM</w:t>
      </w:r>
      <w:r w:rsidR="00192BEA" w:rsidRPr="00192BEA">
        <w:rPr>
          <w:vertAlign w:val="subscript"/>
        </w:rPr>
        <w:t>2.5</w:t>
      </w:r>
      <w:r>
        <w:t xml:space="preserve"> including indoor air pollution</w:t>
      </w:r>
      <w:r w:rsidR="00827F99">
        <w:t xml:space="preserve"> (dashed lines)</w:t>
      </w:r>
      <w:r>
        <w:t>.</w:t>
      </w:r>
      <w:r w:rsidR="00827F99">
        <w:t xml:space="preserve"> The full </w:t>
      </w:r>
      <w:r w:rsidR="003B03C3">
        <w:t xml:space="preserve">lines </w:t>
      </w:r>
      <w:r w:rsidR="008A464F">
        <w:t xml:space="preserve">(contributions) are unchanged. While the scale of the mortality is different (right axis), </w:t>
      </w:r>
      <w:r w:rsidR="00D94C0B">
        <w:t>the inequality across deciles is comparable</w:t>
      </w:r>
      <w:r w:rsidR="000F0E06">
        <w:t xml:space="preserve"> comparing the two figures</w:t>
      </w:r>
      <w:r w:rsidR="00322126">
        <w:t>.</w:t>
      </w:r>
    </w:p>
    <w:p w14:paraId="270E4220" w14:textId="05C7D621" w:rsidR="00D132C7" w:rsidRDefault="00D132C7" w:rsidP="00C32047">
      <w:pPr>
        <w:spacing w:line="360" w:lineRule="auto"/>
        <w:jc w:val="both"/>
      </w:pPr>
    </w:p>
    <w:p w14:paraId="424B9475" w14:textId="77777777" w:rsidR="00002D89" w:rsidRDefault="00D132C7" w:rsidP="00C32047">
      <w:pPr>
        <w:keepNext/>
        <w:spacing w:line="360" w:lineRule="auto"/>
        <w:jc w:val="center"/>
      </w:pPr>
      <w:r>
        <w:rPr>
          <w:noProof/>
        </w:rPr>
        <w:drawing>
          <wp:inline distT="0" distB="0" distL="0" distR="0" wp14:anchorId="1F179328" wp14:editId="3BA775C3">
            <wp:extent cx="4799407" cy="3533775"/>
            <wp:effectExtent l="0" t="0" r="1270" b="0"/>
            <wp:docPr id="293996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23887" cy="3551800"/>
                    </a:xfrm>
                    <a:prstGeom prst="rect">
                      <a:avLst/>
                    </a:prstGeom>
                  </pic:spPr>
                </pic:pic>
              </a:graphicData>
            </a:graphic>
          </wp:inline>
        </w:drawing>
      </w:r>
    </w:p>
    <w:p w14:paraId="481E6F40" w14:textId="3FDE6AA7" w:rsidR="00D132C7" w:rsidRDefault="00002D89" w:rsidP="00C32047">
      <w:pPr>
        <w:pStyle w:val="Caption"/>
        <w:spacing w:line="360" w:lineRule="auto"/>
        <w:jc w:val="center"/>
      </w:pPr>
      <w:bookmarkStart w:id="12" w:name="_Ref50116515"/>
      <w:r>
        <w:t xml:space="preserve">Figure </w:t>
      </w:r>
      <w:r w:rsidR="00A61553">
        <w:fldChar w:fldCharType="begin"/>
      </w:r>
      <w:r w:rsidR="00A61553">
        <w:instrText xml:space="preserve"> SEQ Figure \* ARABIC </w:instrText>
      </w:r>
      <w:r w:rsidR="00A61553">
        <w:fldChar w:fldCharType="separate"/>
      </w:r>
      <w:r w:rsidR="00F84921">
        <w:rPr>
          <w:noProof/>
        </w:rPr>
        <w:t>4</w:t>
      </w:r>
      <w:r w:rsidR="00A61553">
        <w:rPr>
          <w:noProof/>
        </w:rPr>
        <w:fldChar w:fldCharType="end"/>
      </w:r>
      <w:bookmarkEnd w:id="12"/>
      <w:r>
        <w:t xml:space="preserve"> Version of </w:t>
      </w:r>
      <w:r w:rsidR="00E2231D">
        <w:t>Figure 3</w:t>
      </w:r>
      <w:r w:rsidR="003B142E">
        <w:t xml:space="preserve"> (left panel)</w:t>
      </w:r>
      <w:r w:rsidR="00E2231D">
        <w:t xml:space="preserve"> of the main text, when only the mortality from ambient PM</w:t>
      </w:r>
      <w:r w:rsidR="00192BEA" w:rsidRPr="00192BEA">
        <w:rPr>
          <w:vertAlign w:val="subscript"/>
        </w:rPr>
        <w:t>2.5</w:t>
      </w:r>
      <w:r w:rsidR="00E2231D">
        <w:t xml:space="preserve"> concentration is</w:t>
      </w:r>
      <w:r w:rsidR="00951E5E">
        <w:t xml:space="preserve"> considered instead of the total mortality from PM</w:t>
      </w:r>
      <w:r w:rsidR="00192BEA" w:rsidRPr="00192BEA">
        <w:rPr>
          <w:vertAlign w:val="subscript"/>
        </w:rPr>
        <w:t>2.5</w:t>
      </w:r>
      <w:r w:rsidR="00951E5E">
        <w:t xml:space="preserve"> including indoor air pollution. </w:t>
      </w:r>
      <w:r w:rsidR="003B03C3">
        <w:t>(dashed lines)</w:t>
      </w:r>
    </w:p>
    <w:p w14:paraId="106AC08B" w14:textId="045F856C" w:rsidR="00A93716" w:rsidRDefault="00A93716" w:rsidP="00C32047">
      <w:pPr>
        <w:pStyle w:val="Heading2"/>
        <w:spacing w:line="360" w:lineRule="auto"/>
      </w:pPr>
      <w:bookmarkStart w:id="13" w:name="_Toc55241291"/>
      <w:r>
        <w:lastRenderedPageBreak/>
        <w:t>The PEI for ambient PM</w:t>
      </w:r>
      <w:r w:rsidR="00192BEA" w:rsidRPr="00192BEA">
        <w:rPr>
          <w:vertAlign w:val="subscript"/>
        </w:rPr>
        <w:t>2.5</w:t>
      </w:r>
      <w:r>
        <w:t xml:space="preserve"> pollution only</w:t>
      </w:r>
      <w:bookmarkEnd w:id="13"/>
    </w:p>
    <w:p w14:paraId="6370F356" w14:textId="190B186F" w:rsidR="00A93716" w:rsidRDefault="00A93716" w:rsidP="00C32047">
      <w:pPr>
        <w:spacing w:line="360" w:lineRule="auto"/>
        <w:jc w:val="both"/>
      </w:pPr>
      <w:r>
        <w:t xml:space="preserve">If only ambient </w:t>
      </w:r>
      <w:r w:rsidR="00AC1067">
        <w:t xml:space="preserve">air pollution is considered for the calculation of </w:t>
      </w:r>
      <w:r w:rsidR="00F779A9">
        <w:t xml:space="preserve">mortality, also the PEI values change relative to those given in the main </w:t>
      </w:r>
      <w:r w:rsidR="0017702F">
        <w:t xml:space="preserve">text. </w:t>
      </w:r>
      <w:r>
        <w:t xml:space="preserve">At the national level </w:t>
      </w:r>
      <w:r w:rsidR="0017702F">
        <w:t>the PEI</w:t>
      </w:r>
      <w:r>
        <w:t xml:space="preserve"> is 23.2 [in units of number of deaths per 10</w:t>
      </w:r>
      <w:r w:rsidRPr="005B7ED2">
        <w:rPr>
          <w:vertAlign w:val="superscript"/>
        </w:rPr>
        <w:t>-3</w:t>
      </w:r>
      <w:r>
        <w:t xml:space="preserve"> </w:t>
      </w:r>
      <w:r>
        <w:rPr>
          <w:rFonts w:cstheme="minorHAnsi"/>
        </w:rPr>
        <w:t>µ</w:t>
      </w:r>
      <w:r>
        <w:t>g/m</w:t>
      </w:r>
      <w:r w:rsidRPr="005B7ED2">
        <w:rPr>
          <w:vertAlign w:val="superscript"/>
        </w:rPr>
        <w:t>3</w:t>
      </w:r>
      <w:r>
        <w:t xml:space="preserve"> of ambient concentration contributed], while for the poorest and richest deciles the values are 54.7 and 6.3, respectively. Thus, the poorest decile suffers 2.4 times as many deaths per unit of contributed ambient pollution than the national average; conversely, the richest deciles suffers 3.7 times fewer deaths per unit of contributed pollution. Thus, in this metric, the poorest decile is disadvantaged relative to the richest decile by a factor of 8.7. </w:t>
      </w:r>
    </w:p>
    <w:p w14:paraId="195E4B94" w14:textId="77777777" w:rsidR="00314E93" w:rsidRPr="00D132C7" w:rsidRDefault="00314E93" w:rsidP="00C32047">
      <w:pPr>
        <w:spacing w:line="360" w:lineRule="auto"/>
      </w:pPr>
    </w:p>
    <w:p w14:paraId="56BAD5BF" w14:textId="6CDF0F65" w:rsidR="00BC1D33" w:rsidRPr="00F63D9A" w:rsidRDefault="004C7A20" w:rsidP="00C32047">
      <w:pPr>
        <w:pStyle w:val="Heading2"/>
        <w:spacing w:line="360" w:lineRule="auto"/>
      </w:pPr>
      <w:bookmarkStart w:id="14" w:name="_Toc55241292"/>
      <w:r>
        <w:t>Sensitivity: c</w:t>
      </w:r>
      <w:r w:rsidR="00861297" w:rsidRPr="00F63D9A">
        <w:t>onstant baseline mortality vs income-dependent mortality</w:t>
      </w:r>
      <w:bookmarkEnd w:id="14"/>
    </w:p>
    <w:p w14:paraId="04C9B768" w14:textId="00476A66" w:rsidR="00BC1D33" w:rsidRPr="00BC1D33" w:rsidRDefault="002A060E" w:rsidP="00C32047">
      <w:pPr>
        <w:spacing w:line="360" w:lineRule="auto"/>
      </w:pPr>
      <w:r>
        <w:fldChar w:fldCharType="begin"/>
      </w:r>
      <w:r>
        <w:instrText xml:space="preserve"> REF _Ref50118082 \h </w:instrText>
      </w:r>
      <w:r w:rsidR="00C32047">
        <w:instrText xml:space="preserve"> \* MERGEFORMAT </w:instrText>
      </w:r>
      <w:r>
        <w:fldChar w:fldCharType="separate"/>
      </w:r>
      <w:r w:rsidR="00F84921">
        <w:t xml:space="preserve">Figure </w:t>
      </w:r>
      <w:r w:rsidR="00F84921">
        <w:rPr>
          <w:noProof/>
        </w:rPr>
        <w:t>5</w:t>
      </w:r>
      <w:r>
        <w:fldChar w:fldCharType="end"/>
      </w:r>
      <w:r>
        <w:t xml:space="preserve"> shows the </w:t>
      </w:r>
      <w:r w:rsidR="00A76491">
        <w:t xml:space="preserve">mortality </w:t>
      </w:r>
      <w:r w:rsidR="008522A3">
        <w:t xml:space="preserve">(normalized by population) </w:t>
      </w:r>
      <w:r w:rsidR="00A76491">
        <w:t>associated with indoor pollution</w:t>
      </w:r>
      <w:r w:rsidR="00400808">
        <w:t xml:space="preserve"> across income deciles</w:t>
      </w:r>
      <w:r w:rsidR="008522A3">
        <w:t xml:space="preserve"> for two </w:t>
      </w:r>
      <w:r w:rsidR="00332537">
        <w:t xml:space="preserve">alternative assumptions about the specific vulnerability. The left panel assumes that the </w:t>
      </w:r>
      <w:r w:rsidR="003C4581">
        <w:t>vulnerability decreases with income, as proposed by Chowdhury et al.</w:t>
      </w:r>
      <w:r w:rsidR="003C4581">
        <w:fldChar w:fldCharType="begin"/>
      </w:r>
      <w:r w:rsidR="003C4581">
        <w:instrText xml:space="preserve"> ADDIN ZOTERO_ITEM CSL_CITATION {"citationID":"q0EkF7me","properties":{"formattedCitation":"\\super 1\\nosupersub{}","plainCitation":"1","noteIndex":0},"citationItems":[{"id":21407,"uris":["http://zotero.org/groups/160364/items/Z5GJMQUX"],"uri":["http://zotero.org/groups/160364/items/Z5GJMQUX"],"itemData":{"id":21407,"type":"article-journal","abstract":"In India, more than a billion population is at risk of exposure to ambient ﬁne particulate matter (PM2.5) concentration exceeding World Health Organization air quality guideline, posing a serious threat to health. Cause-speciﬁc premature death from ambient PM2.5 exposure is poorly known for India. Here we develop a non-linear power law (NLP) function to estimate the relative risk associated with ambient PM2.5 exposure using satellite-based PM2.5 concentration (2001−2010) that is bias-corrected against coincident direct measurements. We show that estimate of annual premature death in India is lower by 14.7% (19.2%) using NLP (integrated exposure risk function, IER) for assumption of uniform baseline mortality across India (as considered in the global burden of disease study) relative to the estimate obtained by adjusting for state-speciﬁc baseline mortality using GDP as a proxy. 486,100 (811,000) annual premature death in India is estimated using NLP (IER) risk functions after baseline mortality adjustment. 54.5% of premature death estimated using NLP risk function is attributed to chronic obstructive pulmonary disease (COPD), 24.0% to ischemic heart disease (IHD), 18.5% to stroke and the remaining 3.0% to lung cancer (LC). 44,900 (5900–173,300) less premature death is expected annually, if India achieves its present annual air quality target of 40 μg m−3. Our results identify the worst affected districts in terms of ambient PM2.5 exposure and resulting annual premature death and call for initiation of long-term measures through a systematic framework of pollution and health data archive.","container-title":"Environment International","DOI":"10.1016/j.envint.2016.03.004","ISSN":"01604120","language":"en","page":"283-290","source":"Crossref","title":"Cause-specific premature death from ambient PM2.5 exposure in India: Estimate adjusted for baseline mortality","title-short":"Cause-specific premature death from ambient PM2.5 exposure in India","volume":"91","author":[{"family":"Chowdhury","given":"Sourangsu"},{"family":"Dey","given":"Sagnik"}],"issued":{"date-parts":[["2016",5]]}}}],"schema":"https://github.com/citation-style-language/schema/raw/master/csl-citation.json"} </w:instrText>
      </w:r>
      <w:r w:rsidR="003C4581">
        <w:fldChar w:fldCharType="separate"/>
      </w:r>
      <w:r w:rsidR="003C4581" w:rsidRPr="003C4581">
        <w:rPr>
          <w:rFonts w:ascii="Calibri" w:hAnsi="Calibri" w:cs="Calibri"/>
          <w:szCs w:val="24"/>
          <w:vertAlign w:val="superscript"/>
        </w:rPr>
        <w:t>1</w:t>
      </w:r>
      <w:r w:rsidR="003C4581">
        <w:fldChar w:fldCharType="end"/>
      </w:r>
      <w:r w:rsidR="0084698B">
        <w:t xml:space="preserve"> The right panel assumes the baseline mortality </w:t>
      </w:r>
      <w:r w:rsidR="00F31242">
        <w:t>. Thus, the right panel reflects the different fuel</w:t>
      </w:r>
      <w:r w:rsidR="00A82678">
        <w:t xml:space="preserve"> mixes and amounts being used across urban and rural, as well as across deciles</w:t>
      </w:r>
      <w:r w:rsidR="003453F7">
        <w:t xml:space="preserve">, while the </w:t>
      </w:r>
      <w:r w:rsidR="000514AB">
        <w:t>left panel in addition reflects the income dependence in the vulnerability.</w:t>
      </w:r>
    </w:p>
    <w:p w14:paraId="38A54318" w14:textId="77777777" w:rsidR="00845C08" w:rsidRDefault="00845C08" w:rsidP="00C32047">
      <w:pPr>
        <w:keepNext/>
        <w:spacing w:line="360" w:lineRule="auto"/>
        <w:jc w:val="both"/>
      </w:pPr>
      <w:r>
        <w:rPr>
          <w:noProof/>
        </w:rPr>
        <w:drawing>
          <wp:inline distT="0" distB="0" distL="0" distR="0" wp14:anchorId="7553C488" wp14:editId="29A7990F">
            <wp:extent cx="5730238" cy="2865120"/>
            <wp:effectExtent l="0" t="0" r="3810" b="0"/>
            <wp:docPr id="4685270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5730238" cy="2865120"/>
                    </a:xfrm>
                    <a:prstGeom prst="rect">
                      <a:avLst/>
                    </a:prstGeom>
                  </pic:spPr>
                </pic:pic>
              </a:graphicData>
            </a:graphic>
          </wp:inline>
        </w:drawing>
      </w:r>
    </w:p>
    <w:p w14:paraId="370BB255" w14:textId="64E79E28" w:rsidR="00845C08" w:rsidRDefault="00845C08" w:rsidP="00C32047">
      <w:pPr>
        <w:pStyle w:val="Caption"/>
        <w:spacing w:line="360" w:lineRule="auto"/>
        <w:jc w:val="both"/>
      </w:pPr>
      <w:bookmarkStart w:id="15" w:name="_Ref50118082"/>
      <w:r>
        <w:t xml:space="preserve">Figure </w:t>
      </w:r>
      <w:r w:rsidR="00A61553">
        <w:fldChar w:fldCharType="begin"/>
      </w:r>
      <w:r w:rsidR="00A61553">
        <w:instrText xml:space="preserve"> SEQ Figure \* ARABIC </w:instrText>
      </w:r>
      <w:r w:rsidR="00A61553">
        <w:fldChar w:fldCharType="separate"/>
      </w:r>
      <w:r w:rsidR="00F84921">
        <w:rPr>
          <w:noProof/>
        </w:rPr>
        <w:t>5</w:t>
      </w:r>
      <w:r w:rsidR="00A61553">
        <w:rPr>
          <w:noProof/>
        </w:rPr>
        <w:fldChar w:fldCharType="end"/>
      </w:r>
      <w:bookmarkEnd w:id="15"/>
      <w:r>
        <w:t xml:space="preserve"> Mortality (per 100,000 persons) from indoor air pollution</w:t>
      </w:r>
      <w:r w:rsidR="00400808">
        <w:t xml:space="preserve"> by decile (x-axis)</w:t>
      </w:r>
      <w:r>
        <w:t xml:space="preserve">, calculated using income-dependent baseline mortality (left panel) and income-independent mortality (right-panel) for rural and urban population. </w:t>
      </w:r>
    </w:p>
    <w:p w14:paraId="1F8C0573" w14:textId="62A1F133" w:rsidR="003C4581" w:rsidRDefault="003C4581" w:rsidP="00C32047">
      <w:pPr>
        <w:spacing w:line="360" w:lineRule="auto"/>
      </w:pPr>
    </w:p>
    <w:p w14:paraId="79AF122F" w14:textId="450C1809" w:rsidR="003C4581" w:rsidRDefault="003C4581" w:rsidP="00C32047">
      <w:pPr>
        <w:pStyle w:val="Heading1"/>
        <w:spacing w:line="360" w:lineRule="auto"/>
      </w:pPr>
      <w:bookmarkStart w:id="16" w:name="_Toc55241293"/>
      <w:r>
        <w:lastRenderedPageBreak/>
        <w:t>References</w:t>
      </w:r>
      <w:bookmarkEnd w:id="16"/>
    </w:p>
    <w:p w14:paraId="496EF14E" w14:textId="436BEBAA" w:rsidR="003C4581" w:rsidRPr="003C4581" w:rsidRDefault="003C4581" w:rsidP="00C32047">
      <w:pPr>
        <w:pStyle w:val="Bibliography"/>
        <w:spacing w:line="360" w:lineRule="auto"/>
        <w:rPr>
          <w:rFonts w:ascii="Calibri" w:hAnsi="Calibri" w:cs="Calibri"/>
        </w:rPr>
      </w:pPr>
      <w:r>
        <w:fldChar w:fldCharType="begin"/>
      </w:r>
      <w:r>
        <w:instrText xml:space="preserve"> ADDIN ZOTERO_BIBL {"uncited":[],"omitted":[],"custom":[]} CSL_BIBLIOGRAPHY </w:instrText>
      </w:r>
      <w:r>
        <w:fldChar w:fldCharType="separate"/>
      </w:r>
      <w:r w:rsidRPr="003C4581">
        <w:rPr>
          <w:rFonts w:ascii="Calibri" w:hAnsi="Calibri" w:cs="Calibri"/>
        </w:rPr>
        <w:t>1.</w:t>
      </w:r>
      <w:r w:rsidRPr="003C4581">
        <w:rPr>
          <w:rFonts w:ascii="Calibri" w:hAnsi="Calibri" w:cs="Calibri"/>
        </w:rPr>
        <w:tab/>
        <w:t>Chowdhury, S. &amp; Dey, S. Cause-specific premature death from ambient PM</w:t>
      </w:r>
      <w:r w:rsidR="00192BEA" w:rsidRPr="00192BEA">
        <w:rPr>
          <w:rFonts w:ascii="Calibri" w:hAnsi="Calibri" w:cs="Calibri"/>
          <w:vertAlign w:val="subscript"/>
        </w:rPr>
        <w:t>2.5</w:t>
      </w:r>
      <w:r w:rsidRPr="003C4581">
        <w:rPr>
          <w:rFonts w:ascii="Calibri" w:hAnsi="Calibri" w:cs="Calibri"/>
        </w:rPr>
        <w:t xml:space="preserve"> exposure in India: Estimate adjusted for baseline mortality. </w:t>
      </w:r>
      <w:r w:rsidRPr="003C4581">
        <w:rPr>
          <w:rFonts w:ascii="Calibri" w:hAnsi="Calibri" w:cs="Calibri"/>
          <w:i/>
          <w:iCs/>
        </w:rPr>
        <w:t>Environ. Int.</w:t>
      </w:r>
      <w:r w:rsidRPr="003C4581">
        <w:rPr>
          <w:rFonts w:ascii="Calibri" w:hAnsi="Calibri" w:cs="Calibri"/>
        </w:rPr>
        <w:t xml:space="preserve"> </w:t>
      </w:r>
      <w:r w:rsidRPr="003C4581">
        <w:rPr>
          <w:rFonts w:ascii="Calibri" w:hAnsi="Calibri" w:cs="Calibri"/>
          <w:b/>
          <w:bCs/>
        </w:rPr>
        <w:t>91</w:t>
      </w:r>
      <w:r w:rsidRPr="003C4581">
        <w:rPr>
          <w:rFonts w:ascii="Calibri" w:hAnsi="Calibri" w:cs="Calibri"/>
        </w:rPr>
        <w:t>, 283–290 (2016).</w:t>
      </w:r>
    </w:p>
    <w:p w14:paraId="69ADCDBB" w14:textId="3329B386" w:rsidR="00B404D1" w:rsidRPr="006E4F41" w:rsidRDefault="003C4581" w:rsidP="00C32047">
      <w:pPr>
        <w:spacing w:line="360" w:lineRule="auto"/>
      </w:pPr>
      <w:r>
        <w:fldChar w:fldCharType="end"/>
      </w:r>
    </w:p>
    <w:sectPr w:rsidR="00B404D1" w:rsidRPr="006E4F41" w:rsidSect="00A66773">
      <w:footerReference w:type="default" r:id="rId16"/>
      <w:pgSz w:w="11909" w:h="16834" w:code="9"/>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E677A" w14:textId="77777777" w:rsidR="00A61553" w:rsidRDefault="00A61553" w:rsidP="00D51C0B">
      <w:r>
        <w:separator/>
      </w:r>
    </w:p>
  </w:endnote>
  <w:endnote w:type="continuationSeparator" w:id="0">
    <w:p w14:paraId="592A634C" w14:textId="77777777" w:rsidR="00A61553" w:rsidRDefault="00A61553" w:rsidP="00D51C0B">
      <w:r>
        <w:continuationSeparator/>
      </w:r>
    </w:p>
  </w:endnote>
  <w:endnote w:type="continuationNotice" w:id="1">
    <w:p w14:paraId="3619B44C" w14:textId="77777777" w:rsidR="00A61553" w:rsidRDefault="00A61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714955"/>
      <w:docPartObj>
        <w:docPartGallery w:val="Page Numbers (Bottom of Page)"/>
        <w:docPartUnique/>
      </w:docPartObj>
    </w:sdtPr>
    <w:sdtEndPr>
      <w:rPr>
        <w:noProof/>
      </w:rPr>
    </w:sdtEndPr>
    <w:sdtContent>
      <w:p w14:paraId="6ECA976F" w14:textId="0EAE018F" w:rsidR="00D63EB0" w:rsidRDefault="00D63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A08DA" w14:textId="77777777" w:rsidR="00D63EB0" w:rsidRDefault="00D6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4C113" w14:textId="77777777" w:rsidR="00A61553" w:rsidRDefault="00A61553" w:rsidP="00D51C0B">
      <w:r>
        <w:separator/>
      </w:r>
    </w:p>
  </w:footnote>
  <w:footnote w:type="continuationSeparator" w:id="0">
    <w:p w14:paraId="57ACD1AB" w14:textId="77777777" w:rsidR="00A61553" w:rsidRDefault="00A61553" w:rsidP="00D51C0B">
      <w:r>
        <w:continuationSeparator/>
      </w:r>
    </w:p>
  </w:footnote>
  <w:footnote w:type="continuationNotice" w:id="1">
    <w:p w14:paraId="0A1BE8A3" w14:textId="77777777" w:rsidR="00A61553" w:rsidRDefault="00A61553"/>
  </w:footnote>
  <w:footnote w:id="2">
    <w:p w14:paraId="233B47FB" w14:textId="77777777" w:rsidR="009E273F" w:rsidRDefault="009E273F" w:rsidP="009E273F">
      <w:pPr>
        <w:pStyle w:val="FootnoteText"/>
      </w:pPr>
      <w:r w:rsidRPr="006F0B31">
        <w:rPr>
          <w:rStyle w:val="FootnoteReference"/>
        </w:rPr>
        <w:footnoteRef/>
      </w:r>
      <w:r>
        <w:t xml:space="preserve"> Corresponding author: fabian@iiasa.ac.at</w:t>
      </w:r>
    </w:p>
  </w:footnote>
  <w:footnote w:id="3">
    <w:p w14:paraId="3B784505" w14:textId="0C1564BA" w:rsidR="00D51C0B" w:rsidRDefault="00D51C0B">
      <w:pPr>
        <w:pStyle w:val="FootnoteText"/>
      </w:pPr>
      <w:r w:rsidRPr="006F0B31">
        <w:rPr>
          <w:rStyle w:val="FootnoteReference"/>
        </w:rPr>
        <w:footnoteRef/>
      </w:r>
      <w:r>
        <w:t xml:space="preserve"> </w:t>
      </w:r>
      <w:hyperlink r:id="rId1" w:history="1">
        <w:r w:rsidR="00D91135" w:rsidRPr="003109ED">
          <w:rPr>
            <w:rStyle w:val="Hyperlink"/>
          </w:rPr>
          <w:t>http://gains.iiasa.ac.at</w:t>
        </w:r>
      </w:hyperlink>
      <w:r w:rsidR="00D91135">
        <w:t xml:space="preserve"> . A (free) registration is required to log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15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885561"/>
    <w:multiLevelType w:val="hybridMultilevel"/>
    <w:tmpl w:val="D2B87676"/>
    <w:lvl w:ilvl="0" w:tplc="FE243E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003DD"/>
    <w:multiLevelType w:val="hybridMultilevel"/>
    <w:tmpl w:val="B2AC1864"/>
    <w:lvl w:ilvl="0" w:tplc="0409000F">
      <w:start w:val="1"/>
      <w:numFmt w:val="decimal"/>
      <w:lvlText w:val="%1."/>
      <w:lvlJc w:val="left"/>
      <w:pPr>
        <w:ind w:left="720" w:hanging="360"/>
      </w:pPr>
    </w:lvl>
    <w:lvl w:ilvl="1" w:tplc="9934ED42">
      <w:start w:val="3"/>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65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8F01A8"/>
    <w:multiLevelType w:val="hybridMultilevel"/>
    <w:tmpl w:val="81CC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F27E3"/>
    <w:multiLevelType w:val="hybridMultilevel"/>
    <w:tmpl w:val="63D8C3FE"/>
    <w:lvl w:ilvl="0" w:tplc="CE76413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B2F06"/>
    <w:multiLevelType w:val="hybridMultilevel"/>
    <w:tmpl w:val="837EDB56"/>
    <w:lvl w:ilvl="0" w:tplc="FE243E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B377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1077DB"/>
    <w:multiLevelType w:val="hybridMultilevel"/>
    <w:tmpl w:val="C0D4FB6E"/>
    <w:lvl w:ilvl="0" w:tplc="F4EA3C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346FA"/>
    <w:multiLevelType w:val="hybridMultilevel"/>
    <w:tmpl w:val="664A9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CA102AB"/>
    <w:multiLevelType w:val="multilevel"/>
    <w:tmpl w:val="C20001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FEC57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1"/>
  </w:num>
  <w:num w:numId="4">
    <w:abstractNumId w:val="9"/>
  </w:num>
  <w:num w:numId="5">
    <w:abstractNumId w:val="5"/>
  </w:num>
  <w:num w:numId="6">
    <w:abstractNumId w:val="1"/>
  </w:num>
  <w:num w:numId="7">
    <w:abstractNumId w:val="8"/>
  </w:num>
  <w:num w:numId="8">
    <w:abstractNumId w:val="3"/>
  </w:num>
  <w:num w:numId="9">
    <w:abstractNumId w:val="10"/>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08"/>
    <w:rsid w:val="00002D89"/>
    <w:rsid w:val="00005D3D"/>
    <w:rsid w:val="00012058"/>
    <w:rsid w:val="00024ECA"/>
    <w:rsid w:val="00030D0C"/>
    <w:rsid w:val="00044CE9"/>
    <w:rsid w:val="000513A2"/>
    <w:rsid w:val="000514AB"/>
    <w:rsid w:val="00075103"/>
    <w:rsid w:val="000936BF"/>
    <w:rsid w:val="00097560"/>
    <w:rsid w:val="000B08D6"/>
    <w:rsid w:val="000E731A"/>
    <w:rsid w:val="000F0E06"/>
    <w:rsid w:val="000F54CB"/>
    <w:rsid w:val="001060B5"/>
    <w:rsid w:val="00112AFB"/>
    <w:rsid w:val="00137E57"/>
    <w:rsid w:val="00166487"/>
    <w:rsid w:val="00171CF5"/>
    <w:rsid w:val="0017702F"/>
    <w:rsid w:val="00191968"/>
    <w:rsid w:val="00192512"/>
    <w:rsid w:val="00192BEA"/>
    <w:rsid w:val="001C080F"/>
    <w:rsid w:val="00205F71"/>
    <w:rsid w:val="00214130"/>
    <w:rsid w:val="00236713"/>
    <w:rsid w:val="00264496"/>
    <w:rsid w:val="00273D7C"/>
    <w:rsid w:val="00274B8A"/>
    <w:rsid w:val="00277E1D"/>
    <w:rsid w:val="00281933"/>
    <w:rsid w:val="00283244"/>
    <w:rsid w:val="002916B4"/>
    <w:rsid w:val="002938C4"/>
    <w:rsid w:val="002A060E"/>
    <w:rsid w:val="002C30EA"/>
    <w:rsid w:val="002D31FC"/>
    <w:rsid w:val="002E7D82"/>
    <w:rsid w:val="00302490"/>
    <w:rsid w:val="00310D1C"/>
    <w:rsid w:val="00312A13"/>
    <w:rsid w:val="003146AD"/>
    <w:rsid w:val="00314E93"/>
    <w:rsid w:val="00315B5A"/>
    <w:rsid w:val="00315B60"/>
    <w:rsid w:val="00322126"/>
    <w:rsid w:val="00322368"/>
    <w:rsid w:val="0032601B"/>
    <w:rsid w:val="00332537"/>
    <w:rsid w:val="00332905"/>
    <w:rsid w:val="003453F7"/>
    <w:rsid w:val="0035035E"/>
    <w:rsid w:val="003566EE"/>
    <w:rsid w:val="00374A4A"/>
    <w:rsid w:val="003B03C3"/>
    <w:rsid w:val="003B06E1"/>
    <w:rsid w:val="003B142E"/>
    <w:rsid w:val="003B1FCE"/>
    <w:rsid w:val="003C4581"/>
    <w:rsid w:val="003C7250"/>
    <w:rsid w:val="003D6C64"/>
    <w:rsid w:val="00400808"/>
    <w:rsid w:val="00402189"/>
    <w:rsid w:val="00411AD4"/>
    <w:rsid w:val="00432F25"/>
    <w:rsid w:val="00444131"/>
    <w:rsid w:val="004445DE"/>
    <w:rsid w:val="00451D76"/>
    <w:rsid w:val="004524FB"/>
    <w:rsid w:val="00472D2C"/>
    <w:rsid w:val="00481298"/>
    <w:rsid w:val="004A4BAF"/>
    <w:rsid w:val="004B0F63"/>
    <w:rsid w:val="004C7A20"/>
    <w:rsid w:val="004D2F8C"/>
    <w:rsid w:val="004D3F8C"/>
    <w:rsid w:val="00504378"/>
    <w:rsid w:val="005167A3"/>
    <w:rsid w:val="005328E0"/>
    <w:rsid w:val="005335EE"/>
    <w:rsid w:val="005425A8"/>
    <w:rsid w:val="00560D70"/>
    <w:rsid w:val="005D272C"/>
    <w:rsid w:val="005D3493"/>
    <w:rsid w:val="005D7F49"/>
    <w:rsid w:val="005E7B17"/>
    <w:rsid w:val="006044C4"/>
    <w:rsid w:val="006130C2"/>
    <w:rsid w:val="00653F53"/>
    <w:rsid w:val="00657D19"/>
    <w:rsid w:val="00677C3B"/>
    <w:rsid w:val="006975F2"/>
    <w:rsid w:val="00697F93"/>
    <w:rsid w:val="006B7A07"/>
    <w:rsid w:val="006C1D5B"/>
    <w:rsid w:val="006D047F"/>
    <w:rsid w:val="006D3035"/>
    <w:rsid w:val="006E4ECF"/>
    <w:rsid w:val="006E4F41"/>
    <w:rsid w:val="006E7D81"/>
    <w:rsid w:val="006F0B31"/>
    <w:rsid w:val="006F3248"/>
    <w:rsid w:val="0070042F"/>
    <w:rsid w:val="0070320C"/>
    <w:rsid w:val="00716065"/>
    <w:rsid w:val="00733A51"/>
    <w:rsid w:val="00736AB1"/>
    <w:rsid w:val="00761317"/>
    <w:rsid w:val="007E6A88"/>
    <w:rsid w:val="00827F99"/>
    <w:rsid w:val="00835BF5"/>
    <w:rsid w:val="00841743"/>
    <w:rsid w:val="00844A46"/>
    <w:rsid w:val="00845C08"/>
    <w:rsid w:val="0084698B"/>
    <w:rsid w:val="008522A3"/>
    <w:rsid w:val="00861297"/>
    <w:rsid w:val="00862503"/>
    <w:rsid w:val="008649EC"/>
    <w:rsid w:val="00877BCB"/>
    <w:rsid w:val="0088065B"/>
    <w:rsid w:val="00882EC0"/>
    <w:rsid w:val="008853C3"/>
    <w:rsid w:val="00897693"/>
    <w:rsid w:val="008A464F"/>
    <w:rsid w:val="008A749B"/>
    <w:rsid w:val="008C0645"/>
    <w:rsid w:val="008D2FD2"/>
    <w:rsid w:val="008F0330"/>
    <w:rsid w:val="008F04E1"/>
    <w:rsid w:val="0091524F"/>
    <w:rsid w:val="0094192D"/>
    <w:rsid w:val="009431DE"/>
    <w:rsid w:val="00943914"/>
    <w:rsid w:val="00944402"/>
    <w:rsid w:val="00951E5E"/>
    <w:rsid w:val="009633E9"/>
    <w:rsid w:val="00963BC5"/>
    <w:rsid w:val="009714C1"/>
    <w:rsid w:val="0097421E"/>
    <w:rsid w:val="00995E63"/>
    <w:rsid w:val="009B38DA"/>
    <w:rsid w:val="009D4C4A"/>
    <w:rsid w:val="009E273F"/>
    <w:rsid w:val="009F3537"/>
    <w:rsid w:val="00A21D6A"/>
    <w:rsid w:val="00A5621C"/>
    <w:rsid w:val="00A61553"/>
    <w:rsid w:val="00A66773"/>
    <w:rsid w:val="00A76491"/>
    <w:rsid w:val="00A82678"/>
    <w:rsid w:val="00A90CFC"/>
    <w:rsid w:val="00A93716"/>
    <w:rsid w:val="00AC1067"/>
    <w:rsid w:val="00AE4FC2"/>
    <w:rsid w:val="00AF0DFA"/>
    <w:rsid w:val="00AF7577"/>
    <w:rsid w:val="00B107A8"/>
    <w:rsid w:val="00B32003"/>
    <w:rsid w:val="00B404D1"/>
    <w:rsid w:val="00B40FEE"/>
    <w:rsid w:val="00B941EA"/>
    <w:rsid w:val="00BC1D33"/>
    <w:rsid w:val="00BF6072"/>
    <w:rsid w:val="00BF73E8"/>
    <w:rsid w:val="00C0051F"/>
    <w:rsid w:val="00C03EE8"/>
    <w:rsid w:val="00C32047"/>
    <w:rsid w:val="00C43114"/>
    <w:rsid w:val="00C55C2F"/>
    <w:rsid w:val="00C77837"/>
    <w:rsid w:val="00CA5201"/>
    <w:rsid w:val="00CA6317"/>
    <w:rsid w:val="00CA69CC"/>
    <w:rsid w:val="00CE581A"/>
    <w:rsid w:val="00D132C7"/>
    <w:rsid w:val="00D15D05"/>
    <w:rsid w:val="00D25960"/>
    <w:rsid w:val="00D3235F"/>
    <w:rsid w:val="00D51C0B"/>
    <w:rsid w:val="00D63EB0"/>
    <w:rsid w:val="00D640DD"/>
    <w:rsid w:val="00D91135"/>
    <w:rsid w:val="00D94C0B"/>
    <w:rsid w:val="00D972DD"/>
    <w:rsid w:val="00DC1673"/>
    <w:rsid w:val="00DC5DE3"/>
    <w:rsid w:val="00DD0362"/>
    <w:rsid w:val="00E03E4D"/>
    <w:rsid w:val="00E15C5F"/>
    <w:rsid w:val="00E2231D"/>
    <w:rsid w:val="00E279E1"/>
    <w:rsid w:val="00E3579F"/>
    <w:rsid w:val="00E379C1"/>
    <w:rsid w:val="00E50547"/>
    <w:rsid w:val="00E75041"/>
    <w:rsid w:val="00E93F56"/>
    <w:rsid w:val="00E95DC3"/>
    <w:rsid w:val="00EA16D2"/>
    <w:rsid w:val="00EA6239"/>
    <w:rsid w:val="00EB17FB"/>
    <w:rsid w:val="00F016C0"/>
    <w:rsid w:val="00F1557A"/>
    <w:rsid w:val="00F30F9F"/>
    <w:rsid w:val="00F31242"/>
    <w:rsid w:val="00F368C4"/>
    <w:rsid w:val="00F63D9A"/>
    <w:rsid w:val="00F64F89"/>
    <w:rsid w:val="00F7280F"/>
    <w:rsid w:val="00F779A9"/>
    <w:rsid w:val="00F83390"/>
    <w:rsid w:val="00F84921"/>
    <w:rsid w:val="00F96C05"/>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6CF3"/>
  <w15:chartTrackingRefBased/>
  <w15:docId w15:val="{E954B61C-708D-4B2D-8E2E-C20D5350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BF"/>
    <w:pPr>
      <w:keepNext/>
      <w:keepLines/>
      <w:numPr>
        <w:numId w:val="1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70042F"/>
    <w:pPr>
      <w:numPr>
        <w:ilvl w:val="1"/>
      </w:numPr>
      <w:spacing w:before="40"/>
      <w:outlineLvl w:val="1"/>
    </w:pPr>
    <w:rPr>
      <w:sz w:val="26"/>
      <w:szCs w:val="26"/>
    </w:rPr>
  </w:style>
  <w:style w:type="paragraph" w:styleId="Heading3">
    <w:name w:val="heading 3"/>
    <w:basedOn w:val="Normal"/>
    <w:next w:val="Normal"/>
    <w:link w:val="Heading3Char"/>
    <w:uiPriority w:val="9"/>
    <w:semiHidden/>
    <w:unhideWhenUsed/>
    <w:qFormat/>
    <w:rsid w:val="00E15C5F"/>
    <w:pPr>
      <w:keepNext/>
      <w:keepLines/>
      <w:numPr>
        <w:ilvl w:val="2"/>
        <w:numId w:val="1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C5F"/>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5C5F"/>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5C5F"/>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5C5F"/>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5C5F"/>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5C5F"/>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C08"/>
    <w:rPr>
      <w:rFonts w:ascii="Segoe UI" w:hAnsi="Segoe UI" w:cs="Segoe UI"/>
      <w:sz w:val="18"/>
      <w:szCs w:val="18"/>
    </w:rPr>
  </w:style>
  <w:style w:type="paragraph" w:styleId="ListParagraph">
    <w:name w:val="List Paragraph"/>
    <w:basedOn w:val="Normal"/>
    <w:uiPriority w:val="34"/>
    <w:qFormat/>
    <w:rsid w:val="00845C08"/>
    <w:pPr>
      <w:ind w:left="720"/>
      <w:contextualSpacing/>
    </w:pPr>
  </w:style>
  <w:style w:type="paragraph" w:styleId="Caption">
    <w:name w:val="caption"/>
    <w:basedOn w:val="Normal"/>
    <w:next w:val="Normal"/>
    <w:uiPriority w:val="35"/>
    <w:unhideWhenUsed/>
    <w:qFormat/>
    <w:rsid w:val="00845C08"/>
    <w:pPr>
      <w:spacing w:after="200"/>
    </w:pPr>
    <w:rPr>
      <w:i/>
      <w:iCs/>
      <w:color w:val="44546A" w:themeColor="text2"/>
      <w:sz w:val="18"/>
      <w:szCs w:val="18"/>
    </w:rPr>
  </w:style>
  <w:style w:type="character" w:customStyle="1" w:styleId="Heading2Char">
    <w:name w:val="Heading 2 Char"/>
    <w:basedOn w:val="DefaultParagraphFont"/>
    <w:link w:val="Heading2"/>
    <w:uiPriority w:val="9"/>
    <w:rsid w:val="007004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936B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58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81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581A"/>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E15C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5C5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15C5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5C5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5C5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5C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5C5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016C0"/>
    <w:pPr>
      <w:numPr>
        <w:numId w:val="0"/>
      </w:numPr>
      <w:spacing w:line="259" w:lineRule="auto"/>
      <w:outlineLvl w:val="9"/>
    </w:pPr>
  </w:style>
  <w:style w:type="paragraph" w:styleId="TOC1">
    <w:name w:val="toc 1"/>
    <w:basedOn w:val="Normal"/>
    <w:next w:val="Normal"/>
    <w:autoRedefine/>
    <w:uiPriority w:val="39"/>
    <w:unhideWhenUsed/>
    <w:rsid w:val="00F016C0"/>
    <w:pPr>
      <w:spacing w:after="100"/>
    </w:pPr>
  </w:style>
  <w:style w:type="paragraph" w:styleId="TOC2">
    <w:name w:val="toc 2"/>
    <w:basedOn w:val="Normal"/>
    <w:next w:val="Normal"/>
    <w:autoRedefine/>
    <w:uiPriority w:val="39"/>
    <w:unhideWhenUsed/>
    <w:rsid w:val="00F016C0"/>
    <w:pPr>
      <w:spacing w:after="100"/>
      <w:ind w:left="220"/>
    </w:pPr>
  </w:style>
  <w:style w:type="character" w:styleId="Hyperlink">
    <w:name w:val="Hyperlink"/>
    <w:basedOn w:val="DefaultParagraphFont"/>
    <w:uiPriority w:val="99"/>
    <w:unhideWhenUsed/>
    <w:rsid w:val="00F016C0"/>
    <w:rPr>
      <w:color w:val="0563C1" w:themeColor="hyperlink"/>
      <w:u w:val="single"/>
    </w:rPr>
  </w:style>
  <w:style w:type="character" w:styleId="LineNumber">
    <w:name w:val="line number"/>
    <w:basedOn w:val="DefaultParagraphFont"/>
    <w:uiPriority w:val="99"/>
    <w:semiHidden/>
    <w:unhideWhenUsed/>
    <w:rsid w:val="00A66773"/>
  </w:style>
  <w:style w:type="paragraph" w:styleId="FootnoteText">
    <w:name w:val="footnote text"/>
    <w:basedOn w:val="Normal"/>
    <w:link w:val="FootnoteTextChar"/>
    <w:uiPriority w:val="99"/>
    <w:semiHidden/>
    <w:unhideWhenUsed/>
    <w:rsid w:val="00D51C0B"/>
    <w:rPr>
      <w:sz w:val="20"/>
      <w:szCs w:val="20"/>
    </w:rPr>
  </w:style>
  <w:style w:type="character" w:customStyle="1" w:styleId="FootnoteTextChar">
    <w:name w:val="Footnote Text Char"/>
    <w:basedOn w:val="DefaultParagraphFont"/>
    <w:link w:val="FootnoteText"/>
    <w:uiPriority w:val="99"/>
    <w:semiHidden/>
    <w:rsid w:val="00D51C0B"/>
    <w:rPr>
      <w:sz w:val="20"/>
      <w:szCs w:val="20"/>
    </w:rPr>
  </w:style>
  <w:style w:type="character" w:styleId="FootnoteReference">
    <w:name w:val="footnote reference"/>
    <w:basedOn w:val="DefaultParagraphFont"/>
    <w:uiPriority w:val="99"/>
    <w:semiHidden/>
    <w:unhideWhenUsed/>
    <w:rsid w:val="00D51C0B"/>
    <w:rPr>
      <w:vertAlign w:val="superscript"/>
    </w:rPr>
  </w:style>
  <w:style w:type="character" w:styleId="UnresolvedMention">
    <w:name w:val="Unresolved Mention"/>
    <w:basedOn w:val="DefaultParagraphFont"/>
    <w:uiPriority w:val="99"/>
    <w:semiHidden/>
    <w:unhideWhenUsed/>
    <w:rsid w:val="00D91135"/>
    <w:rPr>
      <w:color w:val="605E5C"/>
      <w:shd w:val="clear" w:color="auto" w:fill="E1DFDD"/>
    </w:rPr>
  </w:style>
  <w:style w:type="paragraph" w:styleId="Bibliography">
    <w:name w:val="Bibliography"/>
    <w:basedOn w:val="Normal"/>
    <w:next w:val="Normal"/>
    <w:uiPriority w:val="37"/>
    <w:unhideWhenUsed/>
    <w:rsid w:val="003C4581"/>
    <w:pPr>
      <w:tabs>
        <w:tab w:val="left" w:pos="264"/>
      </w:tabs>
      <w:spacing w:line="480" w:lineRule="auto"/>
      <w:ind w:left="264" w:hanging="264"/>
    </w:pPr>
  </w:style>
  <w:style w:type="character" w:styleId="PlaceholderText">
    <w:name w:val="Placeholder Text"/>
    <w:basedOn w:val="DefaultParagraphFont"/>
    <w:uiPriority w:val="99"/>
    <w:semiHidden/>
    <w:rsid w:val="00012058"/>
    <w:rPr>
      <w:color w:val="808080"/>
    </w:rPr>
  </w:style>
  <w:style w:type="paragraph" w:styleId="Header">
    <w:name w:val="header"/>
    <w:basedOn w:val="Normal"/>
    <w:link w:val="HeaderChar"/>
    <w:uiPriority w:val="99"/>
    <w:unhideWhenUsed/>
    <w:rsid w:val="00D63EB0"/>
    <w:pPr>
      <w:tabs>
        <w:tab w:val="center" w:pos="4680"/>
        <w:tab w:val="right" w:pos="9360"/>
      </w:tabs>
    </w:pPr>
  </w:style>
  <w:style w:type="character" w:customStyle="1" w:styleId="HeaderChar">
    <w:name w:val="Header Char"/>
    <w:basedOn w:val="DefaultParagraphFont"/>
    <w:link w:val="Header"/>
    <w:uiPriority w:val="99"/>
    <w:rsid w:val="00D63EB0"/>
  </w:style>
  <w:style w:type="paragraph" w:styleId="Footer">
    <w:name w:val="footer"/>
    <w:basedOn w:val="Normal"/>
    <w:link w:val="FooterChar"/>
    <w:uiPriority w:val="99"/>
    <w:unhideWhenUsed/>
    <w:rsid w:val="00D63EB0"/>
    <w:pPr>
      <w:tabs>
        <w:tab w:val="center" w:pos="4680"/>
        <w:tab w:val="right" w:pos="9360"/>
      </w:tabs>
    </w:pPr>
  </w:style>
  <w:style w:type="character" w:customStyle="1" w:styleId="FooterChar">
    <w:name w:val="Footer Char"/>
    <w:basedOn w:val="DefaultParagraphFont"/>
    <w:link w:val="Footer"/>
    <w:uiPriority w:val="99"/>
    <w:rsid w:val="00D63EB0"/>
  </w:style>
  <w:style w:type="character" w:styleId="EndnoteReference">
    <w:name w:val="endnote reference"/>
    <w:basedOn w:val="DefaultParagraphFont"/>
    <w:uiPriority w:val="99"/>
    <w:semiHidden/>
    <w:unhideWhenUsed/>
    <w:rsid w:val="00472D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7098">
      <w:bodyDiv w:val="1"/>
      <w:marLeft w:val="0"/>
      <w:marRight w:val="0"/>
      <w:marTop w:val="0"/>
      <w:marBottom w:val="0"/>
      <w:divBdr>
        <w:top w:val="none" w:sz="0" w:space="0" w:color="auto"/>
        <w:left w:val="none" w:sz="0" w:space="0" w:color="auto"/>
        <w:bottom w:val="none" w:sz="0" w:space="0" w:color="auto"/>
        <w:right w:val="none" w:sz="0" w:space="0" w:color="auto"/>
      </w:divBdr>
    </w:div>
    <w:div w:id="385298561">
      <w:bodyDiv w:val="1"/>
      <w:marLeft w:val="0"/>
      <w:marRight w:val="0"/>
      <w:marTop w:val="0"/>
      <w:marBottom w:val="0"/>
      <w:divBdr>
        <w:top w:val="none" w:sz="0" w:space="0" w:color="auto"/>
        <w:left w:val="none" w:sz="0" w:space="0" w:color="auto"/>
        <w:bottom w:val="none" w:sz="0" w:space="0" w:color="auto"/>
        <w:right w:val="none" w:sz="0" w:space="0" w:color="auto"/>
      </w:divBdr>
    </w:div>
    <w:div w:id="43682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gains.iiasa.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9E63A46B5DA3429C25EA571CE0F796" ma:contentTypeVersion="11" ma:contentTypeDescription="Create a new document." ma:contentTypeScope="" ma:versionID="58b84958ed828ae4f5d898a82a97d603">
  <xsd:schema xmlns:xsd="http://www.w3.org/2001/XMLSchema" xmlns:xs="http://www.w3.org/2001/XMLSchema" xmlns:p="http://schemas.microsoft.com/office/2006/metadata/properties" xmlns:ns2="7055cb63-5b6a-447a-8f70-ef29d578b7b7" xmlns:ns3="71aff983-82d3-474b-a127-0471d4604477" targetNamespace="http://schemas.microsoft.com/office/2006/metadata/properties" ma:root="true" ma:fieldsID="8d47a150316a30b032c87ae4ee2ec591" ns2:_="" ns3:_="">
    <xsd:import namespace="7055cb63-5b6a-447a-8f70-ef29d578b7b7"/>
    <xsd:import namespace="71aff983-82d3-474b-a127-0471d46044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5cb63-5b6a-447a-8f70-ef29d578b7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ff983-82d3-474b-a127-0471d460447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1496F-F6A9-4E2E-8D9C-715DC673A7E3}">
  <ds:schemaRefs>
    <ds:schemaRef ds:uri="http://schemas.openxmlformats.org/officeDocument/2006/bibliography"/>
  </ds:schemaRefs>
</ds:datastoreItem>
</file>

<file path=customXml/itemProps2.xml><?xml version="1.0" encoding="utf-8"?>
<ds:datastoreItem xmlns:ds="http://schemas.openxmlformats.org/officeDocument/2006/customXml" ds:itemID="{ACE6D1E2-EBDD-48C8-BC1B-01AFA7C2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5cb63-5b6a-447a-8f70-ef29d578b7b7"/>
    <ds:schemaRef ds:uri="71aff983-82d3-474b-a127-0471d4604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4A49-2D91-4CED-AEB1-08F680CB7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D4A6B-61AB-441F-B40C-562FDF40762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9</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Fabian</dc:creator>
  <cp:keywords/>
  <dc:description/>
  <cp:lastModifiedBy>WAGNER Fabian</cp:lastModifiedBy>
  <cp:revision>183</cp:revision>
  <dcterms:created xsi:type="dcterms:W3CDTF">2020-08-18T00:08:00Z</dcterms:created>
  <dcterms:modified xsi:type="dcterms:W3CDTF">2020-12-10T19:00:00Z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0x010100D19E63A46B5DA3429C25EA571CE0F796</vt:lpwstr>
  </property>
  <property fmtid="{D5CDD505-2E9C-101B-9397-08002B2CF9AE}" pid="3" name="ZOTERO_PREF_1">
    <vt:lpwstr>&lt;data data-version="3" zotero-version="5.0.89"&gt;&lt;session id="W2CSbFht"/&gt;&lt;style id="http://www.zotero.org/styles/nature-communications" hasBibliography="1" bibliographyStyleHasBeenSet="1"/&gt;&lt;prefs&gt;&lt;pref name="fieldType" value="Field"/&gt;&lt;pref name="automaticJo</vt:lpwstr>
  </property>
  <property fmtid="{D5CDD505-2E9C-101B-9397-08002B2CF9AE}" pid="4" name="ZOTERO_PREF_2">
    <vt:lpwstr>urnalAbbreviations" value="true"/&gt;&lt;/prefs&gt;&lt;/data&gt;</vt:lpwstr>
  </property>
</Properties>
</file>