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3"/>
        <w:widowControl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Supplementary </w:t>
      </w:r>
      <w:r>
        <w:rPr>
          <w:sz w:val="24"/>
          <w:szCs w:val="24"/>
          <w:lang w:val="en-US"/>
        </w:rPr>
        <w:t xml:space="preserve">Table </w:t>
      </w:r>
      <w:r>
        <w:rPr>
          <w:sz w:val="24"/>
          <w:szCs w:val="24"/>
          <w:lang w:val="en-US"/>
        </w:rPr>
        <w:fldChar w:fldCharType="begin"/>
      </w:r>
      <w:r>
        <w:rPr>
          <w:sz w:val="24"/>
          <w:szCs w:val="24"/>
          <w:lang w:val="en-US"/>
        </w:rPr>
        <w:instrText xml:space="preserve"> SEQ Table \* ARABIC </w:instrText>
      </w:r>
      <w:r>
        <w:rPr>
          <w:sz w:val="24"/>
          <w:szCs w:val="24"/>
          <w:lang w:val="en-US"/>
        </w:rPr>
        <w:fldChar w:fldCharType="separate"/>
      </w:r>
      <w:r>
        <w:rPr>
          <w:sz w:val="24"/>
          <w:szCs w:val="24"/>
          <w:lang w:val="en-US"/>
        </w:rPr>
        <w:t>1</w:t>
      </w:r>
      <w:r>
        <w:rPr>
          <w:sz w:val="24"/>
          <w:szCs w:val="24"/>
          <w:lang w:val="en-US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2011 </w:t>
      </w:r>
      <w:r>
        <w:rPr>
          <w:rFonts w:hint="default"/>
          <w:sz w:val="24"/>
          <w:szCs w:val="24"/>
          <w:lang w:val="en-US" w:eastAsia="zh-CN"/>
        </w:rPr>
        <w:t>Comprehensive clinical diagnostic criteria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6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30"/>
                <w:szCs w:val="30"/>
                <w:lang w:val="en-US" w:eastAsia="zh-CN" w:bidi="ar"/>
              </w:rPr>
              <w:t>Comprehensive clinical diagnostic criteria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885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1. 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iffuse/localized swelling or masses in single or multiple organs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2. 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levated serum IgG4 concentrations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135 mg/dl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3. Histopathologic examination shows: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(1) Marked lymphocyte and plasmacyte infiltration and fibrosis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(2)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R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atio of IgG4+/IgG+ cells &gt; 40% and IgG4+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/HPF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&gt;10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Definite: 1 + 2 + 3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Probable: 1 + 3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Possible: 1 + 2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However, it is important to differentiate IgG4-RD from malignant tumors of each organ (e.g. cancer, 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lymphoma) and similar diseases (e.g. Sjögren’s syndrome, primary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sclerosing cholangitis, Castleman’s disease, secondary retroperitoneal fibrosis, Wegener’s granulomatosis, sarcoidosis, Churg–Strauss syndrome) by additional histopathological examination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atients 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who 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cannot be diagnosed using the 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comprehensive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criteria may be diagnosed using organspecific diagnostic criteria for IgG4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RD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.</w:t>
            </w:r>
          </w:p>
        </w:tc>
      </w:tr>
    </w:tbl>
    <w:p>
      <w:pPr>
        <w:rPr>
          <w:sz w:val="24"/>
          <w:szCs w:val="24"/>
          <w:lang w:val="en-US"/>
        </w:rPr>
      </w:pPr>
    </w:p>
    <w:p>
      <w:pPr>
        <w:rPr>
          <w:sz w:val="24"/>
          <w:szCs w:val="24"/>
          <w:lang w:val="en-US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br w:type="page"/>
      </w:r>
    </w:p>
    <w:p>
      <w:pPr>
        <w:pStyle w:val="23"/>
        <w:widowControl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Supplementary Table 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SEQ Table \* ARABIC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2011 pathology consensus</w:t>
      </w:r>
    </w:p>
    <w:tbl>
      <w:tblPr>
        <w:tblStyle w:val="9"/>
        <w:tblW w:w="9996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0"/>
        <w:gridCol w:w="3468"/>
        <w:gridCol w:w="346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6" w:type="dxa"/>
            <w:gridSpan w:val="3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30"/>
                <w:szCs w:val="30"/>
                <w:lang w:val="en-US" w:eastAsia="zh-CN" w:bidi="ar"/>
              </w:rPr>
              <w:t>Histological diagnostic scheme of IgG4-related disease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6" w:type="dxa"/>
            <w:gridSpan w:val="3"/>
            <w:tcBorders>
              <w:top w:val="single" w:color="auto" w:sz="6" w:space="0"/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 w:line="360" w:lineRule="auto"/>
              <w:ind w:left="0" w:right="0" w:rightChars="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Histological features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6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Dense lymphoplasmacytic infiltrate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6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480" w:firstLineChars="20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Fibrosis, usually storiform in character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6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suppressLineNumbers w:val="0"/>
              <w:spacing w:before="0" w:beforeAutospacing="0" w:after="0" w:afterAutospacing="0" w:line="360" w:lineRule="auto"/>
              <w:ind w:left="0" w:leftChars="0" w:right="0" w:firstLine="480" w:firstLineChars="20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Obliterative phlebitis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96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2. Numbers of IgG4+ plasma cells/high power field (IgG4/HPF)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46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Cases with 2 histological features</w:t>
            </w:r>
          </w:p>
        </w:tc>
        <w:tc>
          <w:tcPr>
            <w:tcW w:w="346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Cases with 1 histological feature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Meningus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Lacrimal gland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Salivary gland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shd w:val="clear" w:fill="D7D7D7" w:themeFill="background1" w:themeFillShade="D8"/>
                <w:lang w:val="en-US" w:eastAsia="zh-CN" w:bidi="ar"/>
              </w:rPr>
              <w:t>&gt;100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Lymph node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Lung (surgical specimen)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Lung (biopsy)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&gt;20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Pleura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Pancreas (surgical specimen)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Pancreas (biopsy)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Bile duct (surgical specimen)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Bile duct (biopsy)</w:t>
            </w:r>
          </w:p>
        </w:tc>
        <w:tc>
          <w:tcPr>
            <w:tcW w:w="346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Liver (surgical specimen)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Liver (biopsy)</w:t>
            </w:r>
          </w:p>
        </w:tc>
        <w:tc>
          <w:tcPr>
            <w:tcW w:w="346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Kidney (surgical specimen)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&gt;30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Kidney (biopsy)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Aorta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Retroperitoneum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D7D7D7" w:themeFill="background1" w:themeFillShade="D8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&gt;30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Skin</w:t>
            </w:r>
          </w:p>
        </w:tc>
        <w:tc>
          <w:tcPr>
            <w:tcW w:w="3468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&gt;200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&gt;200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6" w:type="dxa"/>
            <w:gridSpan w:val="3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vertAlign w:val="superscript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3. Ratio of IgG4+/IgG+ cells &gt;40% is a mandatory for histological diagnosis of IgG4-RD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Gray box=Histologically highly suggestive of IgG4-RD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White box=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Probable histological features of IgG4-RD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Cases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outside the two categories described above</w: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are insufficient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.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sz w:val="24"/>
          <w:szCs w:val="24"/>
          <w:lang w:val="en-US"/>
        </w:rPr>
      </w:pPr>
    </w:p>
    <w:p>
      <w:pPr>
        <w:pStyle w:val="23"/>
        <w:widowControl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Supplementary Table 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sz w:val="24"/>
          <w:szCs w:val="24"/>
          <w:lang w:val="en-US"/>
        </w:rPr>
        <w:t xml:space="preserve"> Comparison of Needle Biopsy and Surgical Biopsy in 72 diagnosed IgG4-RD samples</w:t>
      </w:r>
    </w:p>
    <w:tbl>
      <w:tblPr>
        <w:tblStyle w:val="9"/>
        <w:tblW w:w="9608" w:type="dxa"/>
        <w:tblInd w:w="0" w:type="dxa"/>
        <w:tblBorders>
          <w:top w:val="single" w:color="auto" w:sz="12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9"/>
        <w:gridCol w:w="2340"/>
        <w:gridCol w:w="2306"/>
        <w:gridCol w:w="1163"/>
      </w:tblGrid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</w:p>
        </w:tc>
        <w:tc>
          <w:tcPr>
            <w:tcW w:w="234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Needle biopsy (n=24)</w:t>
            </w:r>
          </w:p>
        </w:tc>
        <w:tc>
          <w:tcPr>
            <w:tcW w:w="230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Sugical biopsy (n=48)</w:t>
            </w:r>
          </w:p>
        </w:tc>
        <w:tc>
          <w:tcPr>
            <w:tcW w:w="116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/>
                <w:iCs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 w:val="0"/>
                <w:kern w:val="2"/>
                <w:sz w:val="24"/>
                <w:szCs w:val="24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Serum IgG4 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(mg/dl), Median (IQR)</w:t>
            </w:r>
          </w:p>
        </w:tc>
        <w:tc>
          <w:tcPr>
            <w:tcW w:w="234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808.0 (157.0, 1890.0)</w:t>
            </w:r>
          </w:p>
        </w:tc>
        <w:tc>
          <w:tcPr>
            <w:tcW w:w="2306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770.0 (323.8, 1660)</w:t>
            </w:r>
          </w:p>
        </w:tc>
        <w:tc>
          <w:tcPr>
            <w:tcW w:w="116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"/>
              </w:rPr>
              <w:t>0.618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IgG4/HP, Median (IQR)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.0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(35.0, 80.0)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.0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(52.5, 140.0)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0.003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IgG4/HP, n (%)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 10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18 (75.0)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48 (100.0)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≤ 10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3 (12.5)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 (0.0)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0.034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Indetermined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3 (12.5)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 (0.0)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0.034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IgG4/IgG (%), Mean ± SD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70.1 ± 2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6.0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66.2 ± 22.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0.438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IgG4/IgG, n (%)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&gt; 40%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19 (79.2)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43 (89.6)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0.399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≤ 40%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4 (16.7)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5 (10.4)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0.705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Indetermined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(4.2)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 (0.0)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0.333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Storiform fibrosis, n (%)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11 (45.8)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24 (50)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0.739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Obliterative phlebitis, n (%)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5 (20.8)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18 (37.5)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0.153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2011 Comprehensive Diagnostic Criteria, n (%)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Possible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7 (29.2)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4 (8.3)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0.049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Probable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(4.2)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13 (27.1)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0.045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Definite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16 (66.7)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31 (64.6)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0.861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2011 Histological Diagnostic Criteria, n (%)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Insufficient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19 (79.2)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11 (22.9)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&lt;0.0</w:t>
            </w: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Probable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4 (16.7)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14 (29.2)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0.248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Highly suggestive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(4.2)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23 (47.9)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&lt;0.0</w:t>
            </w: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Biopsy organ, n (%)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   Meningus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 (0.0)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(2.1)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Lacrimal gland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 (0.0)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 (12.5)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0.169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Salivary gland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18 (75.0)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23 (47.9)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0.029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Lymph node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(4.2)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7 (14.6)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0.255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Lung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 (8.3)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 (0.0)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0.108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Pleura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 (0.0)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(2.1)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Pancreas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(4.2)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(2.1)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Bile duct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(4.2)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 (0.0)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0.333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Retroperitoneum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(4.2)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8 (16.7)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0.256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Prostate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 (0.0)</w:t>
            </w:r>
          </w:p>
        </w:tc>
        <w:tc>
          <w:tcPr>
            <w:tcW w:w="230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(2.1)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1.000</w:t>
            </w:r>
          </w:p>
        </w:tc>
      </w:tr>
    </w:tbl>
    <w:p>
      <w:pPr>
        <w:pStyle w:val="23"/>
        <w:widowControl/>
        <w:rPr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</w:p>
    <w:p>
      <w:pPr>
        <w:pStyle w:val="23"/>
        <w:widowControl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Supplementary Table 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sz w:val="24"/>
          <w:szCs w:val="24"/>
          <w:lang w:val="en-US"/>
        </w:rPr>
        <w:t xml:space="preserve"> Histological Characteristics in 4 biopsy organs of classified as IgG4-RD</w:t>
      </w:r>
    </w:p>
    <w:tbl>
      <w:tblPr>
        <w:tblStyle w:val="9"/>
        <w:tblW w:w="11652" w:type="dxa"/>
        <w:jc w:val="center"/>
        <w:tblBorders>
          <w:top w:val="single" w:color="auto" w:sz="12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0"/>
        <w:gridCol w:w="2040"/>
        <w:gridCol w:w="1764"/>
        <w:gridCol w:w="1944"/>
        <w:gridCol w:w="1824"/>
        <w:gridCol w:w="930"/>
      </w:tblGrid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5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</w:p>
        </w:tc>
        <w:tc>
          <w:tcPr>
            <w:tcW w:w="204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Salivary gland (n=41)</w:t>
            </w:r>
          </w:p>
        </w:tc>
        <w:tc>
          <w:tcPr>
            <w:tcW w:w="176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Lymph node (n=8)</w:t>
            </w:r>
          </w:p>
        </w:tc>
        <w:tc>
          <w:tcPr>
            <w:tcW w:w="194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Retroperitoneum (n=9)</w:t>
            </w:r>
          </w:p>
        </w:tc>
        <w:tc>
          <w:tcPr>
            <w:tcW w:w="182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Lacrimal gland (n=6)</w:t>
            </w:r>
          </w:p>
        </w:tc>
        <w:tc>
          <w:tcPr>
            <w:tcW w:w="93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/>
                <w:iCs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 w:val="0"/>
                <w:kern w:val="2"/>
                <w:sz w:val="24"/>
                <w:szCs w:val="24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Storiform fibrosis, n (%)</w:t>
            </w:r>
          </w:p>
        </w:tc>
        <w:tc>
          <w:tcPr>
            <w:tcW w:w="204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23 (56.1)</w:t>
            </w:r>
          </w:p>
        </w:tc>
        <w:tc>
          <w:tcPr>
            <w:tcW w:w="1764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(12.5)</w:t>
            </w:r>
          </w:p>
        </w:tc>
        <w:tc>
          <w:tcPr>
            <w:tcW w:w="1944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(77.8)</w:t>
            </w:r>
          </w:p>
        </w:tc>
        <w:tc>
          <w:tcPr>
            <w:tcW w:w="1824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 (33.3)</w:t>
            </w:r>
          </w:p>
        </w:tc>
        <w:tc>
          <w:tcPr>
            <w:tcW w:w="93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0.033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Obliterative phlebitis,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14 (34.1)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 (25.0)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 (11.1)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3 (50.0)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0.446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IgG4/HP, Median (IQR)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72.5 (42.5, 127.5)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125.0 (85.0, 245.0)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50.0 (44.0, 85.0)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115.0 (87.5, 147.5)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0.177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IgG4/HP&gt;10,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37 (90.2)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8 (100.0)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9 (100.0)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 (100.0)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IgG4/IgG (%), Median (IQR)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70.0 (59.2, 84.5)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67.5 (85.0, 100.0)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55.0 (36.7, 68.3)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77.8 (51.7, 93.8)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0.402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IgG4/IgG&gt;40%, n (%)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35 (85.4)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7 (87.5)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8 (88.9)</w:t>
            </w:r>
          </w:p>
        </w:tc>
        <w:tc>
          <w:tcPr>
            <w:tcW w:w="182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 (100.0)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1.000</w:t>
            </w:r>
          </w:p>
        </w:tc>
      </w:tr>
    </w:tbl>
    <w:p>
      <w:pPr>
        <w:keepNext w:val="0"/>
        <w:keepLines w:val="0"/>
        <w:widowControl/>
        <w:suppressLineNumbers w:val="0"/>
        <w:spacing w:before="120" w:beforeLines="5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4734" w:h="15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0917C1"/>
    <w:multiLevelType w:val="multilevel"/>
    <w:tmpl w:val="950917C1"/>
    <w:lvl w:ilvl="0" w:tentative="0">
      <w:start w:val="1"/>
      <w:numFmt w:val="decimal"/>
      <w:pStyle w:val="11"/>
      <w:lvlText w:val="%1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12"/>
      <w:lvlText w:val="%1.%2"/>
      <w:lvlJc w:val="left"/>
      <w:pPr>
        <w:ind w:left="992" w:hanging="567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pStyle w:val="13"/>
      <w:lvlText w:val="%1.%2.%3"/>
      <w:lvlJc w:val="left"/>
      <w:pPr>
        <w:ind w:left="1418" w:hanging="567"/>
      </w:pPr>
    </w:lvl>
    <w:lvl w:ilvl="3" w:tentative="0">
      <w:start w:val="1"/>
      <w:numFmt w:val="decimal"/>
      <w:pStyle w:val="18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ACA7A3B2"/>
    <w:multiLevelType w:val="singleLevel"/>
    <w:tmpl w:val="ACA7A3B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B1C31933"/>
    <w:multiLevelType w:val="singleLevel"/>
    <w:tmpl w:val="B1C31933"/>
    <w:lvl w:ilvl="0" w:tentative="0">
      <w:start w:val="1"/>
      <w:numFmt w:val="decimal"/>
      <w:suff w:val="space"/>
      <w:lvlText w:val="(%1)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360FF7"/>
    <w:rsid w:val="03820916"/>
    <w:rsid w:val="079D5531"/>
    <w:rsid w:val="09B02838"/>
    <w:rsid w:val="0D1448C3"/>
    <w:rsid w:val="14F0618B"/>
    <w:rsid w:val="17C17E73"/>
    <w:rsid w:val="1A5357BB"/>
    <w:rsid w:val="1A576D66"/>
    <w:rsid w:val="21255D65"/>
    <w:rsid w:val="22A77984"/>
    <w:rsid w:val="27CB7825"/>
    <w:rsid w:val="2A121EEB"/>
    <w:rsid w:val="2ADD015D"/>
    <w:rsid w:val="2B5C3EB9"/>
    <w:rsid w:val="2BCB5140"/>
    <w:rsid w:val="2DB40ECD"/>
    <w:rsid w:val="3214257A"/>
    <w:rsid w:val="37951EAD"/>
    <w:rsid w:val="3D19557B"/>
    <w:rsid w:val="3EAB0C67"/>
    <w:rsid w:val="45CE3310"/>
    <w:rsid w:val="48613D71"/>
    <w:rsid w:val="4D68768F"/>
    <w:rsid w:val="4F4438DA"/>
    <w:rsid w:val="524A323D"/>
    <w:rsid w:val="530B246E"/>
    <w:rsid w:val="541374E3"/>
    <w:rsid w:val="547908CF"/>
    <w:rsid w:val="5660650E"/>
    <w:rsid w:val="577A0F17"/>
    <w:rsid w:val="58D07B7F"/>
    <w:rsid w:val="5AB558D5"/>
    <w:rsid w:val="620C1164"/>
    <w:rsid w:val="62BB49A3"/>
    <w:rsid w:val="653D490D"/>
    <w:rsid w:val="654F0590"/>
    <w:rsid w:val="66E35BC3"/>
    <w:rsid w:val="67E74FF9"/>
    <w:rsid w:val="68CB268A"/>
    <w:rsid w:val="6CD07638"/>
    <w:rsid w:val="722232D5"/>
    <w:rsid w:val="74D22380"/>
    <w:rsid w:val="753B173A"/>
    <w:rsid w:val="76CB2347"/>
    <w:rsid w:val="79445726"/>
    <w:rsid w:val="7A9F6CB2"/>
    <w:rsid w:val="7D421D1E"/>
    <w:rsid w:val="7F5E3F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2"/>
    <w:semiHidden/>
    <w:unhideWhenUsed/>
    <w:qFormat/>
    <w:uiPriority w:val="0"/>
    <w:pPr>
      <w:spacing w:line="360" w:lineRule="auto"/>
      <w:outlineLvl w:val="2"/>
    </w:pPr>
    <w:rPr>
      <w:rFonts w:ascii="Times New Roman" w:hAnsi="Times New Roman"/>
      <w:b/>
      <w:bCs/>
      <w:sz w:val="24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Times New Roman" w:hAnsi="Times New Roman" w:eastAsia="仿宋"/>
      <w:b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7">
    <w:name w:val="annotation text"/>
    <w:basedOn w:val="1"/>
    <w:qFormat/>
    <w:uiPriority w:val="0"/>
    <w:pPr>
      <w:jc w:val="left"/>
    </w:pPr>
  </w:style>
  <w:style w:type="table" w:styleId="9">
    <w:name w:val="Table Grid"/>
    <w:basedOn w:val="8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paragraph" w:customStyle="1" w:styleId="11">
    <w:name w:val="1级标题"/>
    <w:basedOn w:val="2"/>
    <w:link w:val="16"/>
    <w:qFormat/>
    <w:uiPriority w:val="0"/>
    <w:pPr>
      <w:numPr>
        <w:ilvl w:val="0"/>
        <w:numId w:val="1"/>
      </w:numPr>
      <w:spacing w:line="300" w:lineRule="auto"/>
    </w:pPr>
    <w:rPr>
      <w:rFonts w:ascii="Times New Roman" w:hAnsi="Times New Roman" w:eastAsia="仿宋" w:cs="Times New Roman"/>
      <w:sz w:val="24"/>
      <w:szCs w:val="24"/>
    </w:rPr>
  </w:style>
  <w:style w:type="paragraph" w:customStyle="1" w:styleId="12">
    <w:name w:val="样式1"/>
    <w:basedOn w:val="3"/>
    <w:link w:val="19"/>
    <w:qFormat/>
    <w:uiPriority w:val="0"/>
    <w:pPr>
      <w:numPr>
        <w:ilvl w:val="1"/>
        <w:numId w:val="1"/>
      </w:numPr>
      <w:spacing w:line="300" w:lineRule="auto"/>
    </w:pPr>
    <w:rPr>
      <w:rFonts w:ascii="Times New Roman" w:hAnsi="Times New Roman" w:eastAsia="仿宋" w:cs="Times New Roman"/>
      <w:sz w:val="24"/>
      <w:szCs w:val="32"/>
    </w:rPr>
  </w:style>
  <w:style w:type="paragraph" w:customStyle="1" w:styleId="13">
    <w:name w:val="1.1.1样式"/>
    <w:basedOn w:val="1"/>
    <w:link w:val="21"/>
    <w:qFormat/>
    <w:uiPriority w:val="0"/>
    <w:pPr>
      <w:keepNext/>
      <w:keepLines/>
      <w:numPr>
        <w:ilvl w:val="2"/>
        <w:numId w:val="1"/>
      </w:numPr>
      <w:spacing w:before="260" w:after="260" w:line="300" w:lineRule="auto"/>
      <w:outlineLvl w:val="2"/>
    </w:pPr>
    <w:rPr>
      <w:rFonts w:ascii="Times New Roman" w:hAnsi="Times New Roman" w:eastAsia="仿宋" w:cs="Times New Roman"/>
      <w:b/>
      <w:bCs/>
      <w:sz w:val="24"/>
      <w:szCs w:val="32"/>
    </w:rPr>
  </w:style>
  <w:style w:type="paragraph" w:customStyle="1" w:styleId="14">
    <w:name w:val="PBL正文"/>
    <w:basedOn w:val="1"/>
    <w:link w:val="15"/>
    <w:qFormat/>
    <w:uiPriority w:val="0"/>
    <w:pPr>
      <w:widowControl/>
      <w:spacing w:line="300" w:lineRule="auto"/>
      <w:ind w:firstLine="420"/>
      <w:jc w:val="left"/>
    </w:pPr>
    <w:rPr>
      <w:rFonts w:ascii="Times New Roman" w:hAnsi="Times New Roman" w:eastAsia="仿宋" w:cs="Times New Roman"/>
      <w:sz w:val="24"/>
      <w:szCs w:val="24"/>
    </w:rPr>
  </w:style>
  <w:style w:type="character" w:customStyle="1" w:styleId="15">
    <w:name w:val="PBL正文 Char"/>
    <w:link w:val="14"/>
    <w:qFormat/>
    <w:uiPriority w:val="0"/>
    <w:rPr>
      <w:rFonts w:ascii="Times New Roman" w:hAnsi="Times New Roman" w:eastAsia="仿宋" w:cs="Times New Roman"/>
      <w:sz w:val="24"/>
      <w:szCs w:val="24"/>
    </w:rPr>
  </w:style>
  <w:style w:type="character" w:customStyle="1" w:styleId="16">
    <w:name w:val="1级标题 字符"/>
    <w:basedOn w:val="17"/>
    <w:link w:val="11"/>
    <w:qFormat/>
    <w:uiPriority w:val="0"/>
    <w:rPr>
      <w:rFonts w:ascii="Times New Roman" w:hAnsi="Times New Roman" w:eastAsia="仿宋" w:cs="Times New Roman"/>
      <w:kern w:val="44"/>
      <w:sz w:val="24"/>
      <w:szCs w:val="24"/>
    </w:rPr>
  </w:style>
  <w:style w:type="character" w:customStyle="1" w:styleId="17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8">
    <w:name w:val="四级标题"/>
    <w:basedOn w:val="1"/>
    <w:qFormat/>
    <w:uiPriority w:val="0"/>
    <w:pPr>
      <w:numPr>
        <w:ilvl w:val="3"/>
        <w:numId w:val="1"/>
      </w:numPr>
      <w:ind w:left="1984" w:hanging="708"/>
    </w:pPr>
  </w:style>
  <w:style w:type="character" w:customStyle="1" w:styleId="19">
    <w:name w:val="样式1 字符"/>
    <w:basedOn w:val="20"/>
    <w:link w:val="12"/>
    <w:qFormat/>
    <w:uiPriority w:val="0"/>
    <w:rPr>
      <w:rFonts w:ascii="Times New Roman" w:hAnsi="Times New Roman" w:eastAsia="仿宋" w:cs="Times New Roman"/>
      <w:sz w:val="24"/>
      <w:szCs w:val="32"/>
    </w:rPr>
  </w:style>
  <w:style w:type="character" w:customStyle="1" w:styleId="20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1">
    <w:name w:val="1.1.1样式 字符"/>
    <w:basedOn w:val="10"/>
    <w:link w:val="13"/>
    <w:qFormat/>
    <w:uiPriority w:val="0"/>
    <w:rPr>
      <w:rFonts w:ascii="Times New Roman" w:hAnsi="Times New Roman" w:eastAsia="仿宋" w:cs="Times New Roman"/>
      <w:b/>
      <w:bCs/>
      <w:sz w:val="24"/>
      <w:szCs w:val="32"/>
    </w:rPr>
  </w:style>
  <w:style w:type="character" w:customStyle="1" w:styleId="22">
    <w:name w:val="标题 3 字符"/>
    <w:basedOn w:val="10"/>
    <w:link w:val="4"/>
    <w:uiPriority w:val="9"/>
    <w:rPr>
      <w:rFonts w:ascii="Times New Roman" w:hAnsi="Times New Roman" w:eastAsia="仿宋"/>
      <w:b/>
      <w:bCs/>
      <w:sz w:val="24"/>
      <w:szCs w:val="32"/>
    </w:rPr>
  </w:style>
  <w:style w:type="paragraph" w:customStyle="1" w:styleId="23">
    <w:name w:val="正文1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holy ghost</cp:lastModifiedBy>
  <dcterms:modified xsi:type="dcterms:W3CDTF">2020-11-22T11:30:43Z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