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numPr>
          <w:ilvl w:val="0"/>
          <w:numId w:val="0"/>
        </w:numPr>
        <w:spacing w:after="200" w:line="480" w:lineRule="auto"/>
        <w:jc w:val="center"/>
        <w:rPr>
          <w:rFonts w:hint="default" w:ascii="Times New Roman" w:hAnsi="Times New Roman"/>
          <w:b w:val="0"/>
          <w:sz w:val="20"/>
        </w:rPr>
      </w:pPr>
      <w:r>
        <w:rPr>
          <w:rFonts w:hint="default" w:ascii="Times New Roman" w:hAnsi="Times New Roman"/>
          <w:b w:val="0"/>
          <w:sz w:val="20"/>
        </w:rPr>
        <w:t>Table S1. Experiment reagent</w:t>
      </w:r>
    </w:p>
    <w:tbl>
      <w:tblPr>
        <w:tblStyle w:val="6"/>
        <w:tblW w:w="9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1276"/>
        <w:gridCol w:w="4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hint="default" w:ascii="Times New Roman" w:hAnsi="Times New Roman"/>
                <w:bCs/>
                <w:sz w:val="20"/>
              </w:rPr>
              <w:t>Reagent</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Catalog No.</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Company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bookmarkStart w:id="0" w:name="OLE_LINK53"/>
            <w:bookmarkStart w:id="1" w:name="OLE_LINK9"/>
            <w:r>
              <w:rPr>
                <w:rFonts w:ascii="Times New Roman" w:hAnsi="Times New Roman"/>
                <w:bCs/>
                <w:sz w:val="20"/>
              </w:rPr>
              <w:t>Salivae Miltiorrhizae Liguspyragine Hydrochloride and Glucose Injection</w:t>
            </w:r>
            <w:bookmarkEnd w:id="0"/>
            <w:r>
              <w:rPr>
                <w:rFonts w:ascii="Times New Roman" w:hAnsi="Times New Roman"/>
                <w:bCs/>
                <w:sz w:val="20"/>
              </w:rPr>
              <w:t xml:space="preserve"> (SGI)</w:t>
            </w:r>
            <w:bookmarkEnd w:id="1"/>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20180360</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 xml:space="preserve">Guizhou Jingfeng Injection </w:t>
            </w:r>
            <w:bookmarkStart w:id="2" w:name="_Hlk10490852"/>
            <w:r>
              <w:rPr>
                <w:rFonts w:ascii="Times New Roman" w:hAnsi="Times New Roman"/>
                <w:bCs/>
                <w:sz w:val="20"/>
              </w:rPr>
              <w:t>Co., Ltd.</w:t>
            </w:r>
            <w:bookmarkEnd w:id="2"/>
            <w:r>
              <w:rPr>
                <w:rFonts w:ascii="Times New Roman" w:hAnsi="Times New Roman"/>
                <w:bCs/>
                <w:sz w:val="20"/>
              </w:rPr>
              <w:t xml:space="preserve"> (Guiyang,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Sulfotanshinone sodium injection (Tan IIA)</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1708102</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 xml:space="preserve">Shanghai No. 1 Biochemical Pharmaceutical </w:t>
            </w:r>
            <w:bookmarkStart w:id="3" w:name="_Hlk11055735"/>
            <w:bookmarkStart w:id="4" w:name="_Hlk10534452"/>
            <w:r>
              <w:rPr>
                <w:rFonts w:ascii="Times New Roman" w:hAnsi="Times New Roman"/>
                <w:bCs/>
                <w:sz w:val="20"/>
              </w:rPr>
              <w:t>Co., Ltd</w:t>
            </w:r>
            <w:bookmarkEnd w:id="3"/>
            <w:r>
              <w:rPr>
                <w:rFonts w:ascii="Times New Roman" w:hAnsi="Times New Roman"/>
                <w:bCs/>
                <w:sz w:val="20"/>
              </w:rPr>
              <w:t>.</w:t>
            </w:r>
            <w:bookmarkEnd w:id="4"/>
            <w:r>
              <w:rPr>
                <w:rFonts w:ascii="Times New Roman" w:hAnsi="Times New Roman"/>
                <w:bCs/>
                <w:sz w:val="20"/>
              </w:rPr>
              <w:t xml:space="preserve"> (Shanghai,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BNP</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C23013987</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hint="default" w:ascii="Times New Roman" w:hAnsi="Times New Roman"/>
                <w:bCs/>
                <w:sz w:val="20"/>
              </w:rPr>
              <w:t>Huamei wuhan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hint="default" w:ascii="Times New Roman" w:hAnsi="Times New Roman"/>
                <w:bCs/>
                <w:sz w:val="20"/>
              </w:rPr>
              <w:t>cTn-Ⅰ</w:t>
            </w:r>
          </w:p>
        </w:tc>
        <w:tc>
          <w:tcPr>
            <w:tcW w:w="1276" w:type="dxa"/>
            <w:vAlign w:val="center"/>
          </w:tcPr>
          <w:p>
            <w:pPr>
              <w:widowControl/>
              <w:shd w:val="clear" w:color="auto" w:fill="FFFFFF"/>
              <w:spacing w:after="60" w:line="480" w:lineRule="auto"/>
              <w:jc w:val="left"/>
              <w:outlineLvl w:val="2"/>
              <w:rPr>
                <w:rFonts w:hint="default" w:ascii="Times New Roman" w:hAnsi="Times New Roman"/>
                <w:b/>
                <w:bCs/>
                <w:sz w:val="20"/>
              </w:rPr>
            </w:pPr>
            <w:r>
              <w:rPr>
                <w:rFonts w:ascii="Times New Roman" w:hAnsi="Times New Roman"/>
                <w:bCs/>
                <w:sz w:val="20"/>
              </w:rPr>
              <w:t>C23013986</w:t>
            </w:r>
          </w:p>
        </w:tc>
        <w:tc>
          <w:tcPr>
            <w:tcW w:w="4124" w:type="dxa"/>
            <w:vAlign w:val="center"/>
          </w:tcPr>
          <w:p>
            <w:pPr>
              <w:widowControl/>
              <w:shd w:val="clear" w:color="auto" w:fill="FFFFFF"/>
              <w:spacing w:after="60" w:line="480" w:lineRule="auto"/>
              <w:jc w:val="left"/>
              <w:outlineLvl w:val="2"/>
              <w:rPr>
                <w:rFonts w:hint="default" w:ascii="Times New Roman" w:hAnsi="Times New Roman"/>
                <w:b/>
                <w:bCs/>
                <w:sz w:val="20"/>
              </w:rPr>
            </w:pPr>
            <w:r>
              <w:rPr>
                <w:rFonts w:hint="default" w:ascii="Times New Roman" w:hAnsi="Times New Roman"/>
                <w:bCs/>
                <w:sz w:val="20"/>
              </w:rPr>
              <w:t>Huamei wuhan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CK-MB</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C23013985</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hint="default" w:ascii="Times New Roman" w:hAnsi="Times New Roman"/>
                <w:bCs/>
                <w:sz w:val="20"/>
              </w:rPr>
              <w:t>Huamei wuhan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LDH</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020-2</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J</w:t>
            </w:r>
            <w:r>
              <w:rPr>
                <w:rFonts w:hint="default" w:ascii="Times New Roman" w:hAnsi="Times New Roman"/>
                <w:bCs/>
                <w:sz w:val="20"/>
              </w:rPr>
              <w:t>iancheng Nanjing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SOD</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001-3</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J</w:t>
            </w:r>
            <w:r>
              <w:rPr>
                <w:rFonts w:hint="default" w:ascii="Times New Roman" w:hAnsi="Times New Roman"/>
                <w:bCs/>
                <w:sz w:val="20"/>
              </w:rPr>
              <w:t>iancheng Nanjing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MDA</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003-1</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J</w:t>
            </w:r>
            <w:r>
              <w:rPr>
                <w:rFonts w:hint="default" w:ascii="Times New Roman" w:hAnsi="Times New Roman"/>
                <w:bCs/>
                <w:sz w:val="20"/>
              </w:rPr>
              <w:t>iancheng Nanjing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N</w:t>
            </w:r>
            <w:r>
              <w:rPr>
                <w:rFonts w:hint="default" w:ascii="Times New Roman" w:hAnsi="Times New Roman"/>
                <w:bCs/>
                <w:sz w:val="20"/>
              </w:rPr>
              <w:t>BT</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S</w:t>
            </w:r>
            <w:r>
              <w:rPr>
                <w:rFonts w:hint="default" w:ascii="Times New Roman" w:hAnsi="Times New Roman"/>
                <w:bCs/>
                <w:sz w:val="20"/>
              </w:rPr>
              <w:t>T362</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hint="default" w:ascii="Times New Roman" w:hAnsi="Times New Roman"/>
                <w:bCs/>
                <w:sz w:val="20"/>
              </w:rPr>
              <w:t xml:space="preserve">Shanghai </w:t>
            </w:r>
            <w:r>
              <w:rPr>
                <w:rFonts w:ascii="Times New Roman" w:hAnsi="Times New Roman"/>
                <w:bCs/>
                <w:sz w:val="20"/>
              </w:rPr>
              <w:t>Beyotime</w:t>
            </w:r>
            <w:r>
              <w:rPr>
                <w:rFonts w:hint="default" w:ascii="Times New Roman" w:hAnsi="Times New Roman"/>
                <w:bCs/>
                <w:sz w:val="20"/>
              </w:rPr>
              <w:t xml:space="preserve"> Biotechnology Co., Ltd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hint="default" w:ascii="Times New Roman" w:hAnsi="Times New Roman"/>
                <w:bCs/>
                <w:sz w:val="20"/>
              </w:rPr>
              <w:t>Isoproterenol</w:t>
            </w:r>
          </w:p>
        </w:tc>
        <w:tc>
          <w:tcPr>
            <w:tcW w:w="1276" w:type="dxa"/>
            <w:vAlign w:val="center"/>
          </w:tcPr>
          <w:p>
            <w:pPr>
              <w:widowControl/>
              <w:shd w:val="clear" w:color="auto" w:fill="FFFFFF"/>
              <w:spacing w:after="60" w:line="480" w:lineRule="auto"/>
              <w:jc w:val="left"/>
              <w:outlineLvl w:val="2"/>
              <w:rPr>
                <w:rFonts w:hint="default" w:ascii="Times New Roman" w:hAnsi="Times New Roman"/>
                <w:b/>
                <w:bCs/>
                <w:sz w:val="20"/>
              </w:rPr>
            </w:pPr>
            <w:r>
              <w:rPr>
                <w:rFonts w:ascii="Times New Roman" w:hAnsi="Times New Roman"/>
                <w:bCs/>
                <w:sz w:val="20"/>
              </w:rPr>
              <w:t>M</w:t>
            </w:r>
            <w:r>
              <w:rPr>
                <w:rFonts w:hint="default" w:ascii="Times New Roman" w:hAnsi="Times New Roman"/>
                <w:bCs/>
                <w:sz w:val="20"/>
              </w:rPr>
              <w:t>B2028-1g</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bookmarkStart w:id="5" w:name="_Hlk77711317"/>
            <w:r>
              <w:rPr>
                <w:rFonts w:hint="default" w:ascii="Times New Roman" w:hAnsi="Times New Roman"/>
                <w:bCs/>
                <w:sz w:val="20"/>
              </w:rPr>
              <w:t>Dalian</w:t>
            </w:r>
            <w:bookmarkEnd w:id="5"/>
            <w:r>
              <w:rPr>
                <w:rFonts w:hint="default" w:ascii="Times New Roman" w:hAnsi="Times New Roman"/>
                <w:bCs/>
                <w:sz w:val="20"/>
              </w:rPr>
              <w:t xml:space="preserve"> Meilun Biotechnology Co., Ltd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P</w:t>
            </w:r>
            <w:r>
              <w:rPr>
                <w:rFonts w:hint="default" w:ascii="Times New Roman" w:hAnsi="Times New Roman"/>
                <w:bCs/>
                <w:sz w:val="20"/>
              </w:rPr>
              <w:t>TU</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B</w:t>
            </w:r>
            <w:r>
              <w:rPr>
                <w:rFonts w:hint="default" w:ascii="Times New Roman" w:hAnsi="Times New Roman"/>
                <w:bCs/>
                <w:sz w:val="20"/>
              </w:rPr>
              <w:t>CBT2428</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hint="default" w:ascii="Times New Roman" w:hAnsi="Times New Roman"/>
                <w:bCs/>
                <w:sz w:val="20"/>
              </w:rPr>
              <w:t>Alorich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AKT Antibody</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b8805</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bcam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p-AKT</w:t>
            </w:r>
            <w:r>
              <w:rPr>
                <w:rFonts w:hint="default" w:ascii="Times New Roman" w:hAnsi="Times New Roman"/>
                <w:bCs/>
                <w:sz w:val="20"/>
              </w:rPr>
              <w:t xml:space="preserve"> </w:t>
            </w:r>
            <w:r>
              <w:rPr>
                <w:rFonts w:ascii="Times New Roman" w:hAnsi="Times New Roman"/>
                <w:bCs/>
                <w:sz w:val="20"/>
              </w:rPr>
              <w:t>Antibody</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4</w:t>
            </w:r>
            <w:r>
              <w:rPr>
                <w:rFonts w:hint="default" w:ascii="Times New Roman" w:hAnsi="Times New Roman"/>
                <w:bCs/>
                <w:sz w:val="20"/>
              </w:rPr>
              <w:t>060S</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C</w:t>
            </w:r>
            <w:r>
              <w:rPr>
                <w:rFonts w:hint="default" w:ascii="Times New Roman" w:hAnsi="Times New Roman"/>
                <w:bCs/>
                <w:sz w:val="20"/>
              </w:rPr>
              <w:t>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JNK1</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b199380</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bcam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p-JNK1</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b76572</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bcam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Bc</w:t>
            </w:r>
            <w:r>
              <w:rPr>
                <w:rFonts w:hint="default" w:ascii="Times New Roman" w:hAnsi="Times New Roman"/>
                <w:bCs/>
                <w:sz w:val="20"/>
              </w:rPr>
              <w:t>l</w:t>
            </w:r>
            <w:r>
              <w:rPr>
                <w:rFonts w:ascii="Times New Roman" w:hAnsi="Times New Roman"/>
                <w:bCs/>
                <w:sz w:val="20"/>
              </w:rPr>
              <w:t>-2</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b182858</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bcam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mTOR</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b134903</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bcam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p-mTOR</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w:t>
            </w:r>
            <w:r>
              <w:rPr>
                <w:rFonts w:ascii="Times New Roman" w:hAnsi="Times New Roman"/>
                <w:bCs/>
                <w:sz w:val="20"/>
              </w:rPr>
              <w:t>1</w:t>
            </w:r>
            <w:r>
              <w:rPr>
                <w:rFonts w:hint="default" w:ascii="Times New Roman" w:hAnsi="Times New Roman"/>
                <w:bCs/>
                <w:sz w:val="20"/>
              </w:rPr>
              <w:t>37133</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bcam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ATG5</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w:t>
            </w:r>
            <w:r>
              <w:rPr>
                <w:rFonts w:ascii="Times New Roman" w:hAnsi="Times New Roman"/>
                <w:bCs/>
                <w:sz w:val="20"/>
              </w:rPr>
              <w:t>1</w:t>
            </w:r>
            <w:r>
              <w:rPr>
                <w:rFonts w:hint="default" w:ascii="Times New Roman" w:hAnsi="Times New Roman"/>
                <w:bCs/>
                <w:sz w:val="20"/>
              </w:rPr>
              <w:t>08327</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bcam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ATG7</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b133528</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bcam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hint="default" w:ascii="Times New Roman" w:hAnsi="Times New Roman"/>
                <w:bCs/>
                <w:sz w:val="20"/>
              </w:rPr>
              <w:t>LC-3Ⅱ/Ⅰ</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w:t>
            </w:r>
            <w:r>
              <w:rPr>
                <w:rFonts w:ascii="Times New Roman" w:hAnsi="Times New Roman"/>
                <w:bCs/>
                <w:sz w:val="20"/>
              </w:rPr>
              <w:t>1</w:t>
            </w:r>
            <w:r>
              <w:rPr>
                <w:rFonts w:hint="default" w:ascii="Times New Roman" w:hAnsi="Times New Roman"/>
                <w:bCs/>
                <w:sz w:val="20"/>
              </w:rPr>
              <w:t>92890</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bcam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Beclin1</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w:t>
            </w:r>
            <w:r>
              <w:rPr>
                <w:rFonts w:ascii="Times New Roman" w:hAnsi="Times New Roman"/>
                <w:bCs/>
                <w:sz w:val="20"/>
              </w:rPr>
              <w:t>2</w:t>
            </w:r>
            <w:r>
              <w:rPr>
                <w:rFonts w:hint="default" w:ascii="Times New Roman" w:hAnsi="Times New Roman"/>
                <w:bCs/>
                <w:sz w:val="20"/>
              </w:rPr>
              <w:t>07612</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bcam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GAPDH</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A</w:t>
            </w:r>
            <w:r>
              <w:rPr>
                <w:rFonts w:hint="default" w:ascii="Times New Roman" w:hAnsi="Times New Roman"/>
                <w:bCs/>
                <w:sz w:val="20"/>
              </w:rPr>
              <w:t>F5009</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hint="default" w:ascii="Times New Roman" w:hAnsi="Times New Roman"/>
                <w:bCs/>
                <w:sz w:val="20"/>
              </w:rPr>
              <w:t xml:space="preserve">Shanghai </w:t>
            </w:r>
            <w:r>
              <w:rPr>
                <w:rFonts w:ascii="Times New Roman" w:hAnsi="Times New Roman"/>
                <w:bCs/>
                <w:sz w:val="20"/>
              </w:rPr>
              <w:t>Beyotime</w:t>
            </w:r>
            <w:r>
              <w:rPr>
                <w:rFonts w:hint="default" w:ascii="Times New Roman" w:hAnsi="Times New Roman"/>
                <w:bCs/>
                <w:sz w:val="20"/>
              </w:rPr>
              <w:t xml:space="preserve"> Biotechnology Co., Ltd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exact"/>
          <w:jc w:val="center"/>
        </w:trPr>
        <w:tc>
          <w:tcPr>
            <w:tcW w:w="3898"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hint="default" w:ascii="Times New Roman" w:hAnsi="Times New Roman"/>
                <w:bCs/>
                <w:sz w:val="20"/>
              </w:rPr>
              <w:t>Acridine orange</w:t>
            </w:r>
          </w:p>
        </w:tc>
        <w:tc>
          <w:tcPr>
            <w:tcW w:w="1276"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ascii="Times New Roman" w:hAnsi="Times New Roman"/>
                <w:bCs/>
                <w:sz w:val="20"/>
              </w:rPr>
              <w:t>C</w:t>
            </w:r>
            <w:r>
              <w:rPr>
                <w:rFonts w:hint="default" w:ascii="Times New Roman" w:hAnsi="Times New Roman"/>
                <w:bCs/>
                <w:sz w:val="20"/>
              </w:rPr>
              <w:t>A1131-5G</w:t>
            </w:r>
          </w:p>
        </w:tc>
        <w:tc>
          <w:tcPr>
            <w:tcW w:w="4124" w:type="dxa"/>
            <w:vAlign w:val="center"/>
          </w:tcPr>
          <w:p>
            <w:pPr>
              <w:widowControl/>
              <w:shd w:val="clear" w:color="auto" w:fill="FFFFFF"/>
              <w:spacing w:after="60" w:line="480" w:lineRule="auto"/>
              <w:jc w:val="left"/>
              <w:outlineLvl w:val="2"/>
              <w:rPr>
                <w:rFonts w:hint="default" w:ascii="Times New Roman" w:hAnsi="Times New Roman"/>
                <w:bCs/>
                <w:sz w:val="20"/>
              </w:rPr>
            </w:pPr>
            <w:r>
              <w:rPr>
                <w:rFonts w:hint="default" w:ascii="Times New Roman" w:hAnsi="Times New Roman"/>
                <w:bCs/>
                <w:sz w:val="20"/>
              </w:rPr>
              <w:t>Beijing coolaber Biotechnology Co., Ltd</w:t>
            </w:r>
          </w:p>
        </w:tc>
      </w:tr>
    </w:tbl>
    <w:p>
      <w:pPr>
        <w:pStyle w:val="4"/>
        <w:spacing w:beforeAutospacing="0" w:after="0" w:afterAutospacing="0" w:line="480" w:lineRule="auto"/>
        <w:jc w:val="both"/>
        <w:rPr>
          <w:rFonts w:hint="default" w:ascii="Times New Roman" w:hAnsi="Times New Roman" w:eastAsia="等线"/>
          <w:color w:val="000000"/>
          <w:sz w:val="20"/>
        </w:rPr>
      </w:pPr>
    </w:p>
    <w:p>
      <w:pPr>
        <w:spacing w:line="480" w:lineRule="auto"/>
        <w:rPr>
          <w:rFonts w:hint="default" w:ascii="Times New Roman" w:hAnsi="Times New Roman" w:eastAsia="等线"/>
          <w:color w:val="000000"/>
          <w:sz w:val="20"/>
        </w:rPr>
      </w:pPr>
    </w:p>
    <w:p>
      <w:pPr>
        <w:spacing w:line="480" w:lineRule="auto"/>
        <w:jc w:val="center"/>
        <w:rPr>
          <w:rFonts w:hint="default" w:ascii="Times New Roman" w:hAnsi="Times New Roman"/>
          <w:sz w:val="20"/>
        </w:rPr>
      </w:pPr>
      <w:r>
        <w:rPr>
          <w:rFonts w:ascii="Times New Roman" w:hAnsi="Times New Roman"/>
          <w:sz w:val="20"/>
        </w:rPr>
        <w:t xml:space="preserve">Table </w:t>
      </w:r>
      <w:r>
        <w:rPr>
          <w:rFonts w:hint="default" w:ascii="Times New Roman" w:hAnsi="Times New Roman"/>
          <w:sz w:val="20"/>
        </w:rPr>
        <w:t>S2. Gene sequence</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4"/>
        <w:gridCol w:w="4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shd w:val="clear" w:color="auto" w:fill="auto"/>
          </w:tcPr>
          <w:p>
            <w:pPr>
              <w:spacing w:after="0" w:line="480" w:lineRule="auto"/>
              <w:rPr>
                <w:rFonts w:hint="default" w:ascii="Times New Roman" w:hAnsi="Times New Roman" w:eastAsia="等线"/>
                <w:sz w:val="20"/>
              </w:rPr>
            </w:pPr>
            <w:r>
              <w:rPr>
                <w:rFonts w:ascii="Times New Roman" w:hAnsi="Times New Roman" w:eastAsia="等线"/>
                <w:sz w:val="20"/>
              </w:rPr>
              <w:t>G</w:t>
            </w:r>
            <w:r>
              <w:rPr>
                <w:rFonts w:hint="default" w:ascii="Times New Roman" w:hAnsi="Times New Roman" w:eastAsia="等线"/>
                <w:sz w:val="20"/>
              </w:rPr>
              <w:t>en-Name</w:t>
            </w: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Primer sequences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spacing w:after="0" w:line="480" w:lineRule="auto"/>
              <w:rPr>
                <w:rFonts w:hint="default" w:ascii="Times New Roman" w:hAnsi="Times New Roman" w:eastAsia="等线"/>
                <w:sz w:val="20"/>
              </w:rPr>
            </w:pPr>
            <w:r>
              <w:rPr>
                <w:rFonts w:ascii="Times New Roman" w:hAnsi="Times New Roman" w:eastAsia="等线"/>
                <w:sz w:val="20"/>
              </w:rPr>
              <w:t>ANP</w:t>
            </w: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ACAGAGACCGAGAGGAAG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AGGGTGCTGGAAGACCCTAT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spacing w:after="0" w:line="480" w:lineRule="auto"/>
              <w:rPr>
                <w:rFonts w:hint="default" w:ascii="Times New Roman" w:hAnsi="Times New Roman" w:eastAsia="等线"/>
                <w:sz w:val="20"/>
              </w:rPr>
            </w:pPr>
            <w:r>
              <w:rPr>
                <w:rFonts w:ascii="Times New Roman" w:hAnsi="Times New Roman" w:eastAsia="等线"/>
                <w:sz w:val="20"/>
              </w:rPr>
              <w:t>BNP</w:t>
            </w:r>
          </w:p>
        </w:tc>
        <w:tc>
          <w:tcPr>
            <w:tcW w:w="4869" w:type="dxa"/>
            <w:shd w:val="clear" w:color="auto" w:fill="auto"/>
          </w:tcPr>
          <w:p>
            <w:pPr>
              <w:spacing w:after="0" w:line="480" w:lineRule="auto"/>
              <w:jc w:val="left"/>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CATGGGTGTTTTAAAGTTTCTCC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CTTCAATATTTGCCGCCTTTAC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spacing w:after="0" w:line="480" w:lineRule="auto"/>
              <w:rPr>
                <w:rFonts w:hint="default" w:ascii="Times New Roman" w:hAnsi="Times New Roman" w:eastAsia="等线"/>
                <w:sz w:val="20"/>
              </w:rPr>
            </w:pPr>
            <w:r>
              <w:rPr>
                <w:rFonts w:ascii="Times New Roman" w:hAnsi="Times New Roman" w:eastAsia="等线"/>
                <w:sz w:val="20"/>
              </w:rPr>
              <w:t>beclin1</w:t>
            </w:r>
          </w:p>
        </w:tc>
        <w:tc>
          <w:tcPr>
            <w:tcW w:w="4869" w:type="dxa"/>
            <w:shd w:val="clear" w:color="auto" w:fill="auto"/>
          </w:tcPr>
          <w:p>
            <w:pPr>
              <w:spacing w:after="0" w:line="480" w:lineRule="auto"/>
              <w:jc w:val="left"/>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GGAAAGATTGAGGACACAGGAG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AGATGAAACCCAGGCTAAACC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spacing w:after="0" w:line="480" w:lineRule="auto"/>
              <w:rPr>
                <w:rFonts w:hint="default" w:ascii="Times New Roman" w:hAnsi="Times New Roman" w:eastAsia="等线"/>
                <w:sz w:val="20"/>
              </w:rPr>
            </w:pPr>
            <w:r>
              <w:rPr>
                <w:rFonts w:ascii="Times New Roman" w:hAnsi="Times New Roman" w:eastAsia="等线"/>
                <w:sz w:val="20"/>
              </w:rPr>
              <w:t>ATG7</w:t>
            </w: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TTCAACTCGTCCCATTCCTTC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vAlign w:val="center"/>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CACTCATGTCCCAGATCTCAG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spacing w:after="0" w:line="480" w:lineRule="auto"/>
              <w:rPr>
                <w:rFonts w:hint="default" w:ascii="Times New Roman" w:hAnsi="Times New Roman" w:eastAsia="等线"/>
                <w:sz w:val="20"/>
              </w:rPr>
            </w:pPr>
            <w:r>
              <w:rPr>
                <w:rFonts w:ascii="Times New Roman" w:hAnsi="Times New Roman" w:eastAsia="等线"/>
                <w:sz w:val="20"/>
              </w:rPr>
              <w:t>ATG5</w:t>
            </w: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CATTGAACCCCTGCTAGAGAC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vAlign w:val="center"/>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ATGTGGAGAAAGTTGTCGGG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spacing w:after="0" w:line="480" w:lineRule="auto"/>
              <w:rPr>
                <w:rFonts w:hint="default" w:ascii="Times New Roman" w:hAnsi="Times New Roman" w:eastAsia="等线"/>
                <w:sz w:val="20"/>
              </w:rPr>
            </w:pPr>
            <w:r>
              <w:rPr>
                <w:rFonts w:ascii="Times New Roman" w:hAnsi="Times New Roman" w:eastAsia="等线"/>
                <w:sz w:val="20"/>
              </w:rPr>
              <w:t>LC</w:t>
            </w:r>
            <w:r>
              <w:rPr>
                <w:rFonts w:hint="default" w:ascii="Times New Roman" w:hAnsi="Times New Roman" w:eastAsia="等线"/>
                <w:sz w:val="20"/>
              </w:rPr>
              <w:t>-</w:t>
            </w:r>
            <w:r>
              <w:rPr>
                <w:rFonts w:ascii="Times New Roman" w:hAnsi="Times New Roman" w:eastAsia="等线"/>
                <w:sz w:val="20"/>
              </w:rPr>
              <w:t>3</w:t>
            </w: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TGTCCACTGCCATTTCTGAG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vAlign w:val="center"/>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GGAAGCGTAGACCATGTACAG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spacing w:after="0" w:line="480" w:lineRule="auto"/>
              <w:jc w:val="left"/>
              <w:rPr>
                <w:rFonts w:hint="default" w:ascii="Times New Roman" w:hAnsi="Times New Roman" w:eastAsia="等线"/>
                <w:sz w:val="20"/>
              </w:rPr>
            </w:pPr>
            <w:r>
              <w:rPr>
                <w:rFonts w:ascii="Times New Roman" w:hAnsi="Times New Roman" w:eastAsia="等线"/>
                <w:sz w:val="20"/>
              </w:rPr>
              <w:t>tyrosine hydroxylase</w:t>
            </w:r>
            <w:r>
              <w:rPr>
                <w:rFonts w:hint="default" w:ascii="Times New Roman" w:hAnsi="Times New Roman" w:eastAsia="等线"/>
                <w:sz w:val="20"/>
              </w:rPr>
              <w:t>-1</w:t>
            </w:r>
            <w:r>
              <w:rPr>
                <w:rFonts w:ascii="Times New Roman" w:hAnsi="Times New Roman" w:eastAsia="等线"/>
                <w:sz w:val="20"/>
              </w:rPr>
              <w:t xml:space="preserve"> (TH1)</w:t>
            </w: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GATCGGAGACATTGCCTTCA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vAlign w:val="center"/>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TCGGAGGGTGGAGTAGACCT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spacing w:after="0" w:line="480" w:lineRule="auto"/>
              <w:jc w:val="left"/>
              <w:rPr>
                <w:rFonts w:hint="default" w:ascii="Times New Roman" w:hAnsi="Times New Roman" w:eastAsia="等线"/>
                <w:sz w:val="20"/>
              </w:rPr>
            </w:pPr>
            <w:r>
              <w:rPr>
                <w:rFonts w:hint="default" w:ascii="Times New Roman" w:hAnsi="Times New Roman" w:eastAsia="等线"/>
                <w:sz w:val="20"/>
              </w:rPr>
              <w:t>t</w:t>
            </w:r>
            <w:r>
              <w:rPr>
                <w:rFonts w:ascii="Times New Roman" w:hAnsi="Times New Roman" w:eastAsia="等线"/>
                <w:sz w:val="20"/>
              </w:rPr>
              <w:t>yrosine</w:t>
            </w:r>
            <w:r>
              <w:rPr>
                <w:rFonts w:hint="default" w:ascii="Times New Roman" w:hAnsi="Times New Roman" w:eastAsia="等线"/>
                <w:sz w:val="20"/>
              </w:rPr>
              <w:t xml:space="preserve"> </w:t>
            </w:r>
            <w:r>
              <w:rPr>
                <w:rFonts w:ascii="Times New Roman" w:hAnsi="Times New Roman" w:eastAsia="等线"/>
                <w:sz w:val="20"/>
              </w:rPr>
              <w:t>hydroxylase</w:t>
            </w:r>
            <w:r>
              <w:rPr>
                <w:rFonts w:hint="default" w:ascii="Times New Roman" w:hAnsi="Times New Roman" w:eastAsia="等线"/>
                <w:sz w:val="20"/>
              </w:rPr>
              <w:t>-2</w:t>
            </w:r>
            <w:r>
              <w:rPr>
                <w:rFonts w:ascii="Times New Roman" w:hAnsi="Times New Roman" w:eastAsia="等线"/>
                <w:sz w:val="20"/>
              </w:rPr>
              <w:t xml:space="preserve"> (TH2)</w:t>
            </w: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GCTTCGTGTTTGAGGAGGAG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vAlign w:val="center"/>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AAAGACTTTGCCAGCCTTGA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spacing w:after="0" w:line="480" w:lineRule="auto"/>
              <w:rPr>
                <w:rFonts w:hint="default" w:ascii="Times New Roman" w:hAnsi="Times New Roman" w:eastAsia="等线"/>
                <w:sz w:val="20"/>
              </w:rPr>
            </w:pPr>
            <w:r>
              <w:rPr>
                <w:rFonts w:ascii="Times New Roman" w:hAnsi="Times New Roman" w:eastAsia="等线"/>
                <w:sz w:val="20"/>
              </w:rPr>
              <w:t>β1-AR</w:t>
            </w: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GGGTTACTGGTGGTGCCATT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vAlign w:val="center"/>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GCGTGACGCAAAGTACATC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spacing w:after="0" w:line="480" w:lineRule="auto"/>
              <w:rPr>
                <w:rFonts w:hint="default" w:ascii="Times New Roman" w:hAnsi="Times New Roman" w:eastAsia="等线"/>
                <w:sz w:val="20"/>
              </w:rPr>
            </w:pPr>
            <w:r>
              <w:rPr>
                <w:rFonts w:ascii="Times New Roman" w:hAnsi="Times New Roman" w:eastAsia="等线"/>
                <w:sz w:val="20"/>
              </w:rPr>
              <w:t>GATA4</w:t>
            </w: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AGGGCATTCAGACACGAAAG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vAlign w:val="center"/>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TGTCTGGTTCAGTCTTGATGG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spacing w:after="0" w:line="480" w:lineRule="auto"/>
              <w:rPr>
                <w:rFonts w:hint="default" w:ascii="Times New Roman" w:hAnsi="Times New Roman" w:eastAsia="等线"/>
                <w:sz w:val="20"/>
              </w:rPr>
            </w:pPr>
            <w:r>
              <w:rPr>
                <w:rFonts w:ascii="Times New Roman" w:hAnsi="Times New Roman" w:eastAsia="等线"/>
                <w:sz w:val="20"/>
              </w:rPr>
              <w:t>SP1</w:t>
            </w: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CTGTAAAGATGGAGAGGGACG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vAlign w:val="center"/>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CTTCCCGTACACCTTACCAC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widowControl/>
              <w:spacing w:after="0" w:line="480" w:lineRule="auto"/>
              <w:rPr>
                <w:rFonts w:hint="default" w:ascii="Times New Roman" w:hAnsi="Times New Roman"/>
                <w:color w:val="000000"/>
                <w:kern w:val="0"/>
                <w:sz w:val="20"/>
              </w:rPr>
            </w:pPr>
            <w:r>
              <w:rPr>
                <w:rFonts w:ascii="Times New Roman" w:hAnsi="Times New Roman"/>
                <w:color w:val="000000"/>
                <w:sz w:val="20"/>
              </w:rPr>
              <w:t>prkg1a</w:t>
            </w: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ATCCTGAGAGACCGGGGAAA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vAlign w:val="center"/>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CCAAAATCCACCAGCTTGGC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restart"/>
            <w:shd w:val="clear" w:color="auto" w:fill="auto"/>
            <w:vAlign w:val="center"/>
          </w:tcPr>
          <w:p>
            <w:pPr>
              <w:spacing w:after="0" w:line="480" w:lineRule="auto"/>
              <w:rPr>
                <w:rFonts w:hint="default" w:ascii="Times New Roman" w:hAnsi="Times New Roman" w:eastAsia="等线"/>
                <w:sz w:val="20"/>
              </w:rPr>
            </w:pPr>
            <w:r>
              <w:rPr>
                <w:rFonts w:ascii="Times New Roman" w:hAnsi="Times New Roman" w:eastAsia="等线"/>
                <w:sz w:val="20"/>
              </w:rPr>
              <w:t>GAPDH</w:t>
            </w: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Forward: </w:t>
            </w:r>
            <w:r>
              <w:rPr>
                <w:rFonts w:ascii="Times New Roman" w:hAnsi="Times New Roman" w:eastAsia="等线"/>
                <w:sz w:val="20"/>
              </w:rPr>
              <w:t>CTGGGATGATGTTCTGACTGG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4" w:type="dxa"/>
            <w:vMerge w:val="continue"/>
            <w:shd w:val="clear" w:color="auto" w:fill="auto"/>
          </w:tcPr>
          <w:p>
            <w:pPr>
              <w:spacing w:after="0" w:line="480" w:lineRule="auto"/>
              <w:rPr>
                <w:rFonts w:hint="default" w:ascii="Times New Roman" w:hAnsi="Times New Roman" w:eastAsia="等线"/>
                <w:sz w:val="20"/>
              </w:rPr>
            </w:pPr>
          </w:p>
        </w:tc>
        <w:tc>
          <w:tcPr>
            <w:tcW w:w="4869" w:type="dxa"/>
            <w:shd w:val="clear" w:color="auto" w:fill="auto"/>
          </w:tcPr>
          <w:p>
            <w:pPr>
              <w:spacing w:after="0" w:line="480" w:lineRule="auto"/>
              <w:rPr>
                <w:rFonts w:hint="default" w:ascii="Times New Roman" w:hAnsi="Times New Roman" w:eastAsia="等线"/>
                <w:sz w:val="20"/>
              </w:rPr>
            </w:pPr>
            <w:r>
              <w:rPr>
                <w:rFonts w:hint="default" w:ascii="Times New Roman" w:hAnsi="Times New Roman" w:eastAsia="等线"/>
                <w:sz w:val="20"/>
              </w:rPr>
              <w:t xml:space="preserve">Reverse: </w:t>
            </w:r>
            <w:r>
              <w:rPr>
                <w:rFonts w:ascii="Times New Roman" w:hAnsi="Times New Roman" w:eastAsia="等线"/>
                <w:sz w:val="20"/>
              </w:rPr>
              <w:t>AGTTGTAAGCAATGCCTCCTG</w:t>
            </w:r>
          </w:p>
        </w:tc>
      </w:tr>
    </w:tbl>
    <w:p>
      <w:pPr>
        <w:rPr>
          <w:rFonts w:hint="default"/>
        </w:rPr>
      </w:pPr>
    </w:p>
    <w:p>
      <w:pPr>
        <w:spacing w:line="480" w:lineRule="auto"/>
        <w:rPr>
          <w:rFonts w:hint="default" w:ascii="Times New Roman" w:hAnsi="Times New Roman"/>
        </w:rPr>
      </w:pPr>
      <w:r>
        <w:rPr>
          <w:rFonts w:hint="default" w:ascii="Times New Roman" w:hAnsi="Times New Roman"/>
        </w:rPr>
        <w:t>Figure legends</w:t>
      </w:r>
    </w:p>
    <w:p>
      <w:pPr>
        <w:pStyle w:val="4"/>
        <w:spacing w:beforeAutospacing="0" w:after="0" w:afterAutospacing="0" w:line="480" w:lineRule="auto"/>
        <w:jc w:val="both"/>
        <w:rPr>
          <w:rFonts w:hint="default" w:ascii="Times New Roman" w:hAnsi="Times New Roman" w:eastAsia="等线"/>
          <w:color w:val="000000" w:themeColor="text1"/>
          <w:sz w:val="20"/>
          <w14:textFill>
            <w14:solidFill>
              <w14:schemeClr w14:val="tx1"/>
            </w14:solidFill>
          </w14:textFill>
        </w:rPr>
      </w:pPr>
      <w:r>
        <w:rPr>
          <w:rFonts w:hint="default" w:ascii="Times New Roman" w:hAnsi="Times New Roman"/>
          <w:b/>
          <w:bCs/>
          <w:sz w:val="20"/>
        </w:rPr>
        <w:t>Fig. S1</w:t>
      </w:r>
      <w:r>
        <w:rPr>
          <w:rFonts w:hint="default" w:ascii="Times New Roman" w:hAnsi="Times New Roman"/>
          <w:sz w:val="20"/>
        </w:rPr>
        <w:t xml:space="preserve"> The effect of SGI on heart rate, S-T and electrocardiogram in myocardial ischemia-reperfusion rats.</w:t>
      </w:r>
      <w:r>
        <w:rPr>
          <w:rFonts w:ascii="Times New Roman" w:hAnsi="Times New Roman" w:eastAsia="等线"/>
          <w:color w:val="000000" w:themeColor="text1"/>
          <w:sz w:val="20"/>
          <w14:textFill>
            <w14:solidFill>
              <w14:schemeClr w14:val="tx1"/>
            </w14:solidFill>
          </w14:textFill>
        </w:rPr>
        <w:t xml:space="preserve"> </w:t>
      </w:r>
      <w:r>
        <w:rPr>
          <w:rFonts w:hint="default" w:ascii="Times New Roman" w:hAnsi="Times New Roman" w:eastAsia="等线"/>
          <w:color w:val="000000" w:themeColor="text1"/>
          <w:sz w:val="20"/>
          <w14:textFill>
            <w14:solidFill>
              <w14:schemeClr w14:val="tx1"/>
            </w14:solidFill>
          </w14:textFill>
        </w:rPr>
        <w:t xml:space="preserve">(a) heart rate: Pre-suregry (Normal) and 30 min of ischemia. Pre-suregry heart rates were similar in all groups and the heart rate curve was flat. The heart rate in each group decreased during ischemia. (b) S-T segment: Pre-suregry (Normal) and 30 min of ischemia. After 30 min of ischemia, the S-T segment in the model group was significantly higher than that in the sham-operated group. Compared with the model group, the S-T elevation was significantly lower in the Tan IIA and SGI groups. (c) </w:t>
      </w:r>
      <w:r>
        <w:rPr>
          <w:rFonts w:hint="default" w:ascii="Times New Roman" w:hAnsi="Times New Roman"/>
          <w:sz w:val="20"/>
        </w:rPr>
        <w:t>electrocardiogram: In the sham-operated group, the ST segment and the heart rhythm was normal. In the model group, the ST segment was significantly elevated during ischemia, the ST segment was decreased during reperfusion, and arrhythmia occurred. The ST segment of SGI group and Tan IIA group showed elevation during ischemia, was decreased during reperfusion. Compared with model group, *</w:t>
      </w:r>
      <w:r>
        <w:rPr>
          <w:rFonts w:hint="default" w:ascii="Times New Roman" w:hAnsi="Times New Roman"/>
          <w:i/>
          <w:iCs/>
          <w:sz w:val="20"/>
        </w:rPr>
        <w:t>P</w:t>
      </w:r>
      <w:r>
        <w:rPr>
          <w:rFonts w:hint="default" w:ascii="Times New Roman" w:hAnsi="Times New Roman"/>
          <w:sz w:val="20"/>
        </w:rPr>
        <w:t xml:space="preserve"> &lt;0.05, **</w:t>
      </w:r>
      <w:r>
        <w:rPr>
          <w:rFonts w:hint="default" w:ascii="Times New Roman" w:hAnsi="Times New Roman"/>
          <w:i/>
          <w:iCs/>
          <w:sz w:val="20"/>
        </w:rPr>
        <w:t>P</w:t>
      </w:r>
      <w:r>
        <w:rPr>
          <w:rFonts w:hint="default" w:ascii="Times New Roman" w:hAnsi="Times New Roman"/>
          <w:sz w:val="20"/>
        </w:rPr>
        <w:t xml:space="preserve"> &lt;0.01, ***</w:t>
      </w:r>
      <w:r>
        <w:rPr>
          <w:rFonts w:hint="default" w:ascii="Times New Roman" w:hAnsi="Times New Roman"/>
          <w:i/>
          <w:iCs/>
          <w:sz w:val="20"/>
        </w:rPr>
        <w:t>P</w:t>
      </w:r>
      <w:r>
        <w:rPr>
          <w:rFonts w:hint="default" w:ascii="Times New Roman" w:hAnsi="Times New Roman"/>
          <w:sz w:val="20"/>
        </w:rPr>
        <w:t xml:space="preserve"> &lt;0.001.</w:t>
      </w:r>
    </w:p>
    <w:p>
      <w:pPr>
        <w:pStyle w:val="4"/>
        <w:spacing w:beforeAutospacing="0" w:after="0" w:afterAutospacing="0"/>
        <w:jc w:val="both"/>
        <w:rPr>
          <w:rFonts w:hint="default" w:ascii="Times New Roman" w:hAnsi="Times New Roman"/>
        </w:rPr>
      </w:pPr>
    </w:p>
    <w:p>
      <w:pPr>
        <w:rPr>
          <w:rFonts w:hint="default"/>
        </w:rPr>
      </w:pPr>
    </w:p>
    <w:p>
      <w:pPr>
        <w:spacing w:after="0" w:line="480" w:lineRule="auto"/>
        <w:rPr>
          <w:rFonts w:hint="default"/>
        </w:rPr>
      </w:pPr>
      <w:r>
        <w:rPr>
          <w:rFonts w:ascii="Times New Roman" w:hAnsi="Times New Roman" w:eastAsia="等线"/>
          <w:b/>
          <w:bCs/>
          <w:sz w:val="20"/>
        </w:rPr>
        <w:t>Fig.</w:t>
      </w:r>
      <w:r>
        <w:rPr>
          <w:rFonts w:hint="default" w:ascii="Times New Roman" w:hAnsi="Times New Roman" w:eastAsia="等线"/>
          <w:b/>
          <w:bCs/>
          <w:sz w:val="20"/>
        </w:rPr>
        <w:t xml:space="preserve"> S2</w:t>
      </w:r>
      <w:r>
        <w:rPr>
          <w:rFonts w:ascii="Times New Roman" w:hAnsi="Times New Roman" w:eastAsia="等线"/>
          <w:sz w:val="20"/>
        </w:rPr>
        <w:t xml:space="preserve"> The effect of SGI on BNP, CK-MB, cTn-</w:t>
      </w:r>
      <w:r>
        <w:rPr>
          <w:rFonts w:hint="default" w:ascii="Times New Roman" w:hAnsi="Times New Roman" w:eastAsia="等线"/>
          <w:sz w:val="20"/>
        </w:rPr>
        <w:t>Ⅰ,</w:t>
      </w:r>
      <w:r>
        <w:rPr>
          <w:rFonts w:ascii="Times New Roman" w:hAnsi="Times New Roman" w:eastAsia="等线"/>
          <w:sz w:val="20"/>
        </w:rPr>
        <w:t xml:space="preserve"> LDH, MDA, SOD in serum and LDH, MDA, SOD in myocardial tissue of rats with </w:t>
      </w:r>
      <w:r>
        <w:rPr>
          <w:rFonts w:hint="default" w:ascii="Times New Roman" w:hAnsi="Times New Roman" w:eastAsia="等线"/>
          <w:sz w:val="20"/>
        </w:rPr>
        <w:t>MIR</w:t>
      </w:r>
      <w:r>
        <w:rPr>
          <w:rFonts w:ascii="Times New Roman" w:hAnsi="Times New Roman" w:eastAsia="等线"/>
          <w:sz w:val="20"/>
        </w:rPr>
        <w:t>. (a) BNP in serum; (b) CK-MB in serum; (c) cTn-</w:t>
      </w:r>
      <w:r>
        <w:rPr>
          <w:rFonts w:hint="default" w:ascii="Times New Roman" w:hAnsi="Times New Roman" w:eastAsia="等线"/>
          <w:sz w:val="20"/>
        </w:rPr>
        <w:t>Ⅰ</w:t>
      </w:r>
      <w:r>
        <w:rPr>
          <w:rFonts w:ascii="Times New Roman" w:hAnsi="Times New Roman" w:eastAsia="等线"/>
          <w:sz w:val="20"/>
        </w:rPr>
        <w:t xml:space="preserve"> in serum; (d) LDH in serum; (e) MDA in serum; (f) SOD in serum; (g) LDH in myocardial tissue; (h) MDA in myocardial tissue; (i) SOD in myocardial tissue; Compared with Model group, * </w:t>
      </w:r>
      <w:r>
        <w:rPr>
          <w:rFonts w:ascii="Times New Roman" w:hAnsi="Times New Roman" w:eastAsia="等线"/>
          <w:i/>
          <w:iCs/>
          <w:sz w:val="20"/>
        </w:rPr>
        <w:t>P</w:t>
      </w:r>
      <w:r>
        <w:rPr>
          <w:rFonts w:ascii="Times New Roman" w:hAnsi="Times New Roman" w:eastAsia="等线"/>
          <w:sz w:val="20"/>
        </w:rPr>
        <w:t xml:space="preserve"> &lt;0.05, ** </w:t>
      </w:r>
      <w:r>
        <w:rPr>
          <w:rFonts w:ascii="Times New Roman" w:hAnsi="Times New Roman" w:eastAsia="等线"/>
          <w:i/>
          <w:iCs/>
          <w:sz w:val="20"/>
        </w:rPr>
        <w:t>P</w:t>
      </w:r>
      <w:r>
        <w:rPr>
          <w:rFonts w:ascii="Times New Roman" w:hAnsi="Times New Roman" w:eastAsia="等线"/>
          <w:sz w:val="20"/>
        </w:rPr>
        <w:t xml:space="preserve"> &lt;0.01, *** </w:t>
      </w:r>
      <w:r>
        <w:rPr>
          <w:rFonts w:ascii="Times New Roman" w:hAnsi="Times New Roman" w:eastAsia="等线"/>
          <w:i/>
          <w:iCs/>
          <w:sz w:val="20"/>
        </w:rPr>
        <w:t>P</w:t>
      </w:r>
      <w:r>
        <w:rPr>
          <w:rFonts w:ascii="Times New Roman" w:hAnsi="Times New Roman" w:eastAsia="等线"/>
          <w:sz w:val="20"/>
        </w:rPr>
        <w:t xml:space="preserve"> &lt;0.001.</w:t>
      </w:r>
    </w:p>
    <w:p>
      <w:pPr>
        <w:spacing w:line="480" w:lineRule="auto"/>
        <w:rPr>
          <w:rFonts w:hint="default"/>
        </w:rPr>
      </w:pPr>
      <w:r>
        <w:rPr>
          <w:rFonts w:hint="default" w:ascii="Times New Roman" w:hAnsi="Times New Roman"/>
          <w:b/>
          <w:bCs/>
          <w:sz w:val="20"/>
        </w:rPr>
        <w:t>Fig. S3</w:t>
      </w:r>
      <w:r>
        <w:rPr>
          <w:rFonts w:hint="default" w:ascii="Times New Roman" w:hAnsi="Times New Roman"/>
          <w:sz w:val="20"/>
        </w:rPr>
        <w:t xml:space="preserve"> Screening the concentration of SGI to zebrafish.</w:t>
      </w:r>
      <w:r>
        <w:rPr>
          <w:rFonts w:ascii="Times New Roman" w:hAnsi="Times New Roman"/>
          <w:sz w:val="20"/>
        </w:rPr>
        <w:t xml:space="preserve"> </w:t>
      </w:r>
      <w:r>
        <w:rPr>
          <w:rFonts w:hint="default" w:ascii="Times New Roman" w:hAnsi="Times New Roman"/>
          <w:sz w:val="20"/>
        </w:rPr>
        <w:t>(a) The effect of different concentrations of SGI on zebrafish survival; (b) The effect of different concentrations of SGI on the heart rate of zebrafish;</w:t>
      </w:r>
      <w:r>
        <w:rPr>
          <w:rFonts w:hint="default" w:ascii="Times New Roman" w:hAnsi="Times New Roman"/>
          <w:color w:val="FF0000"/>
          <w:sz w:val="20"/>
        </w:rPr>
        <w:t xml:space="preserve"> </w:t>
      </w:r>
      <w:r>
        <w:rPr>
          <w:rFonts w:hint="default" w:ascii="Times New Roman" w:hAnsi="Times New Roman"/>
          <w:sz w:val="20"/>
        </w:rPr>
        <w:t>(c) The effect of different concentrations of SGI on the morphology of zebrafish yolk sac (50x).</w:t>
      </w:r>
      <w:r>
        <w:rPr>
          <w:rFonts w:ascii="Times New Roman" w:hAnsi="Times New Roman"/>
          <w:sz w:val="20"/>
        </w:rPr>
        <w:t xml:space="preserve"> </w:t>
      </w:r>
      <w:r>
        <w:rPr>
          <w:rFonts w:hint="default" w:ascii="Times New Roman" w:hAnsi="Times New Roman"/>
          <w:sz w:val="20"/>
        </w:rPr>
        <w:t xml:space="preserve">Compared with Control group, ** </w:t>
      </w:r>
      <w:r>
        <w:rPr>
          <w:rFonts w:hint="default" w:ascii="Times New Roman" w:hAnsi="Times New Roman"/>
          <w:i/>
          <w:iCs/>
          <w:sz w:val="20"/>
        </w:rPr>
        <w:t>P</w:t>
      </w:r>
      <w:r>
        <w:rPr>
          <w:rFonts w:hint="default" w:ascii="Times New Roman" w:hAnsi="Times New Roman"/>
          <w:sz w:val="20"/>
        </w:rPr>
        <w:t xml:space="preserve"> &lt;0.01.</w:t>
      </w:r>
    </w:p>
    <w:p>
      <w:pPr>
        <w:spacing w:line="480" w:lineRule="auto"/>
        <w:rPr>
          <w:rFonts w:hint="default"/>
        </w:rPr>
      </w:pPr>
      <w:r>
        <w:rPr>
          <w:rFonts w:hint="default" w:ascii="Times New Roman" w:hAnsi="Times New Roman"/>
          <w:b/>
          <w:bCs/>
          <w:sz w:val="20"/>
        </w:rPr>
        <w:t>Fig. S4</w:t>
      </w:r>
      <w:r>
        <w:rPr>
          <w:rFonts w:hint="default" w:ascii="Times New Roman" w:hAnsi="Times New Roman"/>
          <w:sz w:val="20"/>
        </w:rPr>
        <w:t xml:space="preserve"> </w:t>
      </w:r>
      <w:r>
        <w:rPr>
          <w:rFonts w:ascii="Times New Roman" w:hAnsi="Times New Roman"/>
          <w:sz w:val="20"/>
        </w:rPr>
        <w:t xml:space="preserve">Improvement effect of SGI on cardiac function of zebrafish induced by H/R. (a) heart rate; (b) stroke-volume; (c) ejection fraction; (d) fractional area change; (e) cardiac output. Compared with H/R group, *** </w:t>
      </w:r>
      <w:r>
        <w:rPr>
          <w:rFonts w:ascii="Times New Roman" w:hAnsi="Times New Roman"/>
          <w:i/>
          <w:iCs/>
          <w:sz w:val="20"/>
        </w:rPr>
        <w:t>P</w:t>
      </w:r>
      <w:r>
        <w:rPr>
          <w:rFonts w:ascii="Times New Roman" w:hAnsi="Times New Roman"/>
          <w:sz w:val="20"/>
        </w:rPr>
        <w:t xml:space="preserve"> &lt;0.001.</w:t>
      </w:r>
    </w:p>
    <w:p>
      <w:pPr>
        <w:spacing w:line="480" w:lineRule="auto"/>
        <w:rPr>
          <w:rFonts w:hint="default"/>
        </w:rPr>
      </w:pPr>
      <w:r>
        <w:rPr>
          <w:rFonts w:hint="default" w:ascii="Times New Roman" w:hAnsi="Times New Roman"/>
          <w:b/>
          <w:bCs/>
          <w:sz w:val="20"/>
        </w:rPr>
        <w:t>Fig. S5</w:t>
      </w:r>
      <w:r>
        <w:rPr>
          <w:rFonts w:hint="default" w:ascii="Times New Roman" w:hAnsi="Times New Roman"/>
          <w:sz w:val="20"/>
        </w:rPr>
        <w:t xml:space="preserve"> The protective effect of SGI on H9c2 cardiomyocytes induced by H/R.</w:t>
      </w:r>
      <w:r>
        <w:rPr>
          <w:rFonts w:ascii="Times New Roman" w:hAnsi="Times New Roman"/>
          <w:sz w:val="20"/>
        </w:rPr>
        <w:t xml:space="preserve"> </w:t>
      </w:r>
      <w:r>
        <w:rPr>
          <w:rFonts w:hint="default" w:ascii="Times New Roman" w:hAnsi="Times New Roman"/>
          <w:sz w:val="20"/>
        </w:rPr>
        <w:t>(a) The effect of different H/R times on cell viability; (b) The effect of different concentrations of SGI on the survival rate of H9c2 cardiomyocytes; (c) The effect of SGI on the survival rate of H9c2 cardiomyocytes after hypoxic-reoxygenation-induced injury.</w:t>
      </w:r>
      <w:r>
        <w:rPr>
          <w:rFonts w:hint="default"/>
          <w:sz w:val="20"/>
        </w:rPr>
        <w:t xml:space="preserve"> </w:t>
      </w:r>
      <w:r>
        <w:rPr>
          <w:rFonts w:hint="default" w:ascii="Times New Roman" w:hAnsi="Times New Roman"/>
          <w:sz w:val="20"/>
        </w:rPr>
        <w:t>Compared with Control or H/R group, *</w:t>
      </w:r>
      <w:r>
        <w:rPr>
          <w:rFonts w:hint="default" w:ascii="Times New Roman" w:hAnsi="Times New Roman"/>
          <w:i/>
          <w:iCs/>
          <w:sz w:val="20"/>
        </w:rPr>
        <w:t>P</w:t>
      </w:r>
      <w:r>
        <w:rPr>
          <w:rFonts w:hint="default" w:ascii="Times New Roman" w:hAnsi="Times New Roman"/>
          <w:sz w:val="20"/>
        </w:rPr>
        <w:t xml:space="preserve"> &lt;0.05, **</w:t>
      </w:r>
      <w:r>
        <w:rPr>
          <w:rFonts w:hint="default" w:ascii="Times New Roman" w:hAnsi="Times New Roman"/>
          <w:i/>
          <w:iCs/>
          <w:sz w:val="20"/>
        </w:rPr>
        <w:t>P</w:t>
      </w:r>
      <w:r>
        <w:rPr>
          <w:rFonts w:hint="default" w:ascii="Times New Roman" w:hAnsi="Times New Roman"/>
          <w:sz w:val="20"/>
        </w:rPr>
        <w:t xml:space="preserve"> &lt;0.01, ***</w:t>
      </w:r>
      <w:r>
        <w:rPr>
          <w:rFonts w:hint="default" w:ascii="Times New Roman" w:hAnsi="Times New Roman"/>
          <w:i/>
          <w:iCs/>
          <w:sz w:val="20"/>
        </w:rPr>
        <w:t>P</w:t>
      </w:r>
      <w:r>
        <w:rPr>
          <w:rFonts w:hint="default" w:ascii="Times New Roman" w:hAnsi="Times New Roman"/>
          <w:sz w:val="20"/>
        </w:rPr>
        <w:t xml:space="preserve"> &lt;0.001.</w:t>
      </w:r>
    </w:p>
    <w:p>
      <w:pPr>
        <w:spacing w:line="480" w:lineRule="auto"/>
        <w:rPr>
          <w:rFonts w:hint="default" w:ascii="Times New Roman" w:hAnsi="Times New Roman"/>
          <w:sz w:val="20"/>
        </w:rPr>
      </w:pPr>
      <w:r>
        <w:rPr>
          <w:rFonts w:hint="default" w:ascii="Times New Roman" w:hAnsi="Times New Roman"/>
          <w:b/>
          <w:bCs/>
          <w:sz w:val="20"/>
        </w:rPr>
        <w:t>Fig. S6</w:t>
      </w:r>
      <w:r>
        <w:rPr>
          <w:rFonts w:hint="default" w:ascii="Times New Roman" w:hAnsi="Times New Roman"/>
          <w:sz w:val="20"/>
        </w:rPr>
        <w:t xml:space="preserve"> The effect of SGI on SOD, MDA and LDH in H9c2 cardiomyocytes induced by H/R. (a) SOD; (b) MDA; (c) LDH.</w:t>
      </w:r>
      <w:r>
        <w:rPr>
          <w:rFonts w:hint="default"/>
          <w:sz w:val="20"/>
        </w:rPr>
        <w:t xml:space="preserve"> </w:t>
      </w:r>
      <w:r>
        <w:rPr>
          <w:rFonts w:hint="default" w:ascii="Times New Roman" w:hAnsi="Times New Roman"/>
          <w:sz w:val="20"/>
        </w:rPr>
        <w:t>Compared with Control or H/R group, **</w:t>
      </w:r>
      <w:r>
        <w:rPr>
          <w:rFonts w:hint="default" w:ascii="Times New Roman" w:hAnsi="Times New Roman"/>
          <w:i/>
          <w:iCs/>
          <w:sz w:val="20"/>
        </w:rPr>
        <w:t xml:space="preserve">P </w:t>
      </w:r>
      <w:r>
        <w:rPr>
          <w:rFonts w:hint="default" w:ascii="Times New Roman" w:hAnsi="Times New Roman"/>
          <w:sz w:val="20"/>
        </w:rPr>
        <w:t>&lt;0.01, ***</w:t>
      </w:r>
      <w:r>
        <w:rPr>
          <w:rFonts w:hint="default" w:ascii="Times New Roman" w:hAnsi="Times New Roman"/>
          <w:i/>
          <w:iCs/>
          <w:sz w:val="20"/>
        </w:rPr>
        <w:t xml:space="preserve">P </w:t>
      </w:r>
      <w:r>
        <w:rPr>
          <w:rFonts w:hint="default" w:ascii="Times New Roman" w:hAnsi="Times New Roman"/>
          <w:sz w:val="20"/>
        </w:rPr>
        <w:t>&lt;0.001.</w:t>
      </w:r>
    </w:p>
    <w:p>
      <w:pPr>
        <w:jc w:val="center"/>
        <w:rPr>
          <w:rFonts w:hint="default"/>
        </w:rPr>
      </w:pPr>
    </w:p>
    <w:p>
      <w:pPr>
        <w:jc w:val="center"/>
        <w:rPr>
          <w:rFonts w:hint="default"/>
        </w:rPr>
      </w:pPr>
    </w:p>
    <w:p>
      <w:pPr>
        <w:rPr>
          <w:rFonts w:hint="default"/>
        </w:rPr>
      </w:pPr>
    </w:p>
    <w:p>
      <w:pPr>
        <w:jc w:val="center"/>
        <w:rPr>
          <w:rFonts w:hint="default"/>
        </w:rPr>
      </w:pPr>
    </w:p>
    <w:p>
      <w:pPr>
        <w:spacing w:line="480" w:lineRule="auto"/>
        <w:rPr>
          <w:rFonts w:hint="default"/>
        </w:rPr>
      </w:pPr>
      <w:r>
        <w:rPr>
          <w:rFonts w:hint="default" w:ascii="Times New Roman" w:hAnsi="Times New Roman"/>
          <w:b/>
          <w:bCs/>
          <w:sz w:val="20"/>
        </w:rPr>
        <w:t>Fig. S7</w:t>
      </w:r>
      <w:r>
        <w:rPr>
          <w:rFonts w:hint="default" w:ascii="Times New Roman" w:hAnsi="Times New Roman"/>
          <w:sz w:val="20"/>
        </w:rPr>
        <w:t xml:space="preserve"> Detection of Beclin1 and LC-3 expression in myocardial tissue by immunofluorescence.</w:t>
      </w:r>
      <w:r>
        <w:rPr>
          <w:rFonts w:ascii="Times New Roman" w:hAnsi="Times New Roman"/>
          <w:sz w:val="20"/>
        </w:rPr>
        <w:t xml:space="preserve"> </w:t>
      </w:r>
      <w:r>
        <w:rPr>
          <w:rFonts w:hint="default" w:ascii="Times New Roman" w:hAnsi="Times New Roman"/>
          <w:sz w:val="20"/>
        </w:rPr>
        <w:t>(a) Localization and expression level of Beclin1 in myocardial tissue (400x); (b) Localization and expression level of LC-3 in myocardial tissue (400x);</w:t>
      </w:r>
      <w:r>
        <w:rPr>
          <w:rFonts w:hint="default"/>
          <w:sz w:val="20"/>
        </w:rPr>
        <w:t xml:space="preserve"> </w:t>
      </w:r>
      <w:r>
        <w:rPr>
          <w:rFonts w:hint="default" w:ascii="Times New Roman" w:hAnsi="Times New Roman"/>
          <w:sz w:val="20"/>
        </w:rPr>
        <w:t>(c) The effect of SGI on the morphology of Rapa-induced H9c2 cardiomyocytes (100x).</w:t>
      </w:r>
      <w:r>
        <w:rPr>
          <w:rFonts w:hint="default"/>
          <w:sz w:val="20"/>
        </w:rPr>
        <w:t xml:space="preserve"> </w:t>
      </w:r>
      <w:r>
        <w:rPr>
          <w:rFonts w:hint="default" w:ascii="Times New Roman" w:hAnsi="Times New Roman"/>
          <w:sz w:val="20"/>
        </w:rPr>
        <w:t>Compared with Model group, *</w:t>
      </w:r>
      <w:r>
        <w:rPr>
          <w:rFonts w:hint="default" w:ascii="Times New Roman" w:hAnsi="Times New Roman"/>
          <w:i/>
          <w:iCs/>
          <w:sz w:val="20"/>
        </w:rPr>
        <w:t>P</w:t>
      </w:r>
      <w:r>
        <w:rPr>
          <w:rFonts w:hint="default" w:ascii="Times New Roman" w:hAnsi="Times New Roman"/>
          <w:sz w:val="20"/>
        </w:rPr>
        <w:t xml:space="preserve"> &lt;0.05, **</w:t>
      </w:r>
      <w:r>
        <w:rPr>
          <w:rFonts w:hint="default" w:ascii="Times New Roman" w:hAnsi="Times New Roman"/>
          <w:i/>
          <w:iCs/>
          <w:sz w:val="20"/>
        </w:rPr>
        <w:t>P</w:t>
      </w:r>
      <w:r>
        <w:rPr>
          <w:rFonts w:hint="default" w:ascii="Times New Roman" w:hAnsi="Times New Roman"/>
          <w:sz w:val="20"/>
        </w:rPr>
        <w:t xml:space="preserve"> &lt;0.01.</w:t>
      </w:r>
    </w:p>
    <w:p>
      <w:pPr>
        <w:spacing w:line="480" w:lineRule="auto"/>
        <w:rPr>
          <w:rFonts w:hint="default" w:ascii="Times New Roman" w:hAnsi="Times New Roman"/>
        </w:rPr>
      </w:pPr>
      <w:r>
        <w:rPr>
          <w:rFonts w:hint="default" w:ascii="Times New Roman" w:hAnsi="Times New Roman"/>
          <w:b/>
          <w:bCs/>
          <w:sz w:val="20"/>
        </w:rPr>
        <w:t>Fig. S8</w:t>
      </w:r>
      <w:r>
        <w:rPr>
          <w:rFonts w:hint="default" w:ascii="Times New Roman" w:hAnsi="Times New Roman"/>
          <w:sz w:val="20"/>
        </w:rPr>
        <w:t xml:space="preserve"> (a) The effect of SGI on the relative position of ventricle to atrium induced by ISO in CMLC2-GFP zebrafish (100x); (b) The effect of SGI on ISO-induced apoptosis of zebrafish cardiomyocytes was observed by staining with acridine orange (100x).</w:t>
      </w:r>
    </w:p>
    <w:p>
      <w:pPr>
        <w:spacing w:line="360" w:lineRule="auto"/>
        <w:rPr>
          <w:rFonts w:hint="default" w:ascii="Times New Roman" w:hAnsi="Times New Roman"/>
          <w:b/>
          <w:bCs/>
          <w:sz w:val="20"/>
          <w:szCs w:val="20"/>
        </w:rPr>
      </w:pPr>
      <w:r>
        <w:rPr>
          <w:rFonts w:hint="default" w:ascii="Times New Roman" w:hAnsi="Times New Roman"/>
          <w:b/>
          <w:bCs/>
          <w:sz w:val="20"/>
          <w:szCs w:val="20"/>
        </w:rPr>
        <w:t>Methods</w:t>
      </w:r>
    </w:p>
    <w:p>
      <w:pPr>
        <w:spacing w:line="360" w:lineRule="auto"/>
        <w:rPr>
          <w:rFonts w:hint="default" w:ascii="Times New Roman" w:hAnsi="Times New Roman"/>
          <w:b/>
          <w:bCs/>
          <w:sz w:val="20"/>
          <w:szCs w:val="20"/>
        </w:rPr>
      </w:pPr>
      <w:r>
        <w:rPr>
          <w:rFonts w:hint="default" w:ascii="Times New Roman" w:hAnsi="Times New Roman"/>
          <w:b/>
          <w:bCs/>
          <w:sz w:val="20"/>
          <w:szCs w:val="20"/>
        </w:rPr>
        <w:t>To establish myocardial ischemia reperfusion (MIR) model in rats</w:t>
      </w:r>
    </w:p>
    <w:p>
      <w:pPr>
        <w:spacing w:after="0" w:line="480" w:lineRule="auto"/>
        <w:ind w:firstLine="400" w:firstLineChars="200"/>
        <w:rPr>
          <w:rFonts w:hint="default" w:ascii="Times New Roman" w:hAnsi="Times New Roman" w:eastAsia="等线"/>
          <w:sz w:val="20"/>
          <w:szCs w:val="20"/>
        </w:rPr>
      </w:pPr>
      <w:bookmarkStart w:id="6" w:name="OLE_LINK79"/>
      <w:r>
        <w:rPr>
          <w:rFonts w:ascii="Times New Roman" w:hAnsi="Times New Roman" w:eastAsia="等线"/>
          <w:sz w:val="20"/>
          <w:szCs w:val="20"/>
        </w:rPr>
        <w:t xml:space="preserve">The rats were anesthetized and the heart was exposed using a thoracotomy. Subsequently, the left anterior descending coronary artery (LAD) was tied by a slipknot with 6-0 silk and left for 30 min to induce ischemia, followed by 24 h of reperfusion, </w:t>
      </w:r>
      <w:r>
        <w:rPr>
          <w:rFonts w:hint="default" w:ascii="Times New Roman" w:hAnsi="Times New Roman" w:eastAsia="等线"/>
          <w:sz w:val="20"/>
          <w:szCs w:val="20"/>
        </w:rPr>
        <w:t>t</w:t>
      </w:r>
      <w:r>
        <w:rPr>
          <w:rFonts w:ascii="Times New Roman" w:hAnsi="Times New Roman" w:eastAsia="等线"/>
          <w:sz w:val="20"/>
          <w:szCs w:val="20"/>
        </w:rPr>
        <w:t xml:space="preserve">he control group hearts were exposed without ligation. Electrocardiography (ECG) was recorded by BL-420N system (Chengdu Taimeng Software </w:t>
      </w:r>
      <w:bookmarkStart w:id="7" w:name="_Hlk10641309"/>
      <w:r>
        <w:rPr>
          <w:rFonts w:ascii="Times New Roman" w:hAnsi="Times New Roman" w:eastAsia="等线"/>
          <w:sz w:val="20"/>
          <w:szCs w:val="20"/>
        </w:rPr>
        <w:t>Co., Ltd</w:t>
      </w:r>
      <w:bookmarkEnd w:id="7"/>
      <w:r>
        <w:rPr>
          <w:rFonts w:ascii="Times New Roman" w:hAnsi="Times New Roman" w:eastAsia="等线"/>
          <w:sz w:val="20"/>
          <w:szCs w:val="20"/>
        </w:rPr>
        <w:t>, Chengdu, China) preoperatively, 0, 0.5, and 24 h postoperatively. The MIR injury model was modeled using limb-lead ECG ST-segment elevation (II). After the last ECG recording, blood samples were collected from the abdominal aorta to separate serum by centrifugation at 3000 rpm for 10 min for further biochemical analysis. Subsequently, the hearts of all rats were collected for histopathological and biochemical analyses.</w:t>
      </w:r>
      <w:bookmarkEnd w:id="6"/>
      <w:r>
        <w:rPr>
          <w:rFonts w:ascii="等线" w:hAnsi="等线" w:eastAsia="等线"/>
          <w:sz w:val="20"/>
          <w:szCs w:val="20"/>
        </w:rPr>
        <w:t xml:space="preserve"> </w:t>
      </w:r>
      <w:r>
        <w:rPr>
          <w:rFonts w:ascii="Times New Roman" w:hAnsi="Times New Roman" w:eastAsia="等线"/>
          <w:sz w:val="20"/>
          <w:szCs w:val="20"/>
        </w:rPr>
        <w:t xml:space="preserve">The successful establishment of the MIR injury model was confirmed by ECG and myocardial infarct size. The myocardium that develops ischemic after occlusion of a blood-supplying coronary artery defines the myocardium at risk of death, the so-called area-at-risk (AAR). Quantification of the AAR is important to assess the efficacy of cardioprotective therapies. </w:t>
      </w:r>
      <w:r>
        <w:rPr>
          <w:rFonts w:hint="default" w:ascii="Times New Roman" w:hAnsi="Times New Roman" w:eastAsia="等线"/>
          <w:sz w:val="20"/>
          <w:szCs w:val="20"/>
        </w:rPr>
        <w:t>Nitro Blue Tetrazolium Chloride monohydrate (</w:t>
      </w:r>
      <w:r>
        <w:rPr>
          <w:rFonts w:ascii="Times New Roman" w:hAnsi="Times New Roman" w:eastAsia="等线"/>
          <w:sz w:val="20"/>
          <w:szCs w:val="20"/>
        </w:rPr>
        <w:t>NBT</w:t>
      </w:r>
      <w:r>
        <w:rPr>
          <w:rFonts w:hint="default" w:ascii="Times New Roman" w:hAnsi="Times New Roman" w:eastAsia="等线"/>
          <w:sz w:val="20"/>
          <w:szCs w:val="20"/>
        </w:rPr>
        <w:t>)</w:t>
      </w:r>
      <w:r>
        <w:rPr>
          <w:rFonts w:ascii="Times New Roman" w:hAnsi="Times New Roman" w:eastAsia="等线"/>
          <w:sz w:val="20"/>
          <w:szCs w:val="20"/>
        </w:rPr>
        <w:t xml:space="preserve"> staining was used to quantify the area of myocardial infarction.</w:t>
      </w:r>
    </w:p>
    <w:p>
      <w:pPr>
        <w:spacing w:after="0" w:line="480" w:lineRule="auto"/>
        <w:rPr>
          <w:rFonts w:hint="default" w:ascii="Times New Roman" w:hAnsi="Times New Roman" w:eastAsia="等线"/>
          <w:b/>
          <w:bCs/>
          <w:kern w:val="0"/>
          <w:sz w:val="20"/>
          <w:szCs w:val="20"/>
        </w:rPr>
      </w:pPr>
      <w:bookmarkStart w:id="8" w:name="OLE_LINK77"/>
      <w:bookmarkStart w:id="9" w:name="OLE_LINK71"/>
      <w:r>
        <w:rPr>
          <w:rFonts w:hint="default" w:ascii="Times New Roman" w:hAnsi="Times New Roman" w:eastAsia="等线"/>
          <w:b/>
          <w:bCs/>
          <w:kern w:val="0"/>
          <w:sz w:val="20"/>
          <w:szCs w:val="20"/>
        </w:rPr>
        <w:t>Animals and Diets</w:t>
      </w:r>
    </w:p>
    <w:p>
      <w:pPr>
        <w:spacing w:after="0" w:line="480" w:lineRule="auto"/>
        <w:ind w:firstLine="400" w:firstLineChars="200"/>
        <w:rPr>
          <w:rFonts w:hint="default" w:ascii="Times New Roman" w:hAnsi="Times New Roman" w:eastAsia="等线"/>
          <w:sz w:val="20"/>
          <w:szCs w:val="20"/>
        </w:rPr>
      </w:pPr>
      <w:r>
        <w:rPr>
          <w:rFonts w:ascii="Times New Roman" w:hAnsi="Times New Roman" w:eastAsia="等线"/>
          <w:sz w:val="20"/>
          <w:szCs w:val="20"/>
        </w:rPr>
        <w:t>Specific pathogen-free (SPF) male Sprague-Dawley (SD) rats (150-170g, certificate: NO. 44007200057938) were purchased from the Medical Laboratory Animal Research Center of Guangdong Province (NO. SCXK (Yue) 2013-0002). All rats were housed in an SPF environment in the Institution of Laboratory Animal Science of Jinan University with normal temperature and 12 h light-dark cycle. Rats were provided with a standard laboratory diet and water. The experiments were approved by</w:t>
      </w:r>
      <w:bookmarkStart w:id="10" w:name="OLE_LINK16"/>
      <w:r>
        <w:rPr>
          <w:rFonts w:ascii="Times New Roman" w:hAnsi="Times New Roman" w:eastAsia="等线"/>
          <w:sz w:val="20"/>
          <w:szCs w:val="20"/>
        </w:rPr>
        <w:t xml:space="preserve"> </w:t>
      </w:r>
      <w:bookmarkStart w:id="11" w:name="_Hlk10556164"/>
      <w:r>
        <w:rPr>
          <w:rFonts w:ascii="Times New Roman" w:hAnsi="Times New Roman" w:eastAsia="等线"/>
          <w:sz w:val="20"/>
          <w:szCs w:val="20"/>
        </w:rPr>
        <w:t>the Committee on Animal Care of Jinan University</w:t>
      </w:r>
      <w:bookmarkEnd w:id="11"/>
      <w:r>
        <w:rPr>
          <w:rFonts w:ascii="Times New Roman" w:hAnsi="Times New Roman" w:eastAsia="等线"/>
          <w:sz w:val="20"/>
          <w:szCs w:val="20"/>
        </w:rPr>
        <w:t xml:space="preserve"> (No. IACVC-20180918-06)</w:t>
      </w:r>
      <w:bookmarkEnd w:id="10"/>
      <w:r>
        <w:rPr>
          <w:rFonts w:ascii="Times New Roman" w:hAnsi="Times New Roman" w:eastAsia="等线"/>
          <w:sz w:val="20"/>
          <w:szCs w:val="20"/>
        </w:rPr>
        <w:t xml:space="preserve"> and were conducted according to the instructions of the Laboratory Animal Ethics Committee of Jinan University.</w:t>
      </w:r>
      <w:bookmarkEnd w:id="8"/>
      <w:bookmarkEnd w:id="9"/>
    </w:p>
    <w:p>
      <w:pPr>
        <w:spacing w:after="0" w:line="480" w:lineRule="auto"/>
        <w:ind w:firstLine="400" w:firstLineChars="200"/>
        <w:rPr>
          <w:rFonts w:hint="default" w:ascii="Times New Roman" w:hAnsi="Times New Roman" w:eastAsia="等线"/>
          <w:color w:val="FF0000"/>
          <w:sz w:val="20"/>
          <w:szCs w:val="20"/>
        </w:rPr>
      </w:pPr>
      <w:bookmarkStart w:id="12" w:name="OLE_LINK78"/>
      <w:r>
        <w:rPr>
          <w:rFonts w:ascii="Times New Roman" w:hAnsi="Times New Roman" w:eastAsia="等线"/>
          <w:sz w:val="20"/>
          <w:szCs w:val="20"/>
        </w:rPr>
        <w:t xml:space="preserve">SD rats were randomly divided into 6 groups with 12 rats in each group: sham-operated (control), model, Tan IIA (3.6 mg/kg), </w:t>
      </w:r>
      <w:bookmarkStart w:id="13" w:name="OLE_LINK45"/>
      <w:r>
        <w:rPr>
          <w:rFonts w:ascii="Times New Roman" w:hAnsi="Times New Roman" w:eastAsia="等线"/>
          <w:sz w:val="20"/>
          <w:szCs w:val="20"/>
        </w:rPr>
        <w:t>low-dose SGI</w:t>
      </w:r>
      <w:bookmarkEnd w:id="13"/>
      <w:r>
        <w:rPr>
          <w:rFonts w:ascii="Times New Roman" w:hAnsi="Times New Roman" w:eastAsia="等线"/>
          <w:sz w:val="20"/>
          <w:szCs w:val="20"/>
        </w:rPr>
        <w:t xml:space="preserve"> (1.8 mg/kg of tanshinol and 9 mg/kg of ligustrazine hydrochloride), middle-dose SGI (2.7 of mg/kg tanshinol and 13.5 mg/kg of ligustrazine hydrochloride), </w:t>
      </w:r>
      <w:bookmarkStart w:id="14" w:name="OLE_LINK46"/>
      <w:r>
        <w:rPr>
          <w:rFonts w:ascii="Times New Roman" w:hAnsi="Times New Roman" w:eastAsia="等线"/>
          <w:sz w:val="20"/>
          <w:szCs w:val="20"/>
        </w:rPr>
        <w:t>high-dose SGI</w:t>
      </w:r>
      <w:bookmarkEnd w:id="14"/>
      <w:r>
        <w:rPr>
          <w:rFonts w:ascii="Times New Roman" w:hAnsi="Times New Roman" w:eastAsia="等线"/>
          <w:sz w:val="20"/>
          <w:szCs w:val="20"/>
        </w:rPr>
        <w:t xml:space="preserve"> (3.6 mg/kg of tanshinol and 18 mg/kg of ligustrazine hydrochloride). Tan IIA has been widely used in clinical practice for myocardial ischemic diseases. In this study, it was treated as a positive control. The rats in the control and model groups were injected with </w:t>
      </w:r>
      <w:bookmarkStart w:id="15" w:name="OLE_LINK47"/>
      <w:r>
        <w:rPr>
          <w:rFonts w:ascii="Times New Roman" w:hAnsi="Times New Roman" w:eastAsia="等线"/>
          <w:sz w:val="20"/>
          <w:szCs w:val="20"/>
        </w:rPr>
        <w:t>5% of glucose</w:t>
      </w:r>
      <w:bookmarkEnd w:id="15"/>
      <w:r>
        <w:rPr>
          <w:rFonts w:ascii="Times New Roman" w:hAnsi="Times New Roman" w:eastAsia="等线"/>
          <w:sz w:val="20"/>
          <w:szCs w:val="20"/>
        </w:rPr>
        <w:t xml:space="preserve"> </w:t>
      </w:r>
      <w:bookmarkStart w:id="16" w:name="OLE_LINK48"/>
      <w:r>
        <w:rPr>
          <w:rFonts w:ascii="Times New Roman" w:hAnsi="Times New Roman" w:eastAsia="等线"/>
          <w:sz w:val="20"/>
          <w:szCs w:val="20"/>
        </w:rPr>
        <w:t>into the tail vein for 7 days consecutively</w:t>
      </w:r>
      <w:bookmarkEnd w:id="16"/>
      <w:r>
        <w:rPr>
          <w:rFonts w:ascii="Times New Roman" w:hAnsi="Times New Roman" w:eastAsia="等线"/>
          <w:sz w:val="20"/>
          <w:szCs w:val="20"/>
        </w:rPr>
        <w:t>, while the rest of the rats were given the corresponding drug for 7 days, respectively.</w:t>
      </w:r>
      <w:bookmarkEnd w:id="12"/>
    </w:p>
    <w:p>
      <w:pPr>
        <w:spacing w:after="0" w:line="480" w:lineRule="auto"/>
        <w:rPr>
          <w:rFonts w:hint="default" w:ascii="Times New Roman" w:hAnsi="Times New Roman" w:eastAsia="等线"/>
          <w:b/>
          <w:bCs/>
          <w:kern w:val="0"/>
          <w:sz w:val="20"/>
          <w:szCs w:val="20"/>
        </w:rPr>
      </w:pPr>
      <w:r>
        <w:rPr>
          <w:rFonts w:hint="default" w:ascii="Times New Roman" w:hAnsi="Times New Roman" w:eastAsia="等线"/>
          <w:b/>
          <w:bCs/>
          <w:kern w:val="0"/>
          <w:sz w:val="20"/>
          <w:szCs w:val="20"/>
        </w:rPr>
        <w:t>Establishment of zebrafish embryo H/R model and ISO-induced heart failure model</w:t>
      </w:r>
      <w:r>
        <w:rPr>
          <w:rFonts w:ascii="Times New Roman" w:hAnsi="Times New Roman" w:eastAsia="等线"/>
          <w:b/>
          <w:bCs/>
          <w:kern w:val="0"/>
          <w:sz w:val="20"/>
          <w:szCs w:val="20"/>
        </w:rPr>
        <w:t xml:space="preserve"> </w:t>
      </w:r>
    </w:p>
    <w:p>
      <w:pPr>
        <w:spacing w:after="0" w:line="480" w:lineRule="auto"/>
        <w:ind w:firstLine="400" w:firstLineChars="200"/>
        <w:rPr>
          <w:rFonts w:hint="default" w:ascii="Times New Roman" w:hAnsi="Times New Roman" w:eastAsia="等线"/>
          <w:sz w:val="20"/>
          <w:szCs w:val="20"/>
        </w:rPr>
      </w:pPr>
      <w:r>
        <w:rPr>
          <w:rFonts w:ascii="Times New Roman" w:hAnsi="Times New Roman" w:eastAsia="等线"/>
          <w:sz w:val="20"/>
          <w:szCs w:val="20"/>
        </w:rPr>
        <w:t xml:space="preserve">The fertilized eggs of AB strain wild-type zebrafish, MPX-GFP, CMLC2-GFP transgenic zebrafish lines were collected and cultured in a biochemical incubator at 28.5℃. To inhibit the formation of melanin, the embryos were treated with 0.003% 1-phenyl-2-thiourea (PTU) starting from 12hpf (hour post-fertilization) </w:t>
      </w:r>
      <w:r>
        <w:rPr>
          <w:rFonts w:ascii="Times New Roman" w:hAnsi="Times New Roman" w:eastAsia="等线"/>
          <w:sz w:val="20"/>
          <w:szCs w:val="20"/>
        </w:rPr>
        <w:fldChar w:fldCharType="begin"/>
      </w:r>
      <w:r>
        <w:rPr>
          <w:rFonts w:hint="default" w:ascii="Times New Roman" w:hAnsi="Times New Roman" w:eastAsia="等线"/>
          <w:sz w:val="20"/>
          <w:szCs w:val="20"/>
        </w:rPr>
        <w:instrText xml:space="preserve"> ADDIN EN.CITE &lt;EndNote&gt;&lt;Cite&gt;&lt;Author&gt;Karlsson&lt;/Author&gt;&lt;Year&gt;2001&lt;/Year&gt;&lt;RecNum&gt;4134&lt;/RecNum&gt;&lt;DisplayText&gt;[1]&lt;/DisplayText&gt;&lt;record&gt;&lt;rec-number&gt;4134&lt;/rec-number&gt;&lt;foreign-keys&gt;&lt;key app="EN" db-id="5ddvwtser0wssde0ezovvrsh2wvfw5z59t5r" timestamp="1625579099"&gt;4134&lt;/key&gt;&lt;/foreign-keys&gt;&lt;ref-type name="Journal Article"&gt;17&lt;/ref-type&gt;&lt;contributors&gt;&lt;authors&gt;&lt;author&gt;Karlsson, J.&lt;/author&gt;&lt;author&gt;von Hofsten, J.&lt;/author&gt;&lt;author&gt;Olsson, P. E.&lt;/author&gt;&lt;/authors&gt;&lt;/contributors&gt;&lt;auth-address&gt;Department of Cell and Molecular Biology, Division of Physiology, Umeå University, SE-901 87 Umeå, Sweden.&lt;/auth-address&gt;&lt;titles&gt;&lt;title&gt;Generating transparent zebrafish: a refined method to improve detection of gene expression during embryonic development&lt;/title&gt;&lt;secondary-title&gt;Mar Biotechnol (NY)&lt;/secondary-title&gt;&lt;/titles&gt;&lt;periodical&gt;&lt;full-title&gt;Mar Biotechnol (NY)&lt;/full-title&gt;&lt;/periodical&gt;&lt;pages&gt;522-7&lt;/pages&gt;&lt;volume&gt;3&lt;/volume&gt;&lt;number&gt;6&lt;/number&gt;&lt;edition&gt;2004/02/13&lt;/edition&gt;&lt;dates&gt;&lt;year&gt;2001&lt;/year&gt;&lt;pub-dates&gt;&lt;date&gt;Nov&lt;/date&gt;&lt;/pub-dates&gt;&lt;/dates&gt;&lt;isbn&gt;1436-2228 (Print)&amp;#xD;1436-2228 (Linking)&lt;/isbn&gt;&lt;accession-num&gt;14961324&lt;/accession-num&gt;&lt;urls&gt;&lt;/urls&gt;&lt;electronic-resource-num&gt;10.1007/s1012601-0053-4&lt;/electronic-resource-num&gt;&lt;remote-database-provider&gt;NLM&lt;/remote-database-provider&gt;&lt;language&gt;eng&lt;/language&gt;&lt;/record&gt;&lt;/Cite&gt;&lt;/EndNote&gt;</w:instrText>
      </w:r>
      <w:r>
        <w:rPr>
          <w:rFonts w:ascii="Times New Roman" w:hAnsi="Times New Roman" w:eastAsia="等线"/>
          <w:sz w:val="20"/>
          <w:szCs w:val="20"/>
        </w:rPr>
        <w:fldChar w:fldCharType="separate"/>
      </w:r>
      <w:r>
        <w:rPr>
          <w:rFonts w:hint="default" w:ascii="Times New Roman" w:hAnsi="Times New Roman" w:eastAsia="等线"/>
          <w:sz w:val="20"/>
          <w:szCs w:val="20"/>
        </w:rPr>
        <w:t>[1]</w:t>
      </w:r>
      <w:r>
        <w:rPr>
          <w:rFonts w:ascii="Times New Roman" w:hAnsi="Times New Roman" w:eastAsia="等线"/>
          <w:sz w:val="20"/>
          <w:szCs w:val="20"/>
        </w:rPr>
        <w:fldChar w:fldCharType="end"/>
      </w:r>
      <w:r>
        <w:rPr>
          <w:rFonts w:ascii="Times New Roman" w:hAnsi="Times New Roman" w:eastAsia="等线"/>
          <w:sz w:val="20"/>
          <w:szCs w:val="20"/>
        </w:rPr>
        <w:t>.</w:t>
      </w:r>
    </w:p>
    <w:p>
      <w:pPr>
        <w:spacing w:after="0" w:line="480" w:lineRule="auto"/>
        <w:ind w:firstLine="400" w:firstLineChars="200"/>
        <w:rPr>
          <w:rFonts w:hint="default" w:ascii="Times New Roman" w:hAnsi="Times New Roman" w:eastAsia="等线"/>
          <w:sz w:val="20"/>
          <w:szCs w:val="20"/>
        </w:rPr>
      </w:pPr>
      <w:r>
        <w:rPr>
          <w:rFonts w:ascii="Times New Roman" w:hAnsi="Times New Roman" w:eastAsia="等线"/>
          <w:sz w:val="20"/>
          <w:szCs w:val="20"/>
        </w:rPr>
        <w:t>To establish hypoxia/reoxygenation (H/R) model in zebrafish, we lowered the oxygen concentration by bumping into the embryo culture medium with nitrogen, and used a dissolved oxygen meter to detect the oxygen concentration in the water until the oxygen concentration stabilizes at 0.00mg/L and terminated the nitrogen filling; Then 3-day post fertilization (dpf) zebrafish embryos were transferred into the bottle with freshly prepared hypoxic water. The endpoint of hypoxia was set when zebrafish sinks to the bottom and stays still, while the zebrafish's body was bent.</w:t>
      </w:r>
      <w:r>
        <w:rPr>
          <w:rFonts w:ascii="等线" w:hAnsi="等线" w:eastAsia="等线"/>
          <w:sz w:val="20"/>
          <w:szCs w:val="20"/>
        </w:rPr>
        <w:t xml:space="preserve"> </w:t>
      </w:r>
      <w:r>
        <w:rPr>
          <w:rFonts w:ascii="Times New Roman" w:hAnsi="Times New Roman" w:eastAsia="等线"/>
          <w:sz w:val="20"/>
          <w:szCs w:val="20"/>
        </w:rPr>
        <w:t>Then the hypoxic zebrafish embryos were transferred into normal aquaculture culture water, which was referred to as reoxygenation. They are divided into 3 groups: the control group, H/R group, and SGI group, with 30 fish in each group.</w:t>
      </w:r>
    </w:p>
    <w:p>
      <w:pPr>
        <w:spacing w:after="0" w:line="480" w:lineRule="auto"/>
        <w:ind w:firstLine="400" w:firstLineChars="200"/>
        <w:rPr>
          <w:rFonts w:hint="default" w:ascii="Times New Roman" w:hAnsi="Times New Roman" w:eastAsia="等线"/>
          <w:color w:val="FF0000"/>
          <w:sz w:val="20"/>
          <w:szCs w:val="20"/>
        </w:rPr>
      </w:pPr>
      <w:r>
        <w:rPr>
          <w:rFonts w:ascii="Times New Roman" w:hAnsi="Times New Roman" w:eastAsia="等线"/>
          <w:sz w:val="20"/>
          <w:szCs w:val="20"/>
        </w:rPr>
        <w:t xml:space="preserve">ISO treatment in rats and zebrafish represents well-established HF models to investigate novel mechanisms and test new therapeutic strategies </w:t>
      </w:r>
      <w:r>
        <w:rPr>
          <w:rFonts w:ascii="Times New Roman" w:hAnsi="Times New Roman" w:eastAsia="等线"/>
          <w:sz w:val="20"/>
          <w:szCs w:val="20"/>
        </w:rPr>
        <w:fldChar w:fldCharType="begin">
          <w:fldData xml:space="preserve">PEVuZE5vdGU+PENpdGU+PEF1dGhvcj5HcmltbTwvQXV0aG9yPjxZZWFyPjE5OTg8L1llYXI+PFJl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</w:fldData>
        </w:fldChar>
      </w:r>
      <w:r>
        <w:rPr>
          <w:rFonts w:hint="default" w:ascii="Times New Roman" w:hAnsi="Times New Roman" w:eastAsia="等线"/>
          <w:sz w:val="20"/>
          <w:szCs w:val="20"/>
        </w:rPr>
        <w:instrText xml:space="preserve"> ADDIN EN.CITE </w:instrText>
      </w:r>
      <w:r>
        <w:rPr>
          <w:rFonts w:hint="default" w:ascii="Times New Roman" w:hAnsi="Times New Roman" w:eastAsia="等线"/>
          <w:sz w:val="20"/>
          <w:szCs w:val="20"/>
        </w:rPr>
        <w:fldChar w:fldCharType="begin">
          <w:fldData xml:space="preserve">PEVuZE5vdGU+PENpdGU+PEF1dGhvcj5HcmltbTwvQXV0aG9yPjxZZWFyPjE5OTg8L1llYXI+PFJl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</w:fldData>
        </w:fldChar>
      </w:r>
      <w:r>
        <w:rPr>
          <w:rFonts w:hint="default" w:ascii="Times New Roman" w:hAnsi="Times New Roman" w:eastAsia="等线"/>
          <w:sz w:val="20"/>
          <w:szCs w:val="20"/>
        </w:rPr>
        <w:instrText xml:space="preserve"> ADDIN EN.CITE.DATA </w:instrText>
      </w:r>
      <w:r>
        <w:rPr>
          <w:rFonts w:hint="default" w:ascii="Times New Roman" w:hAnsi="Times New Roman" w:eastAsia="等线"/>
          <w:sz w:val="20"/>
          <w:szCs w:val="20"/>
        </w:rPr>
        <w:fldChar w:fldCharType="end"/>
      </w:r>
      <w:r>
        <w:rPr>
          <w:rFonts w:ascii="Times New Roman" w:hAnsi="Times New Roman" w:eastAsia="等线"/>
          <w:sz w:val="20"/>
          <w:szCs w:val="20"/>
        </w:rPr>
        <w:fldChar w:fldCharType="separate"/>
      </w:r>
      <w:r>
        <w:rPr>
          <w:rFonts w:hint="default" w:ascii="Times New Roman" w:hAnsi="Times New Roman" w:eastAsia="等线"/>
          <w:sz w:val="20"/>
          <w:szCs w:val="20"/>
        </w:rPr>
        <w:t>[2, 3]</w:t>
      </w:r>
      <w:r>
        <w:rPr>
          <w:rFonts w:ascii="Times New Roman" w:hAnsi="Times New Roman" w:eastAsia="等线"/>
          <w:sz w:val="20"/>
          <w:szCs w:val="20"/>
        </w:rPr>
        <w:fldChar w:fldCharType="end"/>
      </w:r>
      <w:r>
        <w:rPr>
          <w:rFonts w:ascii="Times New Roman" w:hAnsi="Times New Roman" w:eastAsia="等线"/>
          <w:sz w:val="20"/>
          <w:szCs w:val="20"/>
        </w:rPr>
        <w:t xml:space="preserve">. Studies have shown that the sustained action of ISO can damage zebrafish cardiomyocytes and construct a zebrafish heart failure model </w:t>
      </w:r>
      <w:r>
        <w:rPr>
          <w:rFonts w:ascii="Times New Roman" w:hAnsi="Times New Roman" w:eastAsia="等线"/>
          <w:sz w:val="20"/>
          <w:szCs w:val="20"/>
        </w:rPr>
        <w:fldChar w:fldCharType="begin">
          <w:fldData xml:space="preserve">PEVuZE5vdGU+PENpdGU+PEF1dGhvcj5Lb3NzYWNrPC9BdXRob3I+PFllYXI+MjAxNzwvWWVhcj48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</w:fldData>
        </w:fldChar>
      </w:r>
      <w:r>
        <w:rPr>
          <w:rFonts w:hint="default" w:ascii="Times New Roman" w:hAnsi="Times New Roman" w:eastAsia="等线"/>
          <w:sz w:val="20"/>
          <w:szCs w:val="20"/>
        </w:rPr>
        <w:instrText xml:space="preserve"> ADDIN EN.CITE </w:instrText>
      </w:r>
      <w:r>
        <w:rPr>
          <w:rFonts w:hint="default" w:ascii="Times New Roman" w:hAnsi="Times New Roman" w:eastAsia="等线"/>
          <w:sz w:val="20"/>
          <w:szCs w:val="20"/>
        </w:rPr>
        <w:fldChar w:fldCharType="begin">
          <w:fldData xml:space="preserve">PEVuZE5vdGU+PENpdGU+PEF1dGhvcj5Lb3NzYWNrPC9BdXRob3I+PFllYXI+MjAxNzwvWWVhcj48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</w:fldData>
        </w:fldChar>
      </w:r>
      <w:r>
        <w:rPr>
          <w:rFonts w:hint="default" w:ascii="Times New Roman" w:hAnsi="Times New Roman" w:eastAsia="等线"/>
          <w:sz w:val="20"/>
          <w:szCs w:val="20"/>
        </w:rPr>
        <w:instrText xml:space="preserve"> ADDIN EN.CITE.DATA </w:instrText>
      </w:r>
      <w:r>
        <w:rPr>
          <w:rFonts w:hint="default" w:ascii="Times New Roman" w:hAnsi="Times New Roman" w:eastAsia="等线"/>
          <w:sz w:val="20"/>
          <w:szCs w:val="20"/>
        </w:rPr>
        <w:fldChar w:fldCharType="end"/>
      </w:r>
      <w:r>
        <w:rPr>
          <w:rFonts w:ascii="Times New Roman" w:hAnsi="Times New Roman" w:eastAsia="等线"/>
          <w:sz w:val="20"/>
          <w:szCs w:val="20"/>
        </w:rPr>
        <w:fldChar w:fldCharType="separate"/>
      </w:r>
      <w:r>
        <w:rPr>
          <w:rFonts w:hint="default" w:ascii="Times New Roman" w:hAnsi="Times New Roman" w:eastAsia="等线"/>
          <w:sz w:val="20"/>
          <w:szCs w:val="20"/>
        </w:rPr>
        <w:t>[3]</w:t>
      </w:r>
      <w:r>
        <w:rPr>
          <w:rFonts w:ascii="Times New Roman" w:hAnsi="Times New Roman" w:eastAsia="等线"/>
          <w:sz w:val="20"/>
          <w:szCs w:val="20"/>
        </w:rPr>
        <w:fldChar w:fldCharType="end"/>
      </w:r>
      <w:r>
        <w:rPr>
          <w:rFonts w:ascii="Times New Roman" w:hAnsi="Times New Roman" w:eastAsia="等线"/>
          <w:sz w:val="20"/>
          <w:szCs w:val="20"/>
        </w:rPr>
        <w:t xml:space="preserve">. In this experiment, we selected 3 dpf wild-type zebrafish with normal development and divided them into 3 groups, namely control group, model group (0.02mg/L ISO) </w:t>
      </w:r>
      <w:r>
        <w:rPr>
          <w:rFonts w:ascii="Times New Roman" w:hAnsi="Times New Roman" w:eastAsia="等线"/>
          <w:sz w:val="20"/>
          <w:szCs w:val="20"/>
        </w:rPr>
        <w:fldChar w:fldCharType="begin"/>
      </w:r>
      <w:r>
        <w:rPr>
          <w:rFonts w:hint="default" w:ascii="Times New Roman" w:hAnsi="Times New Roman" w:eastAsia="等线"/>
          <w:sz w:val="20"/>
          <w:szCs w:val="20"/>
        </w:rPr>
        <w:instrText xml:space="preserve"> ADDIN EN.CITE &lt;EndNote&gt;&lt;Cite&gt;&lt;Author&gt;Kossack&lt;/Author&gt;&lt;Year&gt;2017&lt;/Year&gt;&lt;RecNum&gt;4137&lt;/RecNum&gt;&lt;DisplayText&gt;[4]&lt;/DisplayText&gt;&lt;record&gt;&lt;rec-number&gt;4137&lt;/rec-number&gt;&lt;foreign-keys&gt;&lt;key app="EN" db-id="5ddvwtser0wssde0ezovvrsh2wvfw5z59t5r" timestamp="1625622256"&gt;4137&lt;/key&gt;&lt;/foreign-keys&gt;&lt;ref-type name="Journal Article"&gt;17&lt;/ref-type&gt;&lt;contributors&gt;&lt;authors&gt;&lt;author&gt;Kossack, M&lt;/author&gt;&lt;author&gt;Hein, S&lt;/author&gt;&lt;author&gt;Juergensen, L&lt;/author&gt;&lt;author&gt;Siragusa, M&lt;/author&gt;&lt;author&gt;Benz, A&lt;/author&gt;&lt;author&gt;Katus, HA&lt;/author&gt;&lt;author&gt;Most, P&lt;/author&gt;&lt;author&gt;Hassel, D&lt;/author&gt;&lt;/authors&gt;&lt;/contributors&gt;&lt;titles&gt;&lt;title&gt;Induction of cardiac dysfunction in developing and adult zebrafish by chronic isoproterenol stimulation&lt;/title&gt;&lt;secondary-title&gt;Journal of molecular and cellular cardiology&lt;/secondary-title&gt;&lt;/titles&gt;&lt;periodical&gt;&lt;full-title&gt;Journal of molecular and cellular cardiology&lt;/full-title&gt;&lt;/periodical&gt;&lt;pages&gt;95-105&lt;/pages&gt;&lt;volume&gt;108&lt;/volume&gt;&lt;dates&gt;&lt;year&gt;2017&lt;/year&gt;&lt;/dates&gt;&lt;accession-num&gt;28554511&lt;/accession-num&gt;&lt;label&gt;4.133&lt;/label&gt;&lt;urls&gt;&lt;/urls&gt;&lt;electronic-resource-num&gt;10.1016/j.yjmcc.2017.05.011&lt;/electronic-resource-num&gt;&lt;/record&gt;&lt;/Cite&gt;&lt;/EndNote&gt;</w:instrText>
      </w:r>
      <w:r>
        <w:rPr>
          <w:rFonts w:ascii="Times New Roman" w:hAnsi="Times New Roman" w:eastAsia="等线"/>
          <w:sz w:val="20"/>
          <w:szCs w:val="20"/>
        </w:rPr>
        <w:fldChar w:fldCharType="separate"/>
      </w:r>
      <w:r>
        <w:rPr>
          <w:rFonts w:hint="default" w:ascii="Times New Roman" w:hAnsi="Times New Roman" w:eastAsia="等线"/>
          <w:sz w:val="20"/>
          <w:szCs w:val="20"/>
        </w:rPr>
        <w:t>[4]</w:t>
      </w:r>
      <w:r>
        <w:rPr>
          <w:rFonts w:ascii="Times New Roman" w:hAnsi="Times New Roman" w:eastAsia="等线"/>
          <w:sz w:val="20"/>
          <w:szCs w:val="20"/>
        </w:rPr>
        <w:fldChar w:fldCharType="end"/>
      </w:r>
      <w:r>
        <w:rPr>
          <w:rFonts w:ascii="Times New Roman" w:hAnsi="Times New Roman" w:eastAsia="等线"/>
          <w:sz w:val="20"/>
          <w:szCs w:val="20"/>
        </w:rPr>
        <w:t>, SGI group, 30 fish each group; The model group was immersed in the ISO solution prepared with embryo culture water, and the SGI group were immersed in the embryo culture water containing both ISO and SGI. After incubating for 24 hours, the heart function indexes of zebrafish were detected.</w:t>
      </w:r>
    </w:p>
    <w:p>
      <w:pPr>
        <w:spacing w:after="0" w:line="480" w:lineRule="auto"/>
        <w:rPr>
          <w:rFonts w:hint="default" w:ascii="Times New Roman" w:hAnsi="Times New Roman" w:eastAsia="等线"/>
          <w:b/>
          <w:bCs/>
          <w:sz w:val="20"/>
          <w:szCs w:val="20"/>
        </w:rPr>
      </w:pPr>
      <w:r>
        <w:rPr>
          <w:rFonts w:ascii="Times New Roman" w:hAnsi="Times New Roman" w:eastAsia="等线"/>
          <w:b/>
          <w:bCs/>
          <w:kern w:val="0"/>
          <w:sz w:val="20"/>
          <w:szCs w:val="20"/>
        </w:rPr>
        <w:t>Determine the cardiac function of zebrafish</w:t>
      </w:r>
    </w:p>
    <w:p>
      <w:pPr>
        <w:spacing w:after="0" w:line="480" w:lineRule="auto"/>
        <w:ind w:firstLine="400" w:firstLineChars="200"/>
        <w:rPr>
          <w:rFonts w:hint="default" w:ascii="Times New Roman" w:hAnsi="Times New Roman" w:eastAsia="等线"/>
          <w:sz w:val="20"/>
          <w:szCs w:val="20"/>
        </w:rPr>
      </w:pPr>
      <w:r>
        <w:rPr>
          <w:rFonts w:ascii="Times New Roman" w:hAnsi="Times New Roman" w:eastAsia="等线"/>
          <w:sz w:val="20"/>
          <w:szCs w:val="20"/>
        </w:rPr>
        <w:t>To detect the heart function of zebrafish, the zebrafish embryos at 4</w:t>
      </w:r>
      <w:r>
        <w:rPr>
          <w:rFonts w:ascii="Times New Roman" w:hAnsi="Times New Roman" w:eastAsia="等线"/>
          <w:color w:val="FF0000"/>
          <w:sz w:val="20"/>
          <w:szCs w:val="20"/>
        </w:rPr>
        <w:t xml:space="preserve"> </w:t>
      </w:r>
      <w:r>
        <w:rPr>
          <w:rFonts w:ascii="Times New Roman" w:hAnsi="Times New Roman" w:eastAsia="等线"/>
          <w:sz w:val="20"/>
          <w:szCs w:val="20"/>
        </w:rPr>
        <w:t>days post fertilization (dpf)</w:t>
      </w:r>
      <w:r>
        <w:rPr>
          <w:rFonts w:hint="default" w:ascii="Times New Roman" w:hAnsi="Times New Roman" w:eastAsia="等线"/>
          <w:sz w:val="20"/>
          <w:szCs w:val="20"/>
        </w:rPr>
        <w:t xml:space="preserve"> </w:t>
      </w:r>
      <w:r>
        <w:rPr>
          <w:rFonts w:ascii="Times New Roman" w:hAnsi="Times New Roman" w:eastAsia="等线"/>
          <w:sz w:val="20"/>
          <w:szCs w:val="20"/>
        </w:rPr>
        <w:t xml:space="preserve">were placed at room temperature, and the heartbeat of 15s was recorded under a microscope and multiplied by 4 to get the heartbeat for 1 minute </w:t>
      </w:r>
      <w:r>
        <w:rPr>
          <w:rFonts w:ascii="Times New Roman" w:hAnsi="Times New Roman" w:eastAsia="等线"/>
          <w:sz w:val="20"/>
          <w:szCs w:val="20"/>
        </w:rPr>
        <w:fldChar w:fldCharType="begin"/>
      </w:r>
      <w:r>
        <w:rPr>
          <w:rFonts w:hint="default" w:ascii="Times New Roman" w:hAnsi="Times New Roman" w:eastAsia="等线"/>
          <w:sz w:val="20"/>
          <w:szCs w:val="20"/>
        </w:rPr>
        <w:instrText xml:space="preserve"> ADDIN EN.CITE &lt;EndNote&gt;&lt;Cite&gt;&lt;Author&gt;Gierten&lt;/Author&gt;&lt;Year&gt;2020&lt;/Year&gt;&lt;RecNum&gt;4139&lt;/RecNum&gt;&lt;DisplayText&gt;[5]&lt;/DisplayText&gt;&lt;record&gt;&lt;rec-number&gt;4139&lt;/rec-number&gt;&lt;foreign-keys&gt;&lt;key app="EN" db-id="5ddvwtser0wssde0ezovvrsh2wvfw5z59t5r" timestamp="1625632566"&gt;4139&lt;/key&gt;&lt;/foreign-keys&gt;&lt;ref-type name="Journal Article"&gt;17&lt;/ref-type&gt;&lt;contributors&gt;&lt;authors&gt;&lt;author&gt;Gierten, J&lt;/author&gt;&lt;author&gt;Pylatiuk, C&lt;/author&gt;&lt;author&gt;Hammouda, OT&lt;/author&gt;&lt;author&gt;Schock, C&lt;/author&gt;&lt;author&gt;Stegmaier, J&lt;/author&gt;&lt;author&gt;Wittbrodt, J&lt;/author&gt;&lt;author&gt;Gehrig, J&lt;/author&gt;&lt;author&gt;Loosli, F&lt;/author&gt;&lt;/authors&gt;&lt;/contributors&gt;&lt;titles&gt;&lt;title&gt;Automated high-throughput heartbeat quantification in medaka and zebrafish embryos under physiological conditions&lt;/title&gt;&lt;secondary-title&gt;Scientific reports&lt;/secondary-title&gt;&lt;/titles&gt;&lt;periodical&gt;&lt;full-title&gt;Sci Rep&lt;/full-title&gt;&lt;abbr-1&gt;Scientific reports&lt;/abbr-1&gt;&lt;/periodical&gt;&lt;pages&gt;2046&lt;/pages&gt;&lt;volume&gt;10&lt;/volume&gt;&lt;number&gt;1&lt;/number&gt;&lt;dates&gt;&lt;year&gt;2020&lt;/year&gt;&lt;/dates&gt;&lt;accession-num&gt;32029752&lt;/accession-num&gt;&lt;label&gt;3.998&lt;/label&gt;&lt;urls&gt;&lt;/urls&gt;&lt;electronic-resource-num&gt;10.1038/s41598-020-58563-w&lt;/electronic-resource-num&gt;&lt;/record&gt;&lt;/Cite&gt;&lt;/EndNote&gt;</w:instrText>
      </w:r>
      <w:r>
        <w:rPr>
          <w:rFonts w:ascii="Times New Roman" w:hAnsi="Times New Roman" w:eastAsia="等线"/>
          <w:sz w:val="20"/>
          <w:szCs w:val="20"/>
        </w:rPr>
        <w:fldChar w:fldCharType="separate"/>
      </w:r>
      <w:r>
        <w:rPr>
          <w:rFonts w:hint="default" w:ascii="Times New Roman" w:hAnsi="Times New Roman" w:eastAsia="等线"/>
          <w:sz w:val="20"/>
          <w:szCs w:val="20"/>
        </w:rPr>
        <w:t>[5]</w:t>
      </w:r>
      <w:r>
        <w:rPr>
          <w:rFonts w:ascii="Times New Roman" w:hAnsi="Times New Roman" w:eastAsia="等线"/>
          <w:sz w:val="20"/>
          <w:szCs w:val="20"/>
        </w:rPr>
        <w:fldChar w:fldCharType="end"/>
      </w:r>
      <w:r>
        <w:rPr>
          <w:rFonts w:ascii="Times New Roman" w:hAnsi="Times New Roman" w:eastAsia="等线"/>
          <w:sz w:val="20"/>
          <w:szCs w:val="20"/>
        </w:rPr>
        <w:t xml:space="preserve">. Place the zebrafish in a petri dish and fix it with 1% low-melting agar to make it lying on its side. Use an inverted fluorescence microscope (Leica, Germany) to shoot continuously for 5 seconds to generate 58 pictures; select the diastolic and systolic pictures from them, and use Image J to measure the length (a) and width (b) of the ventricle. </w:t>
      </w:r>
    </w:p>
    <w:p>
      <w:pPr>
        <w:spacing w:after="0" w:line="480" w:lineRule="auto"/>
        <w:ind w:firstLine="400" w:firstLineChars="200"/>
        <w:rPr>
          <w:rFonts w:hint="default" w:ascii="Times New Roman" w:hAnsi="Times New Roman" w:eastAsia="等线"/>
          <w:color w:val="FF0000"/>
          <w:sz w:val="20"/>
          <w:szCs w:val="20"/>
        </w:rPr>
      </w:pPr>
      <w:r>
        <w:rPr>
          <w:rFonts w:ascii="Times New Roman" w:hAnsi="Times New Roman" w:eastAsia="等线"/>
          <w:sz w:val="20"/>
          <w:szCs w:val="20"/>
        </w:rPr>
        <w:t xml:space="preserve">Calculate the volume of the ventricle (V) with the ellipsoidal volume formula, and calculate the ventricular surface area (S) with the elliptical area formula, thereby calculating </w:t>
      </w:r>
      <w:bookmarkStart w:id="17" w:name="_Hlk82257011"/>
      <w:r>
        <w:rPr>
          <w:rFonts w:ascii="Times New Roman" w:hAnsi="Times New Roman" w:eastAsia="等线"/>
          <w:sz w:val="20"/>
          <w:szCs w:val="20"/>
        </w:rPr>
        <w:t>the zebrafish’s stroke-volume (SV), ejection fraction (EF), Fractional Area Change (FAC), cardiac output (CO).</w:t>
      </w:r>
      <w:bookmarkEnd w:id="17"/>
      <w:r>
        <w:rPr>
          <w:rFonts w:ascii="Times New Roman" w:hAnsi="Times New Roman" w:eastAsia="等线"/>
          <w:sz w:val="20"/>
          <w:szCs w:val="20"/>
        </w:rPr>
        <w:t xml:space="preserve"> V = 4/3π(a/2) (b/2)</w:t>
      </w:r>
      <w:r>
        <w:rPr>
          <w:rFonts w:ascii="Times New Roman" w:hAnsi="Times New Roman" w:eastAsia="等线"/>
          <w:sz w:val="20"/>
          <w:szCs w:val="20"/>
          <w:vertAlign w:val="superscript"/>
        </w:rPr>
        <w:t>2</w:t>
      </w:r>
      <w:r>
        <w:rPr>
          <w:rFonts w:ascii="Times New Roman" w:hAnsi="Times New Roman" w:eastAsia="等线"/>
          <w:sz w:val="20"/>
          <w:szCs w:val="20"/>
        </w:rPr>
        <w:t>; SV = V</w:t>
      </w:r>
      <w:r>
        <w:rPr>
          <w:rFonts w:ascii="Times New Roman" w:hAnsi="Times New Roman" w:eastAsia="等线"/>
          <w:sz w:val="20"/>
          <w:szCs w:val="20"/>
          <w:vertAlign w:val="subscript"/>
        </w:rPr>
        <w:t>diastole</w:t>
      </w:r>
      <w:r>
        <w:rPr>
          <w:rFonts w:ascii="Times New Roman" w:hAnsi="Times New Roman" w:eastAsia="等线"/>
          <w:sz w:val="20"/>
          <w:szCs w:val="20"/>
        </w:rPr>
        <w:t>-V</w:t>
      </w:r>
      <w:r>
        <w:rPr>
          <w:rFonts w:ascii="Times New Roman" w:hAnsi="Times New Roman" w:eastAsia="等线"/>
          <w:sz w:val="20"/>
          <w:szCs w:val="20"/>
          <w:vertAlign w:val="subscript"/>
        </w:rPr>
        <w:t>systole</w:t>
      </w:r>
      <w:r>
        <w:rPr>
          <w:rFonts w:ascii="Times New Roman" w:hAnsi="Times New Roman" w:eastAsia="等线"/>
          <w:sz w:val="20"/>
          <w:szCs w:val="20"/>
        </w:rPr>
        <w:t>; EF = (V</w:t>
      </w:r>
      <w:r>
        <w:rPr>
          <w:rFonts w:ascii="Times New Roman" w:hAnsi="Times New Roman" w:eastAsia="等线"/>
          <w:sz w:val="20"/>
          <w:szCs w:val="20"/>
          <w:vertAlign w:val="subscript"/>
        </w:rPr>
        <w:t>diastolic</w:t>
      </w:r>
      <w:r>
        <w:rPr>
          <w:rFonts w:ascii="Times New Roman" w:hAnsi="Times New Roman" w:eastAsia="等线"/>
          <w:sz w:val="20"/>
          <w:szCs w:val="20"/>
        </w:rPr>
        <w:t>-V</w:t>
      </w:r>
      <w:r>
        <w:rPr>
          <w:rFonts w:ascii="Times New Roman" w:hAnsi="Times New Roman" w:eastAsia="等线"/>
          <w:sz w:val="20"/>
          <w:szCs w:val="20"/>
          <w:vertAlign w:val="subscript"/>
        </w:rPr>
        <w:t>systolic</w:t>
      </w:r>
      <w:r>
        <w:rPr>
          <w:rFonts w:ascii="Times New Roman" w:hAnsi="Times New Roman" w:eastAsia="等线"/>
          <w:sz w:val="20"/>
          <w:szCs w:val="20"/>
        </w:rPr>
        <w:t>)/V</w:t>
      </w:r>
      <w:r>
        <w:rPr>
          <w:rFonts w:ascii="Times New Roman" w:hAnsi="Times New Roman" w:eastAsia="等线"/>
          <w:sz w:val="20"/>
          <w:szCs w:val="20"/>
          <w:vertAlign w:val="subscript"/>
        </w:rPr>
        <w:t>diastolic</w:t>
      </w:r>
      <w:r>
        <w:rPr>
          <w:rFonts w:ascii="Times New Roman" w:hAnsi="Times New Roman" w:eastAsia="等线"/>
          <w:sz w:val="20"/>
          <w:szCs w:val="20"/>
        </w:rPr>
        <w:t>; S = (a/2) (b/2)π; FAC = (S</w:t>
      </w:r>
      <w:r>
        <w:rPr>
          <w:rFonts w:ascii="Times New Roman" w:hAnsi="Times New Roman" w:eastAsia="等线"/>
          <w:sz w:val="20"/>
          <w:szCs w:val="20"/>
          <w:vertAlign w:val="subscript"/>
        </w:rPr>
        <w:t>diastolic</w:t>
      </w:r>
      <w:r>
        <w:rPr>
          <w:rFonts w:ascii="Times New Roman" w:hAnsi="Times New Roman" w:eastAsia="等线"/>
          <w:sz w:val="20"/>
          <w:szCs w:val="20"/>
        </w:rPr>
        <w:t>-S</w:t>
      </w:r>
      <w:r>
        <w:rPr>
          <w:rFonts w:ascii="Times New Roman" w:hAnsi="Times New Roman" w:eastAsia="等线"/>
          <w:sz w:val="20"/>
          <w:szCs w:val="20"/>
          <w:vertAlign w:val="subscript"/>
        </w:rPr>
        <w:t>systolic</w:t>
      </w:r>
      <w:r>
        <w:rPr>
          <w:rFonts w:ascii="Times New Roman" w:hAnsi="Times New Roman" w:eastAsia="等线"/>
          <w:sz w:val="20"/>
          <w:szCs w:val="20"/>
        </w:rPr>
        <w:t>)/S</w:t>
      </w:r>
      <w:r>
        <w:rPr>
          <w:rFonts w:ascii="Times New Roman" w:hAnsi="Times New Roman" w:eastAsia="等线"/>
          <w:sz w:val="20"/>
          <w:szCs w:val="20"/>
          <w:vertAlign w:val="subscript"/>
        </w:rPr>
        <w:t>diastolic</w:t>
      </w:r>
      <w:r>
        <w:rPr>
          <w:rFonts w:ascii="Times New Roman" w:hAnsi="Times New Roman" w:eastAsia="等线"/>
          <w:sz w:val="20"/>
          <w:szCs w:val="20"/>
        </w:rPr>
        <w:fldChar w:fldCharType="begin"/>
      </w:r>
      <w:r>
        <w:rPr>
          <w:rFonts w:hint="default" w:ascii="Times New Roman" w:hAnsi="Times New Roman" w:eastAsia="等线"/>
          <w:sz w:val="20"/>
          <w:szCs w:val="20"/>
        </w:rPr>
        <w:instrText xml:space="preserve"> ADDIN EN.CITE &lt;EndNote&gt;&lt;Cite&gt;&lt;Author&gt;Yalcin&lt;/Author&gt;&lt;Year&gt;2017&lt;/Year&gt;&lt;RecNum&gt;4138&lt;/RecNum&gt;&lt;DisplayText&gt;[6]&lt;/DisplayText&gt;&lt;record&gt;&lt;rec-number&gt;4138&lt;/rec-number&gt;&lt;foreign-keys&gt;&lt;key app="EN" db-id="5ddvwtser0wssde0ezovvrsh2wvfw5z59t5r" timestamp="1625632361"&gt;4138&lt;/key&gt;&lt;/foreign-keys&gt;&lt;ref-type name="Journal Article"&gt;17&lt;/ref-type&gt;&lt;contributors&gt;&lt;authors&gt;&lt;author&gt;Yalcin, HC&lt;/author&gt;&lt;author&gt;Amindari, A&lt;/author&gt;&lt;author&gt;Butcher, JT&lt;/author&gt;&lt;author&gt;Althani, A&lt;/author&gt;&lt;author&gt;Yacoub, M&lt;/author&gt;&lt;/authors&gt;&lt;/contributors&gt;&lt;titles&gt;&lt;title&gt;Heart function and hemodynamic analysis for zebrafish embryos&lt;/title&gt;&lt;secondary-title&gt;Developmental dynamics : an official publication of the American Association of Anatomists&lt;/secondary-title&gt;&lt;/titles&gt;&lt;periodical&gt;&lt;full-title&gt;Developmental dynamics : an official publication of the American Association of Anatomists&lt;/full-title&gt;&lt;/periodical&gt;&lt;pages&gt;868-880&lt;/pages&gt;&lt;volume&gt;246&lt;/volume&gt;&lt;number&gt;11&lt;/number&gt;&lt;dates&gt;&lt;year&gt;2017&lt;/year&gt;&lt;/dates&gt;&lt;accession-num&gt;28249360&lt;/accession-num&gt;&lt;label&gt;3.275&lt;/label&gt;&lt;urls&gt;&lt;/urls&gt;&lt;electronic-resource-num&gt;10.1002/dvdy.24497&lt;/electronic-resource-num&gt;&lt;/record&gt;&lt;/Cite&gt;&lt;/EndNote&gt;</w:instrText>
      </w:r>
      <w:r>
        <w:rPr>
          <w:rFonts w:ascii="Times New Roman" w:hAnsi="Times New Roman" w:eastAsia="等线"/>
          <w:sz w:val="20"/>
          <w:szCs w:val="20"/>
        </w:rPr>
        <w:fldChar w:fldCharType="separate"/>
      </w:r>
      <w:r>
        <w:rPr>
          <w:rFonts w:hint="default" w:ascii="Times New Roman" w:hAnsi="Times New Roman" w:eastAsia="等线"/>
          <w:sz w:val="20"/>
          <w:szCs w:val="20"/>
        </w:rPr>
        <w:t>[6]</w:t>
      </w:r>
      <w:r>
        <w:rPr>
          <w:rFonts w:ascii="Times New Roman" w:hAnsi="Times New Roman" w:eastAsia="等线"/>
          <w:sz w:val="20"/>
          <w:szCs w:val="20"/>
        </w:rPr>
        <w:fldChar w:fldCharType="end"/>
      </w:r>
      <w:r>
        <w:rPr>
          <w:rFonts w:ascii="Times New Roman" w:hAnsi="Times New Roman" w:eastAsia="等线"/>
          <w:sz w:val="20"/>
          <w:szCs w:val="20"/>
        </w:rPr>
        <w:t xml:space="preserve">; CO = SV </w:t>
      </w:r>
      <w:r>
        <w:rPr>
          <w:rFonts w:ascii="Times New Roman" w:hAnsi="Times New Roman" w:eastAsia="等线"/>
          <w:sz w:val="20"/>
          <w:szCs w:val="20"/>
          <w:vertAlign w:val="subscript"/>
        </w:rPr>
        <w:t>*</w:t>
      </w:r>
      <w:r>
        <w:rPr>
          <w:rFonts w:ascii="Times New Roman" w:hAnsi="Times New Roman" w:eastAsia="等线"/>
          <w:sz w:val="20"/>
          <w:szCs w:val="20"/>
        </w:rPr>
        <w:t xml:space="preserve"> heart rate.</w:t>
      </w:r>
      <w:bookmarkStart w:id="29" w:name="_GoBack"/>
      <w:bookmarkEnd w:id="29"/>
    </w:p>
    <w:p>
      <w:pPr>
        <w:spacing w:after="0" w:line="480" w:lineRule="auto"/>
        <w:rPr>
          <w:rFonts w:hint="default" w:ascii="Times New Roman" w:hAnsi="Times New Roman" w:eastAsia="等线"/>
          <w:b/>
          <w:bCs/>
          <w:sz w:val="20"/>
          <w:szCs w:val="20"/>
        </w:rPr>
      </w:pPr>
      <w:r>
        <w:rPr>
          <w:rFonts w:ascii="Times New Roman" w:hAnsi="Times New Roman" w:eastAsia="等线"/>
          <w:b/>
          <w:bCs/>
          <w:kern w:val="0"/>
          <w:sz w:val="20"/>
          <w:szCs w:val="20"/>
        </w:rPr>
        <w:t>Cell culture</w:t>
      </w:r>
    </w:p>
    <w:p>
      <w:pPr>
        <w:autoSpaceDE w:val="0"/>
        <w:autoSpaceDN w:val="0"/>
        <w:adjustRightInd w:val="0"/>
        <w:spacing w:after="0" w:line="480" w:lineRule="auto"/>
        <w:ind w:firstLine="400" w:firstLineChars="200"/>
        <w:rPr>
          <w:rFonts w:hint="default" w:ascii="TimesNewRomanPSMT" w:hAnsi="TimesNewRomanPSMT" w:eastAsia="等线" w:cs="TimesNewRomanPSMT"/>
          <w:kern w:val="0"/>
          <w:sz w:val="20"/>
          <w:szCs w:val="20"/>
        </w:rPr>
      </w:pPr>
      <w:r>
        <w:rPr>
          <w:rFonts w:ascii="TimesNewRomanPSMT" w:hAnsi="TimesNewRomanPSMT" w:eastAsia="等线" w:cs="TimesNewRomanPSMT"/>
          <w:kern w:val="0"/>
          <w:sz w:val="20"/>
          <w:szCs w:val="20"/>
        </w:rPr>
        <w:t>The H9c2 cells were cultured in Dulbecco's modified Eagle's medium (DMEM) with 10% fetal bovine serum (FBS) at 37°C with 5% CO</w:t>
      </w:r>
      <w:r>
        <w:rPr>
          <w:rFonts w:ascii="TimesNewRomanPSMT" w:hAnsi="TimesNewRomanPSMT" w:eastAsia="等线" w:cs="TimesNewRomanPSMT"/>
          <w:kern w:val="0"/>
          <w:sz w:val="20"/>
          <w:szCs w:val="20"/>
          <w:vertAlign w:val="subscript"/>
        </w:rPr>
        <w:t>2</w:t>
      </w:r>
      <w:r>
        <w:rPr>
          <w:rFonts w:ascii="TimesNewRomanPSMT" w:hAnsi="TimesNewRomanPSMT" w:eastAsia="等线" w:cs="TimesNewRomanPSMT"/>
          <w:kern w:val="0"/>
          <w:sz w:val="20"/>
          <w:szCs w:val="20"/>
        </w:rPr>
        <w:t xml:space="preserve"> until the amount of cell fusion reached 80-90%, and either subcultured or used for subsequent experiments.</w:t>
      </w:r>
      <w:r>
        <w:rPr>
          <w:rFonts w:ascii="等线" w:hAnsi="等线" w:eastAsia="等线"/>
          <w:sz w:val="20"/>
          <w:szCs w:val="20"/>
        </w:rPr>
        <w:t xml:space="preserve"> </w:t>
      </w:r>
      <w:r>
        <w:rPr>
          <w:rFonts w:ascii="TimesNewRomanPSMT" w:hAnsi="TimesNewRomanPSMT" w:eastAsia="等线" w:cs="TimesNewRomanPSMT"/>
          <w:kern w:val="0"/>
          <w:sz w:val="20"/>
          <w:szCs w:val="20"/>
        </w:rPr>
        <w:t>MTT assay was used to detect the effects of different H/R times, SGI concentration, and rapamycin concentration on cell survival rate.</w:t>
      </w:r>
    </w:p>
    <w:p>
      <w:pPr>
        <w:spacing w:after="0" w:line="480" w:lineRule="auto"/>
        <w:rPr>
          <w:rFonts w:hint="default" w:ascii="Times New Roman" w:hAnsi="Times New Roman" w:eastAsia="等线"/>
          <w:b/>
          <w:bCs/>
          <w:kern w:val="0"/>
          <w:sz w:val="20"/>
          <w:szCs w:val="20"/>
        </w:rPr>
      </w:pPr>
      <w:r>
        <w:rPr>
          <w:rFonts w:ascii="Times New Roman" w:hAnsi="Times New Roman" w:eastAsia="等线"/>
          <w:b/>
          <w:bCs/>
          <w:kern w:val="0"/>
          <w:sz w:val="20"/>
          <w:szCs w:val="20"/>
        </w:rPr>
        <w:t>Quantitative RT-PCR</w:t>
      </w:r>
    </w:p>
    <w:p>
      <w:pPr>
        <w:spacing w:after="0" w:line="480" w:lineRule="auto"/>
        <w:ind w:firstLine="400" w:firstLineChars="200"/>
        <w:rPr>
          <w:rFonts w:hint="default" w:ascii="TimesNewRomanPSMT" w:hAnsi="等线" w:eastAsia="TimesNewRomanPSMT" w:cs="TimesNewRomanPSMT"/>
          <w:kern w:val="0"/>
          <w:sz w:val="20"/>
          <w:szCs w:val="20"/>
        </w:rPr>
      </w:pPr>
      <w:r>
        <w:rPr>
          <w:rFonts w:ascii="Times New Roman" w:hAnsi="Times New Roman" w:eastAsia="等线"/>
          <w:sz w:val="20"/>
          <w:szCs w:val="20"/>
        </w:rPr>
        <w:t xml:space="preserve">Zebrafish RNA extraction, reverse transcription, and quantitative amplification were performed following the instructions of the kit obtained from Nanjing Vazyme Biotech Co., Ltd, the article numbers are RC101, R223-01, and Q711-02. The primer sequence is shown in the supplementary material </w:t>
      </w:r>
      <w:r>
        <w:rPr>
          <w:rFonts w:ascii="Times New Roman" w:hAnsi="Times New Roman"/>
          <w:sz w:val="20"/>
          <w:szCs w:val="20"/>
        </w:rPr>
        <w:t>(Tab. S</w:t>
      </w:r>
      <w:r>
        <w:rPr>
          <w:rFonts w:hint="default" w:ascii="Times New Roman" w:hAnsi="Times New Roman"/>
          <w:sz w:val="20"/>
          <w:szCs w:val="20"/>
        </w:rPr>
        <w:t>8</w:t>
      </w:r>
      <w:r>
        <w:rPr>
          <w:rFonts w:ascii="Times New Roman" w:hAnsi="Times New Roman"/>
          <w:sz w:val="20"/>
          <w:szCs w:val="20"/>
        </w:rPr>
        <w:t>).</w:t>
      </w:r>
      <w:r>
        <w:rPr>
          <w:rFonts w:ascii="TimesNewRomanPSMT" w:hAnsi="等线" w:eastAsia="TimesNewRomanPSMT" w:cs="TimesNewRomanPSMT"/>
          <w:kern w:val="0"/>
          <w:sz w:val="20"/>
          <w:szCs w:val="20"/>
        </w:rPr>
        <w:t xml:space="preserve"> </w:t>
      </w:r>
      <w:r>
        <w:rPr>
          <w:rFonts w:ascii="Times New Roman" w:hAnsi="Times New Roman" w:eastAsia="等线"/>
          <w:sz w:val="20"/>
          <w:szCs w:val="20"/>
        </w:rPr>
        <w:t>The data were processed using the 2</w:t>
      </w:r>
      <w:r>
        <w:rPr>
          <w:rFonts w:ascii="Times New Roman" w:hAnsi="Times New Roman" w:eastAsia="等线"/>
          <w:sz w:val="20"/>
          <w:szCs w:val="20"/>
          <w:vertAlign w:val="superscript"/>
        </w:rPr>
        <w:t>-ΔΔCt</w:t>
      </w:r>
      <w:r>
        <w:rPr>
          <w:rFonts w:ascii="Times New Roman" w:hAnsi="Times New Roman" w:eastAsia="等线"/>
          <w:sz w:val="20"/>
          <w:szCs w:val="20"/>
        </w:rPr>
        <w:t xml:space="preserve"> method for the calculation of relative gene expression.</w:t>
      </w:r>
    </w:p>
    <w:p>
      <w:pPr>
        <w:spacing w:after="0" w:line="480" w:lineRule="auto"/>
        <w:jc w:val="left"/>
        <w:rPr>
          <w:rFonts w:hint="default" w:ascii="Times New Roman" w:hAnsi="Times New Roman" w:eastAsia="等线"/>
          <w:b/>
          <w:bCs/>
          <w:sz w:val="20"/>
          <w:szCs w:val="20"/>
        </w:rPr>
      </w:pPr>
      <w:r>
        <w:rPr>
          <w:rFonts w:ascii="Times New Roman" w:hAnsi="Times New Roman" w:eastAsia="等线"/>
          <w:b/>
          <w:bCs/>
          <w:sz w:val="20"/>
          <w:szCs w:val="20"/>
        </w:rPr>
        <w:t>Western blot analysis</w:t>
      </w:r>
    </w:p>
    <w:p>
      <w:pPr>
        <w:spacing w:after="0" w:line="480" w:lineRule="auto"/>
        <w:ind w:firstLine="400" w:firstLineChars="200"/>
        <w:rPr>
          <w:rFonts w:hint="default" w:ascii="Times New Roman" w:hAnsi="Times New Roman" w:eastAsia="等线"/>
          <w:color w:val="FF0000"/>
          <w:sz w:val="20"/>
          <w:szCs w:val="20"/>
        </w:rPr>
      </w:pPr>
      <w:r>
        <w:rPr>
          <w:rFonts w:ascii="Times New Roman" w:hAnsi="Times New Roman"/>
          <w:sz w:val="20"/>
          <w:szCs w:val="20"/>
        </w:rPr>
        <w:t xml:space="preserve">Total proteins were extracted from heart tissues. Protein concentrations were determined by the BCA protein assay. Each sample containing 30 </w:t>
      </w:r>
      <w:bookmarkStart w:id="18" w:name="OLE_LINK40"/>
      <w:r>
        <w:rPr>
          <w:rFonts w:ascii="Times New Roman" w:hAnsi="Times New Roman"/>
          <w:sz w:val="20"/>
          <w:szCs w:val="20"/>
        </w:rPr>
        <w:t>mg</w:t>
      </w:r>
      <w:bookmarkEnd w:id="18"/>
      <w:r>
        <w:rPr>
          <w:rFonts w:ascii="Times New Roman" w:hAnsi="Times New Roman"/>
          <w:sz w:val="20"/>
          <w:szCs w:val="20"/>
        </w:rPr>
        <w:t xml:space="preserve"> of protein was respectively separated into 8%, 10%, and 15% sodium dodecyl sulfate-polyacrylamide gel electrophoresis (SDS-PAGE) gel electrophoresis and transferred to a polyvinylidene difluoride membrane. Thereafter, the membranes were incubated in 5% (volume weight) milk solution for 2 h and then incubated overnight at </w:t>
      </w:r>
      <w:r>
        <w:rPr>
          <w:rFonts w:hint="default" w:ascii="Times New Roman" w:hAnsi="Times New Roman"/>
          <w:sz w:val="20"/>
          <w:szCs w:val="20"/>
        </w:rPr>
        <w:t xml:space="preserve">4°C. </w:t>
      </w:r>
      <w:r>
        <w:rPr>
          <w:rFonts w:ascii="Times New Roman" w:hAnsi="Times New Roman"/>
          <w:sz w:val="20"/>
          <w:szCs w:val="20"/>
        </w:rPr>
        <w:t xml:space="preserve">One of the following primary antibodies was used: </w:t>
      </w:r>
      <w:bookmarkStart w:id="19" w:name="OLE_LINK44"/>
      <w:r>
        <w:rPr>
          <w:rFonts w:ascii="Times New Roman" w:hAnsi="Times New Roman"/>
          <w:sz w:val="20"/>
          <w:szCs w:val="20"/>
        </w:rPr>
        <w:t>glyceraldehyde-3-phosphate dehydrogenase (GAPDH</w:t>
      </w:r>
      <w:bookmarkEnd w:id="19"/>
      <w:r>
        <w:rPr>
          <w:rFonts w:ascii="Times New Roman" w:hAnsi="Times New Roman"/>
          <w:sz w:val="20"/>
          <w:szCs w:val="20"/>
        </w:rPr>
        <w:t xml:space="preserve">), </w:t>
      </w:r>
      <w:bookmarkStart w:id="20" w:name="_Hlk10572675"/>
      <w:r>
        <w:rPr>
          <w:rFonts w:ascii="Times New Roman" w:hAnsi="Times New Roman"/>
          <w:sz w:val="20"/>
          <w:szCs w:val="20"/>
        </w:rPr>
        <w:t>p-AKT, AKT, p-JNK1, JNK1, p-mTOR, mTOR</w:t>
      </w:r>
      <w:bookmarkEnd w:id="20"/>
      <w:r>
        <w:rPr>
          <w:rFonts w:ascii="Times New Roman" w:hAnsi="Times New Roman"/>
          <w:sz w:val="20"/>
          <w:szCs w:val="20"/>
        </w:rPr>
        <w:t xml:space="preserve"> (1:500 dilution),</w:t>
      </w:r>
      <w:bookmarkStart w:id="21" w:name="_Hlk10572700"/>
      <w:r>
        <w:rPr>
          <w:rFonts w:ascii="Times New Roman" w:hAnsi="Times New Roman"/>
          <w:sz w:val="20"/>
          <w:szCs w:val="20"/>
        </w:rPr>
        <w:t xml:space="preserve"> Beclin1, ATG5, ATG7, LC-3</w:t>
      </w:r>
      <w:bookmarkEnd w:id="21"/>
      <w:r>
        <w:rPr>
          <w:rFonts w:hint="default" w:ascii="Times New Roman" w:hAnsi="Times New Roman" w:eastAsia="等线"/>
          <w:sz w:val="20"/>
          <w:szCs w:val="20"/>
        </w:rPr>
        <w:t>Ⅱ/Ⅰ</w:t>
      </w:r>
      <w:r>
        <w:rPr>
          <w:rFonts w:ascii="Times New Roman" w:hAnsi="Times New Roman"/>
          <w:sz w:val="20"/>
          <w:szCs w:val="20"/>
        </w:rPr>
        <w:t xml:space="preserve"> </w:t>
      </w:r>
      <w:bookmarkStart w:id="22" w:name="_Hlk10572580"/>
      <w:r>
        <w:rPr>
          <w:rFonts w:ascii="Times New Roman" w:hAnsi="Times New Roman"/>
          <w:sz w:val="20"/>
          <w:szCs w:val="20"/>
        </w:rPr>
        <w:t>(1:1000 dilution)</w:t>
      </w:r>
      <w:bookmarkEnd w:id="22"/>
      <w:r>
        <w:rPr>
          <w:rFonts w:ascii="Times New Roman" w:hAnsi="Times New Roman"/>
          <w:sz w:val="20"/>
          <w:szCs w:val="20"/>
        </w:rPr>
        <w:t>. After incubation with primary antibodies, membranes were washed and incubated with a horseradish peroxidase-conjugated goat anti-rabbit secondary antibody (1:10000, 37</w:t>
      </w:r>
      <w:bookmarkStart w:id="23" w:name="OLE_LINK5"/>
      <w:r>
        <w:rPr>
          <w:rFonts w:hint="default" w:ascii="Times New Roman" w:hAnsi="Times New Roman" w:eastAsiaTheme="minorEastAsia"/>
          <w:sz w:val="20"/>
          <w:szCs w:val="20"/>
        </w:rPr>
        <w:t>°C</w:t>
      </w:r>
      <w:bookmarkEnd w:id="23"/>
      <w:r>
        <w:rPr>
          <w:rFonts w:ascii="Times New Roman" w:hAnsi="Times New Roman"/>
          <w:sz w:val="20"/>
          <w:szCs w:val="20"/>
        </w:rPr>
        <w:t>, 2 h) or horseradish peroxidase-conjugated goat anti-mouse secondary antibody (1:2000, 37</w:t>
      </w:r>
      <w:r>
        <w:rPr>
          <w:rFonts w:hint="default" w:ascii="Times New Roman" w:hAnsi="Times New Roman"/>
          <w:sz w:val="20"/>
          <w:szCs w:val="20"/>
        </w:rPr>
        <w:t>°C</w:t>
      </w:r>
      <w:r>
        <w:rPr>
          <w:rFonts w:ascii="Times New Roman" w:hAnsi="Times New Roman"/>
          <w:sz w:val="20"/>
          <w:szCs w:val="20"/>
        </w:rPr>
        <w:t xml:space="preserve">, 2h). The blots were visualized using enhanced chemiluminescence reagent, and the UVP BioSpectrum Imaging System was used to expose the immune-positive bands. The bands were semi-quantitatively analyzed using Image J, and the results are expressed as the ratio of p-AKT, AKT, p-JNK1, JNK1, p-mTOR, mTOR, Beclin1, ATG5, ATG7, </w:t>
      </w:r>
      <w:bookmarkStart w:id="24" w:name="OLE_LINK29"/>
      <w:r>
        <w:rPr>
          <w:rFonts w:ascii="Times New Roman" w:hAnsi="Times New Roman"/>
          <w:sz w:val="20"/>
          <w:szCs w:val="20"/>
        </w:rPr>
        <w:t>LC-3</w:t>
      </w:r>
      <w:bookmarkEnd w:id="24"/>
      <w:r>
        <w:rPr>
          <w:rFonts w:hint="default" w:ascii="Times New Roman" w:hAnsi="Times New Roman" w:eastAsia="等线"/>
          <w:sz w:val="20"/>
          <w:szCs w:val="20"/>
        </w:rPr>
        <w:t>Ⅱ/Ⅰ</w:t>
      </w:r>
      <w:r>
        <w:rPr>
          <w:rFonts w:ascii="Times New Roman" w:hAnsi="Times New Roman"/>
          <w:sz w:val="20"/>
          <w:szCs w:val="20"/>
        </w:rPr>
        <w:t xml:space="preserve"> to GAPDH densitometer readings.</w:t>
      </w:r>
    </w:p>
    <w:p>
      <w:pPr>
        <w:spacing w:after="0" w:line="480" w:lineRule="auto"/>
        <w:jc w:val="left"/>
        <w:rPr>
          <w:rFonts w:hint="default" w:ascii="Times New Roman" w:hAnsi="Times New Roman" w:eastAsia="等线"/>
          <w:b/>
          <w:bCs/>
          <w:sz w:val="20"/>
          <w:szCs w:val="20"/>
        </w:rPr>
      </w:pPr>
      <w:r>
        <w:rPr>
          <w:rFonts w:ascii="Times New Roman" w:hAnsi="Times New Roman" w:eastAsia="等线"/>
          <w:b/>
          <w:bCs/>
          <w:sz w:val="20"/>
          <w:szCs w:val="20"/>
        </w:rPr>
        <w:t>Immunofluorescent analysis</w:t>
      </w:r>
    </w:p>
    <w:p>
      <w:pPr>
        <w:spacing w:line="480" w:lineRule="auto"/>
        <w:ind w:firstLine="400" w:firstLineChars="200"/>
        <w:rPr>
          <w:rFonts w:hint="default" w:ascii="Times New Roman" w:hAnsi="Times New Roman"/>
          <w:sz w:val="20"/>
          <w:szCs w:val="20"/>
        </w:rPr>
      </w:pPr>
      <w:bookmarkStart w:id="25" w:name="OLE_LINK83"/>
      <w:r>
        <w:rPr>
          <w:rFonts w:ascii="Times New Roman" w:hAnsi="Times New Roman"/>
          <w:sz w:val="20"/>
          <w:szCs w:val="20"/>
        </w:rPr>
        <w:t xml:space="preserve">Immunofluorescence was used to detect Beclin1 and LC-3 in </w:t>
      </w:r>
      <w:bookmarkStart w:id="26" w:name="_Hlk10574925"/>
      <w:r>
        <w:rPr>
          <w:rFonts w:ascii="Times New Roman" w:hAnsi="Times New Roman"/>
          <w:sz w:val="20"/>
          <w:szCs w:val="20"/>
        </w:rPr>
        <w:t>myocardial tissue</w:t>
      </w:r>
      <w:bookmarkEnd w:id="26"/>
      <w:r>
        <w:rPr>
          <w:rFonts w:ascii="Times New Roman" w:hAnsi="Times New Roman"/>
          <w:sz w:val="20"/>
          <w:szCs w:val="20"/>
        </w:rPr>
        <w:t xml:space="preserve">. </w:t>
      </w:r>
      <w:bookmarkStart w:id="27" w:name="OLE_LINK84"/>
      <w:r>
        <w:rPr>
          <w:rFonts w:ascii="Times New Roman" w:hAnsi="Times New Roman"/>
          <w:sz w:val="20"/>
          <w:szCs w:val="20"/>
        </w:rPr>
        <w:t>The left ventricular tissues were frozen and sectioned, re-warmed at room temperature, air-dried, and fixed with paraformaldehyde for 10 min, After the paraformaldehyde was completely dried, the tissues were washed 3 times with PBS, shaken on a decolorizing shaker, and fixed for 5 min each time</w:t>
      </w:r>
      <w:bookmarkEnd w:id="27"/>
      <w:r>
        <w:rPr>
          <w:rFonts w:ascii="Times New Roman" w:hAnsi="Times New Roman"/>
          <w:sz w:val="20"/>
          <w:szCs w:val="20"/>
        </w:rPr>
        <w:t xml:space="preserve">. Slices of myocardial tissue were blocked in blocking buffer for 60 min, aspirated blocking solution, apply diluted primary antibodies, incubated overnight at 4 </w:t>
      </w:r>
      <w:r>
        <w:rPr>
          <w:rFonts w:hint="default" w:ascii="Times New Roman" w:hAnsi="Times New Roman"/>
          <w:sz w:val="20"/>
          <w:szCs w:val="20"/>
        </w:rPr>
        <w:t>°C</w:t>
      </w:r>
      <w:r>
        <w:rPr>
          <w:rFonts w:ascii="Times New Roman" w:hAnsi="Times New Roman"/>
          <w:sz w:val="20"/>
          <w:szCs w:val="20"/>
        </w:rPr>
        <w:t xml:space="preserve">, rinsed three times with phosphate buffer saline (PBS) for 5 min each time, and then incubated specimen in fluorochrome-conjugated secondary antibodies diluted in antibody dilution buffer for 1-2 h at room temperature in the dark, rinsed with PBS, and thereafter coverslip slides with 4,6-diamidino-2-phenylindole (DAPI). The stained sections were observed under a fluorescence microscope, and Image J was used to semi-quantitatively analyze the expression of </w:t>
      </w:r>
      <w:bookmarkStart w:id="28" w:name="OLE_LINK52"/>
      <w:r>
        <w:rPr>
          <w:rFonts w:ascii="Times New Roman" w:hAnsi="Times New Roman"/>
          <w:sz w:val="20"/>
          <w:szCs w:val="20"/>
        </w:rPr>
        <w:t>Beclin1</w:t>
      </w:r>
      <w:bookmarkEnd w:id="28"/>
      <w:r>
        <w:rPr>
          <w:rFonts w:ascii="Times New Roman" w:hAnsi="Times New Roman"/>
          <w:sz w:val="20"/>
          <w:szCs w:val="20"/>
        </w:rPr>
        <w:t xml:space="preserve"> and LC-3.</w:t>
      </w:r>
      <w:bookmarkEnd w:id="25"/>
    </w:p>
    <w:p>
      <w:pPr>
        <w:spacing w:line="480" w:lineRule="auto"/>
        <w:rPr>
          <w:rFonts w:hint="default" w:ascii="Times New Roman" w:hAnsi="Times New Roman"/>
          <w:sz w:val="20"/>
          <w:szCs w:val="20"/>
        </w:rPr>
      </w:pPr>
      <w:r>
        <w:rPr>
          <w:rFonts w:ascii="Times New Roman" w:hAnsi="Times New Roman" w:eastAsia="等线"/>
          <w:b/>
          <w:bCs/>
          <w:sz w:val="20"/>
          <w:szCs w:val="20"/>
        </w:rPr>
        <w:t>Myocardial tissue structure was observed by transmission electron microscopy</w:t>
      </w:r>
    </w:p>
    <w:p>
      <w:pPr>
        <w:spacing w:line="480" w:lineRule="auto"/>
        <w:ind w:firstLine="400" w:firstLineChars="200"/>
        <w:rPr>
          <w:rFonts w:hint="default" w:ascii="Times New Roman" w:hAnsi="Times New Roman"/>
          <w:sz w:val="20"/>
          <w:szCs w:val="20"/>
        </w:rPr>
      </w:pPr>
      <w:r>
        <w:rPr>
          <w:rFonts w:hint="default" w:ascii="Times New Roman" w:hAnsi="Times New Roman"/>
          <w:sz w:val="20"/>
          <w:szCs w:val="20"/>
        </w:rPr>
        <w:t>Myocardial tissue samples were collected and fixed with 2.5% glutaraldehyde solution at 4℃ overnight. Then the samples were treated as follows: the fixative solution was poured out and the samples were rinsed with 0.1M phosphoric acid buffer at pH7.0 three times, 15min each time; The sample was fixed with 1% osmium solution for 1-2h. The waste solution of osmium was carefully removed and the sample was rinsed with 0.1M phosphoric acid buffer (pH7.0) three times, 15min each time. The sample was dehydrated with ethanol solution of gradient concentration (30%, 50%, 70%, 80%, 90% and 95%), each concentration was treated for 15min, and then treated with 100% ethanol for 20min. Finally, it was treated with pure acetone for 20min. The sample was treated with a mixture of embedding agent and acetone (V/V=1/1) for 1h. The sample was treated with a mixture of embedding agent and acetone (V/V=3/1) for 3h. Pure embedding agent treated samples overnight; After osmotic treatment, the sample was buried, heated overnight at 70℃, and the embedded sample was obtained. The samples were sliced in LEICA EM UC7 ultra-thin slicer to obtain 70-90nm slices. The slices were stained with lead citrate solution and uranium dioxy acetate 50% ethanol saturated solution for 5-10min each, and then observed under transmission electron microscopy.</w:t>
      </w:r>
    </w:p>
    <w:p>
      <w:pPr>
        <w:spacing w:after="0" w:line="240" w:lineRule="auto"/>
        <w:jc w:val="left"/>
        <w:rPr>
          <w:rFonts w:hint="default" w:ascii="Times New Roman" w:hAnsi="Times New Roman" w:eastAsia="等线"/>
          <w:b/>
          <w:bCs/>
          <w:sz w:val="24"/>
          <w:szCs w:val="24"/>
        </w:rPr>
      </w:pPr>
      <w:r>
        <w:rPr>
          <w:rFonts w:ascii="Times New Roman" w:hAnsi="Times New Roman" w:eastAsia="等线"/>
          <w:b/>
          <w:bCs/>
          <w:sz w:val="24"/>
          <w:szCs w:val="24"/>
        </w:rPr>
        <w:t>References</w:t>
      </w:r>
    </w:p>
    <w:p>
      <w:pPr>
        <w:pStyle w:val="15"/>
        <w:spacing w:after="0"/>
        <w:ind w:left="720" w:hanging="7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tab/>
      </w:r>
      <w:r>
        <w:rPr>
          <w:rFonts w:ascii="Times New Roman" w:hAnsi="Times New Roman" w:cs="Times New Roman"/>
        </w:rPr>
        <w:t>Karlsson, J., J. von Hofsten, P.E. Olsson, Generating transparent zebrafish: a refined method to improve detection of gene expression during embryonic development</w:t>
      </w:r>
      <w:r>
        <w:rPr>
          <w:rFonts w:ascii="Times New Roman" w:hAnsi="Times New Roman" w:cs="Times New Roman"/>
          <w:i/>
        </w:rPr>
        <w:t>.</w:t>
      </w:r>
      <w:r>
        <w:rPr>
          <w:rFonts w:ascii="Times New Roman" w:hAnsi="Times New Roman" w:cs="Times New Roman"/>
        </w:rPr>
        <w:t xml:space="preserve"> Mar Biotechnol (NY), 2001. 3(6): 522-7.</w:t>
      </w:r>
    </w:p>
    <w:p>
      <w:pPr>
        <w:pStyle w:val="15"/>
        <w:spacing w:after="0"/>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Grimm, D., D. Elsner, H. Schunkert, et al., Development of heart failure following isoproterenol administration in the rat: role of the renin-angiotensin system</w:t>
      </w:r>
      <w:r>
        <w:rPr>
          <w:rFonts w:ascii="Times New Roman" w:hAnsi="Times New Roman" w:cs="Times New Roman"/>
          <w:i/>
        </w:rPr>
        <w:t>.</w:t>
      </w:r>
      <w:r>
        <w:rPr>
          <w:rFonts w:ascii="Times New Roman" w:hAnsi="Times New Roman" w:cs="Times New Roman"/>
        </w:rPr>
        <w:t xml:space="preserve"> Cardiovasc Res, 1998. 37(1): 91-100.</w:t>
      </w:r>
    </w:p>
    <w:p>
      <w:pPr>
        <w:pStyle w:val="15"/>
        <w:spacing w:after="0"/>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rPr>
        <w:t>Kossack, M., S. Hein, L. Juergensen, et al., Induction of cardiac dysfunction in developing and adult zebrafish by chronic isoproterenol stimulation</w:t>
      </w:r>
      <w:r>
        <w:rPr>
          <w:rFonts w:ascii="Times New Roman" w:hAnsi="Times New Roman" w:cs="Times New Roman"/>
          <w:i/>
        </w:rPr>
        <w:t>.</w:t>
      </w:r>
      <w:r>
        <w:rPr>
          <w:rFonts w:ascii="Times New Roman" w:hAnsi="Times New Roman" w:cs="Times New Roman"/>
        </w:rPr>
        <w:t xml:space="preserve"> J Mol Cell Cardiol, 2017. 108: 95-105.</w:t>
      </w:r>
    </w:p>
    <w:p>
      <w:pPr>
        <w:pStyle w:val="15"/>
        <w:spacing w:after="0"/>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Kossack, M., S. Hein, L. Juergensen, et al., Induction of cardiac dysfunction in developing and adult zebrafish by chronic isoproterenol stimulation</w:t>
      </w:r>
      <w:r>
        <w:rPr>
          <w:rFonts w:ascii="Times New Roman" w:hAnsi="Times New Roman" w:cs="Times New Roman"/>
          <w:i/>
        </w:rPr>
        <w:t>.</w:t>
      </w:r>
      <w:r>
        <w:rPr>
          <w:rFonts w:ascii="Times New Roman" w:hAnsi="Times New Roman" w:cs="Times New Roman"/>
        </w:rPr>
        <w:t xml:space="preserve"> Journal of molecular and cellular cardiology, 2017. 108: 95-105.</w:t>
      </w:r>
    </w:p>
    <w:p>
      <w:pPr>
        <w:pStyle w:val="15"/>
        <w:spacing w:after="0"/>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Pr>
          <w:rFonts w:ascii="Times New Roman" w:hAnsi="Times New Roman" w:cs="Times New Roman"/>
        </w:rPr>
        <w:t>Gierten, J., C. Pylatiuk, O. Hammouda, et al., Automated high-throughput heartbeat quantification in medaka and zebrafish embryos under physiological conditions</w:t>
      </w:r>
      <w:r>
        <w:rPr>
          <w:rFonts w:ascii="Times New Roman" w:hAnsi="Times New Roman" w:cs="Times New Roman"/>
          <w:i/>
        </w:rPr>
        <w:t>.</w:t>
      </w:r>
      <w:r>
        <w:rPr>
          <w:rFonts w:ascii="Times New Roman" w:hAnsi="Times New Roman" w:cs="Times New Roman"/>
        </w:rPr>
        <w:t xml:space="preserve"> Scientific reports, 2020. 10(1): 2046.</w:t>
      </w:r>
    </w:p>
    <w:p>
      <w:pPr>
        <w:pStyle w:val="15"/>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Pr>
          <w:rFonts w:ascii="Times New Roman" w:hAnsi="Times New Roman" w:cs="Times New Roman"/>
        </w:rPr>
        <w:t>Yalcin, H., A. Amindari, J. Butcher, A. Althani, M. Yacoub, Heart function and hemodynamic analysis for zebrafish embryos</w:t>
      </w:r>
      <w:r>
        <w:rPr>
          <w:rFonts w:ascii="Times New Roman" w:hAnsi="Times New Roman" w:cs="Times New Roman"/>
          <w:i/>
        </w:rPr>
        <w:t>.</w:t>
      </w:r>
      <w:r>
        <w:rPr>
          <w:rFonts w:ascii="Times New Roman" w:hAnsi="Times New Roman" w:cs="Times New Roman"/>
        </w:rPr>
        <w:t xml:space="preserve"> Developmental dynamics : an official publication of the American Association of Anatomists, 2017. 246(11): 868-880.</w:t>
      </w:r>
    </w:p>
    <w:p>
      <w:pPr>
        <w:spacing w:line="360" w:lineRule="auto"/>
        <w:ind w:left="420" w:hanging="420" w:hangingChars="200"/>
        <w:rPr>
          <w:rFonts w:hint="default" w:ascii="Times New Roman" w:hAnsi="Times New Roman"/>
        </w:rPr>
      </w:pPr>
      <w:r>
        <w:rPr>
          <w:rFonts w:hint="default" w:ascii="Times New Roman" w:hAnsi="Times New Roman"/>
        </w:rPr>
        <w:fldChar w:fldCharType="end"/>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E65B6"/>
    <w:multiLevelType w:val="multilevel"/>
    <w:tmpl w:val="129E65B6"/>
    <w:lvl w:ilvl="0" w:tentative="0">
      <w:start w:val="1"/>
      <w:numFmt w:val="decimal"/>
      <w:pStyle w:val="8"/>
      <w:lvlText w:val="%1."/>
      <w:lvlJc w:val="left"/>
      <w:pPr>
        <w:ind w:left="360" w:hanging="360"/>
      </w:pPr>
      <w:rPr>
        <w:rFonts w:hint="default"/>
        <w:u w:val="none"/>
      </w:rPr>
    </w:lvl>
    <w:lvl w:ilvl="1" w:tentative="0">
      <w:start w:val="1"/>
      <w:numFmt w:val="decimal"/>
      <w:isLgl/>
      <w:lvlText w:val="%1.%2"/>
      <w:lvlJc w:val="left"/>
      <w:pPr>
        <w:ind w:left="360" w:hanging="360"/>
      </w:pPr>
      <w:rPr>
        <w:rFonts w:hint="default"/>
        <w:b/>
        <w:u w:val="none"/>
      </w:rPr>
    </w:lvl>
    <w:lvl w:ilvl="2" w:tentative="0">
      <w:start w:val="1"/>
      <w:numFmt w:val="decimal"/>
      <w:isLgl/>
      <w:lvlText w:val="%1.%2.%3"/>
      <w:lvlJc w:val="left"/>
      <w:pPr>
        <w:ind w:left="720" w:hanging="720"/>
      </w:pPr>
      <w:rPr>
        <w:rFonts w:hint="default"/>
        <w:u w:val="none"/>
      </w:rPr>
    </w:lvl>
    <w:lvl w:ilvl="3" w:tentative="0">
      <w:start w:val="1"/>
      <w:numFmt w:val="decimal"/>
      <w:isLgl/>
      <w:lvlText w:val="%1.%2.%3.%4"/>
      <w:lvlJc w:val="left"/>
      <w:pPr>
        <w:ind w:left="720" w:hanging="720"/>
      </w:pPr>
      <w:rPr>
        <w:rFonts w:hint="default"/>
        <w:u w:val="none"/>
      </w:rPr>
    </w:lvl>
    <w:lvl w:ilvl="4" w:tentative="0">
      <w:start w:val="1"/>
      <w:numFmt w:val="decimal"/>
      <w:isLgl/>
      <w:lvlText w:val="%1.%2.%3.%4.%5"/>
      <w:lvlJc w:val="left"/>
      <w:pPr>
        <w:ind w:left="1080" w:hanging="1080"/>
      </w:pPr>
      <w:rPr>
        <w:rFonts w:hint="default"/>
        <w:u w:val="none"/>
      </w:rPr>
    </w:lvl>
    <w:lvl w:ilvl="5" w:tentative="0">
      <w:start w:val="1"/>
      <w:numFmt w:val="decimal"/>
      <w:isLgl/>
      <w:lvlText w:val="%1.%2.%3.%4.%5.%6"/>
      <w:lvlJc w:val="left"/>
      <w:pPr>
        <w:ind w:left="1080" w:hanging="1080"/>
      </w:pPr>
      <w:rPr>
        <w:rFonts w:hint="default"/>
        <w:u w:val="none"/>
      </w:rPr>
    </w:lvl>
    <w:lvl w:ilvl="6" w:tentative="0">
      <w:start w:val="1"/>
      <w:numFmt w:val="decimal"/>
      <w:isLgl/>
      <w:lvlText w:val=""/>
      <w:lvlJc w:val="left"/>
      <w:pPr>
        <w:ind w:left="1080" w:hanging="1080"/>
      </w:pPr>
      <w:rPr>
        <w:rFonts w:hint="default"/>
        <w:u w:val="none"/>
      </w:rPr>
    </w:lvl>
    <w:lvl w:ilvl="7" w:tentative="0">
      <w:start w:val="1"/>
      <w:numFmt w:val="decimal"/>
      <w:isLgl/>
      <w:lvlText w:val="%1.%2.%3.%4.%5.%6._x0006_.%8"/>
      <w:lvlJc w:val="left"/>
      <w:pPr>
        <w:ind w:left="1440" w:hanging="1440"/>
      </w:pPr>
      <w:rPr>
        <w:rFonts w:hint="default"/>
        <w:u w:val="none"/>
      </w:rPr>
    </w:lvl>
    <w:lvl w:ilvl="8" w:tentative="0">
      <w:start w:val="1"/>
      <w:numFmt w:val="decimal"/>
      <w:isLgl/>
      <w:lvlText w:val="%1.%2.%3.%4.%5.%6._x0006_.%8.%9"/>
      <w:lvlJc w:val="left"/>
      <w:pPr>
        <w:ind w:left="1440" w:hanging="1440"/>
      </w:pPr>
      <w:rPr>
        <w:rFonts w:hint="default"/>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YwNTKwNDOyMLY0MDZT0lEKTi0uzszPAykwNKkFAEoIpeAtAAAA"/>
    <w:docVar w:name="EN.Layout" w:val="&lt;ENLayout&gt;&lt;Style&gt;Numbered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dvwtser0wssde0ezovvrsh2wvfw5z59t5r&quot;&gt;My EndNote Library Copy&lt;record-ids&gt;&lt;item&gt;4134&lt;/item&gt;&lt;item&gt;4136&lt;/item&gt;&lt;item&gt;4137&lt;/item&gt;&lt;item&gt;4138&lt;/item&gt;&lt;item&gt;4139&lt;/item&gt;&lt;/record-ids&gt;&lt;/item&gt;&lt;/Libraries&gt;"/>
  </w:docVars>
  <w:rsids>
    <w:rsidRoot w:val="419270B8"/>
    <w:rsid w:val="00013D70"/>
    <w:rsid w:val="000355BD"/>
    <w:rsid w:val="00040AA1"/>
    <w:rsid w:val="000716C2"/>
    <w:rsid w:val="000938F1"/>
    <w:rsid w:val="000D4A4E"/>
    <w:rsid w:val="00131896"/>
    <w:rsid w:val="001360B6"/>
    <w:rsid w:val="00150F02"/>
    <w:rsid w:val="001B157F"/>
    <w:rsid w:val="001B3439"/>
    <w:rsid w:val="001B7836"/>
    <w:rsid w:val="001C3D71"/>
    <w:rsid w:val="001D5CFC"/>
    <w:rsid w:val="001E4C8B"/>
    <w:rsid w:val="001F6BBA"/>
    <w:rsid w:val="001F700A"/>
    <w:rsid w:val="001F7F22"/>
    <w:rsid w:val="00202B89"/>
    <w:rsid w:val="00206003"/>
    <w:rsid w:val="00206A96"/>
    <w:rsid w:val="00222588"/>
    <w:rsid w:val="002252EE"/>
    <w:rsid w:val="00244747"/>
    <w:rsid w:val="00265E64"/>
    <w:rsid w:val="0027501C"/>
    <w:rsid w:val="00283C97"/>
    <w:rsid w:val="0028604F"/>
    <w:rsid w:val="002947B9"/>
    <w:rsid w:val="002B4B6B"/>
    <w:rsid w:val="002F2AC2"/>
    <w:rsid w:val="002F569D"/>
    <w:rsid w:val="00304D62"/>
    <w:rsid w:val="00327810"/>
    <w:rsid w:val="00342C39"/>
    <w:rsid w:val="00373E7D"/>
    <w:rsid w:val="0038086E"/>
    <w:rsid w:val="003A75AF"/>
    <w:rsid w:val="00463889"/>
    <w:rsid w:val="00482BDF"/>
    <w:rsid w:val="00497286"/>
    <w:rsid w:val="004D068D"/>
    <w:rsid w:val="004D08C2"/>
    <w:rsid w:val="004E428C"/>
    <w:rsid w:val="00556486"/>
    <w:rsid w:val="00565D2A"/>
    <w:rsid w:val="005729F8"/>
    <w:rsid w:val="005A5763"/>
    <w:rsid w:val="005D540D"/>
    <w:rsid w:val="005D7512"/>
    <w:rsid w:val="005D781A"/>
    <w:rsid w:val="0060239F"/>
    <w:rsid w:val="006343E5"/>
    <w:rsid w:val="00636661"/>
    <w:rsid w:val="00641561"/>
    <w:rsid w:val="0065781D"/>
    <w:rsid w:val="006610AD"/>
    <w:rsid w:val="006B03EA"/>
    <w:rsid w:val="00745629"/>
    <w:rsid w:val="00767340"/>
    <w:rsid w:val="00776C35"/>
    <w:rsid w:val="00780974"/>
    <w:rsid w:val="00795151"/>
    <w:rsid w:val="007C1C10"/>
    <w:rsid w:val="007C7A0D"/>
    <w:rsid w:val="007D1596"/>
    <w:rsid w:val="007D7710"/>
    <w:rsid w:val="007F53D0"/>
    <w:rsid w:val="00806995"/>
    <w:rsid w:val="0081344C"/>
    <w:rsid w:val="0082212C"/>
    <w:rsid w:val="00851822"/>
    <w:rsid w:val="00851EF5"/>
    <w:rsid w:val="008715BB"/>
    <w:rsid w:val="008B38F1"/>
    <w:rsid w:val="008D478A"/>
    <w:rsid w:val="00906C06"/>
    <w:rsid w:val="00930C04"/>
    <w:rsid w:val="0093515C"/>
    <w:rsid w:val="00987706"/>
    <w:rsid w:val="009A0AE7"/>
    <w:rsid w:val="009D326D"/>
    <w:rsid w:val="009E01FF"/>
    <w:rsid w:val="009E28FA"/>
    <w:rsid w:val="009E66B5"/>
    <w:rsid w:val="00A048B9"/>
    <w:rsid w:val="00A05169"/>
    <w:rsid w:val="00A11386"/>
    <w:rsid w:val="00A640AB"/>
    <w:rsid w:val="00A735CA"/>
    <w:rsid w:val="00A76EA6"/>
    <w:rsid w:val="00A7704F"/>
    <w:rsid w:val="00AA5EFC"/>
    <w:rsid w:val="00AB0174"/>
    <w:rsid w:val="00AB02E2"/>
    <w:rsid w:val="00AB79E7"/>
    <w:rsid w:val="00AC7C50"/>
    <w:rsid w:val="00B1394C"/>
    <w:rsid w:val="00B26156"/>
    <w:rsid w:val="00B272BF"/>
    <w:rsid w:val="00B322B8"/>
    <w:rsid w:val="00B80D20"/>
    <w:rsid w:val="00BA1376"/>
    <w:rsid w:val="00BA4A91"/>
    <w:rsid w:val="00BA6502"/>
    <w:rsid w:val="00BB01E0"/>
    <w:rsid w:val="00BC746B"/>
    <w:rsid w:val="00BD37C1"/>
    <w:rsid w:val="00BE4C45"/>
    <w:rsid w:val="00C0639F"/>
    <w:rsid w:val="00C113DC"/>
    <w:rsid w:val="00C2164B"/>
    <w:rsid w:val="00C57F12"/>
    <w:rsid w:val="00C74A05"/>
    <w:rsid w:val="00C92107"/>
    <w:rsid w:val="00CB1A52"/>
    <w:rsid w:val="00CB7737"/>
    <w:rsid w:val="00CD4B4B"/>
    <w:rsid w:val="00D03979"/>
    <w:rsid w:val="00D112E9"/>
    <w:rsid w:val="00D11930"/>
    <w:rsid w:val="00D3358E"/>
    <w:rsid w:val="00D53041"/>
    <w:rsid w:val="00D541C5"/>
    <w:rsid w:val="00D60BDB"/>
    <w:rsid w:val="00D63B5E"/>
    <w:rsid w:val="00DB1D21"/>
    <w:rsid w:val="00DF4768"/>
    <w:rsid w:val="00DF4DB2"/>
    <w:rsid w:val="00E1156E"/>
    <w:rsid w:val="00E30666"/>
    <w:rsid w:val="00E51C47"/>
    <w:rsid w:val="00E53768"/>
    <w:rsid w:val="00E55C6F"/>
    <w:rsid w:val="00E56399"/>
    <w:rsid w:val="00EA27CC"/>
    <w:rsid w:val="00EB35C4"/>
    <w:rsid w:val="00EE5163"/>
    <w:rsid w:val="00F05AC5"/>
    <w:rsid w:val="00F70A03"/>
    <w:rsid w:val="00F86F86"/>
    <w:rsid w:val="00FA17D3"/>
    <w:rsid w:val="00FF196B"/>
    <w:rsid w:val="00FF43D6"/>
    <w:rsid w:val="19B22DD1"/>
    <w:rsid w:val="1F137682"/>
    <w:rsid w:val="2A331830"/>
    <w:rsid w:val="2F341B22"/>
    <w:rsid w:val="419270B8"/>
    <w:rsid w:val="68C70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99"/>
    <w:pPr>
      <w:widowControl w:val="0"/>
      <w:spacing w:after="160" w:line="259" w:lineRule="auto"/>
      <w:jc w:val="both"/>
    </w:pPr>
    <w:rPr>
      <w:rFonts w:hint="eastAsia" w:ascii="Calibri" w:hAnsi="Calibri" w:eastAsia="宋体" w:cs="Times New Roman"/>
      <w:kern w:val="2"/>
      <w:sz w:val="21"/>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iPriority w:val="0"/>
    <w:pPr>
      <w:tabs>
        <w:tab w:val="center" w:pos="4153"/>
        <w:tab w:val="right" w:pos="8306"/>
      </w:tabs>
      <w:snapToGrid w:val="0"/>
      <w:spacing w:line="240" w:lineRule="auto"/>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4">
    <w:name w:val="Normal (Web)"/>
    <w:basedOn w:val="1"/>
    <w:unhideWhenUsed/>
    <w:qFormat/>
    <w:uiPriority w:val="99"/>
    <w:pPr>
      <w:widowControl/>
      <w:spacing w:beforeAutospacing="1" w:after="100" w:afterAutospacing="1"/>
      <w:jc w:val="left"/>
    </w:pPr>
    <w:rPr>
      <w:rFonts w:ascii="宋体" w:hAnsi="宋体"/>
      <w:sz w:val="24"/>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英文标题1"/>
    <w:basedOn w:val="9"/>
    <w:unhideWhenUsed/>
    <w:qFormat/>
    <w:uiPriority w:val="99"/>
    <w:pPr>
      <w:numPr>
        <w:ilvl w:val="0"/>
        <w:numId w:val="1"/>
      </w:numPr>
      <w:spacing w:before="240" w:after="240"/>
      <w:ind w:firstLine="0" w:firstLineChars="0"/>
      <w:outlineLvl w:val="0"/>
    </w:pPr>
    <w:rPr>
      <w:b/>
    </w:rPr>
  </w:style>
  <w:style w:type="paragraph" w:customStyle="1" w:styleId="9">
    <w:name w:val="列表段落1"/>
    <w:basedOn w:val="1"/>
    <w:unhideWhenUsed/>
    <w:qFormat/>
    <w:uiPriority w:val="99"/>
    <w:pPr>
      <w:ind w:firstLine="420" w:firstLineChars="200"/>
    </w:pPr>
  </w:style>
  <w:style w:type="character" w:customStyle="1" w:styleId="10">
    <w:name w:val="页眉 字符"/>
    <w:basedOn w:val="7"/>
    <w:link w:val="3"/>
    <w:qFormat/>
    <w:uiPriority w:val="0"/>
    <w:rPr>
      <w:rFonts w:ascii="Calibri" w:hAnsi="Calibri"/>
      <w:kern w:val="2"/>
      <w:sz w:val="18"/>
      <w:szCs w:val="18"/>
    </w:rPr>
  </w:style>
  <w:style w:type="character" w:customStyle="1" w:styleId="11">
    <w:name w:val="页脚 字符"/>
    <w:basedOn w:val="7"/>
    <w:link w:val="2"/>
    <w:uiPriority w:val="0"/>
    <w:rPr>
      <w:rFonts w:ascii="Calibri" w:hAnsi="Calibri"/>
      <w:kern w:val="2"/>
      <w:sz w:val="18"/>
      <w:szCs w:val="18"/>
    </w:rPr>
  </w:style>
  <w:style w:type="paragraph" w:styleId="12">
    <w:name w:val="List Paragraph"/>
    <w:basedOn w:val="1"/>
    <w:uiPriority w:val="99"/>
    <w:pPr>
      <w:ind w:firstLine="420" w:firstLineChars="200"/>
    </w:pPr>
  </w:style>
  <w:style w:type="paragraph" w:customStyle="1" w:styleId="13">
    <w:name w:val="EndNote Bibliography Title"/>
    <w:basedOn w:val="1"/>
    <w:link w:val="14"/>
    <w:uiPriority w:val="0"/>
    <w:pPr>
      <w:spacing w:after="0"/>
      <w:jc w:val="center"/>
    </w:pPr>
    <w:rPr>
      <w:rFonts w:hint="default" w:cs="Calibri"/>
      <w:sz w:val="20"/>
    </w:rPr>
  </w:style>
  <w:style w:type="character" w:customStyle="1" w:styleId="14">
    <w:name w:val="EndNote Bibliography Title 字符"/>
    <w:basedOn w:val="7"/>
    <w:link w:val="13"/>
    <w:uiPriority w:val="0"/>
    <w:rPr>
      <w:rFonts w:ascii="Calibri" w:hAnsi="Calibri" w:cs="Calibri"/>
      <w:kern w:val="2"/>
    </w:rPr>
  </w:style>
  <w:style w:type="paragraph" w:customStyle="1" w:styleId="15">
    <w:name w:val="EndNote Bibliography"/>
    <w:basedOn w:val="1"/>
    <w:link w:val="16"/>
    <w:qFormat/>
    <w:uiPriority w:val="0"/>
    <w:pPr>
      <w:spacing w:line="240" w:lineRule="auto"/>
    </w:pPr>
    <w:rPr>
      <w:rFonts w:hint="default" w:cs="Calibri"/>
      <w:sz w:val="20"/>
    </w:rPr>
  </w:style>
  <w:style w:type="character" w:customStyle="1" w:styleId="16">
    <w:name w:val="EndNote Bibliography 字符"/>
    <w:basedOn w:val="7"/>
    <w:link w:val="15"/>
    <w:qFormat/>
    <w:uiPriority w:val="0"/>
    <w:rPr>
      <w:rFonts w:ascii="Calibri" w:hAnsi="Calibri" w:cs="Calibri"/>
      <w:kern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3252</Words>
  <Characters>18537</Characters>
  <Lines>154</Lines>
  <Paragraphs>43</Paragraphs>
  <TotalTime>1726</TotalTime>
  <ScaleCrop>false</ScaleCrop>
  <LinksUpToDate>false</LinksUpToDate>
  <CharactersWithSpaces>21746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2021-06-27T15:32:00Z</dcterms:created>
  <dc:creator>zhou</dc:creator>
  <cp:lastModifiedBy>欲速则不达</cp:lastModifiedBy>
  <dcterms:modified xsi:type="dcterms:W3CDTF">2022-01-14T11:16:07Z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051C91766A354374867275C805C58706</vt:lpwstr>
  </property>
</Properties>
</file>