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iCs/>
          <w:sz w:val="36"/>
          <w:szCs w:val="36"/>
        </w:rPr>
      </w:pPr>
      <w:r>
        <w:rPr>
          <w:rFonts w:ascii="Arial" w:hAnsi="Arial" w:cs="Arial"/>
          <w:iCs/>
          <w:sz w:val="36"/>
          <w:szCs w:val="36"/>
        </w:rPr>
        <w:t>Supplementary Information</w:t>
      </w:r>
    </w:p>
    <w:p>
      <w:pPr>
        <w:rPr>
          <w:rFonts w:ascii="Arial" w:hAnsi="Arial" w:cs="Arial"/>
        </w:rPr>
      </w:pPr>
    </w:p>
    <w:p>
      <w:pPr>
        <w:spacing w:line="360" w:lineRule="auto"/>
        <w:jc w:val="center"/>
        <w:rPr>
          <w:rFonts w:ascii="Arial" w:hAnsi="Arial" w:eastAsia="等线" w:cs="Arial"/>
          <w:b/>
          <w:sz w:val="28"/>
          <w:szCs w:val="28"/>
        </w:rPr>
      </w:pPr>
      <w:bookmarkStart w:id="0" w:name="OLE_LINK346"/>
    </w:p>
    <w:bookmarkEnd w:id="0"/>
    <w:p>
      <w:pPr>
        <w:spacing w:line="360" w:lineRule="auto"/>
        <w:jc w:val="center"/>
        <w:rPr>
          <w:rFonts w:ascii="Arial" w:hAnsi="Arial" w:eastAsia="等线" w:cs="Arial"/>
          <w:b/>
          <w:sz w:val="28"/>
          <w:szCs w:val="28"/>
        </w:rPr>
      </w:pPr>
      <w:bookmarkStart w:id="1" w:name="OLE_LINK36"/>
      <w:r>
        <w:rPr>
          <w:rFonts w:ascii="Arial" w:hAnsi="Arial" w:eastAsia="宋体" w:cs="Arial"/>
          <w:b/>
          <w:bCs/>
          <w:sz w:val="30"/>
          <w:szCs w:val="30"/>
          <w:lang w:bidi="ar"/>
        </w:rPr>
        <w:t>Design and discovery of a highly potent ultralong-acting GLP-1 and glucagon co-agonist for attenuating renal fibrosis by modulating mitochondrial function</w:t>
      </w:r>
      <w:bookmarkEnd w:id="1"/>
    </w:p>
    <w:p>
      <w:pPr>
        <w:rPr>
          <w:rFonts w:ascii="Arial" w:hAnsi="Arial" w:cs="Arial"/>
          <w:sz w:val="28"/>
          <w:szCs w:val="28"/>
        </w:rPr>
      </w:pPr>
    </w:p>
    <w:p>
      <w:pPr>
        <w:spacing w:line="360" w:lineRule="auto"/>
        <w:jc w:val="center"/>
        <w:rPr>
          <w:rFonts w:ascii="Arial" w:hAnsi="Arial" w:cs="Arial"/>
          <w:sz w:val="22"/>
          <w:szCs w:val="22"/>
          <w:vertAlign w:val="superscript"/>
        </w:rPr>
      </w:pPr>
      <w:r>
        <w:rPr>
          <w:rFonts w:ascii="Arial" w:hAnsi="Arial" w:cs="Arial"/>
          <w:sz w:val="22"/>
          <w:szCs w:val="22"/>
        </w:rPr>
        <w:t>Zhao</w:t>
      </w:r>
      <w:r>
        <w:rPr>
          <w:rFonts w:ascii="Arial" w:hAnsi="Arial" w:cs="Arial"/>
        </w:rPr>
        <w:t xml:space="preserve"> </w:t>
      </w:r>
      <w:r>
        <w:rPr>
          <w:rFonts w:ascii="Arial" w:hAnsi="Arial" w:cs="Arial"/>
          <w:sz w:val="22"/>
          <w:szCs w:val="22"/>
        </w:rPr>
        <w:t>et al.</w:t>
      </w:r>
    </w:p>
    <w:p>
      <w:pPr>
        <w:spacing w:line="360" w:lineRule="auto"/>
        <w:rPr>
          <w:rFonts w:ascii="Arial" w:hAnsi="Arial" w:cs="Arial"/>
          <w:i/>
          <w:sz w:val="22"/>
          <w:szCs w:val="22"/>
        </w:rPr>
      </w:pPr>
    </w:p>
    <w:p>
      <w:pPr>
        <w:spacing w:line="360" w:lineRule="auto"/>
        <w:rPr>
          <w:rFonts w:ascii="Arial" w:hAnsi="Arial" w:cs="Arial"/>
          <w:b/>
          <w:sz w:val="22"/>
          <w:szCs w:val="22"/>
        </w:rPr>
      </w:pPr>
    </w:p>
    <w:p>
      <w:pPr>
        <w:spacing w:line="360" w:lineRule="auto"/>
        <w:jc w:val="center"/>
        <w:rPr>
          <w:rFonts w:ascii="Arial" w:hAnsi="Arial" w:cs="Arial"/>
          <w:b/>
        </w:rPr>
      </w:pPr>
      <w:r>
        <w:rPr>
          <w:rFonts w:ascii="Arial" w:hAnsi="Arial" w:cs="Arial"/>
          <w:b/>
        </w:rPr>
        <w:t>Supplementary materials include:</w:t>
      </w:r>
    </w:p>
    <w:p>
      <w:pPr>
        <w:spacing w:line="360" w:lineRule="auto"/>
        <w:jc w:val="center"/>
        <w:rPr>
          <w:rFonts w:ascii="Arial" w:hAnsi="Arial" w:cs="Arial"/>
          <w:bCs/>
          <w:i/>
          <w:iCs/>
        </w:rPr>
      </w:pPr>
      <w:r>
        <w:rPr>
          <w:rFonts w:ascii="Arial" w:hAnsi="Arial" w:cs="Arial"/>
          <w:bCs/>
          <w:i/>
          <w:iCs/>
        </w:rPr>
        <w:t>Methods</w:t>
      </w:r>
    </w:p>
    <w:p>
      <w:pPr>
        <w:spacing w:line="360" w:lineRule="auto"/>
        <w:jc w:val="center"/>
        <w:rPr>
          <w:rFonts w:ascii="Arial" w:hAnsi="Arial" w:cs="Arial"/>
          <w:bCs/>
          <w:i/>
          <w:iCs/>
          <w:highlight w:val="yellow"/>
        </w:rPr>
      </w:pPr>
      <w:r>
        <w:rPr>
          <w:rFonts w:ascii="Arial" w:hAnsi="Arial" w:cs="Arial"/>
          <w:bCs/>
          <w:i/>
          <w:iCs/>
        </w:rPr>
        <w:t xml:space="preserve">Supplementary Figures 1 to 10  </w:t>
      </w:r>
    </w:p>
    <w:p>
      <w:pPr>
        <w:spacing w:line="360" w:lineRule="auto"/>
        <w:jc w:val="center"/>
        <w:rPr>
          <w:rFonts w:ascii="Arial" w:hAnsi="Arial" w:cs="Arial"/>
          <w:bCs/>
          <w:i/>
          <w:iCs/>
          <w:u w:val="single"/>
        </w:rPr>
      </w:pPr>
      <w:r>
        <w:rPr>
          <w:rFonts w:ascii="Arial" w:hAnsi="Arial" w:cs="Arial"/>
          <w:bCs/>
          <w:i/>
          <w:iCs/>
        </w:rPr>
        <w:t>Supplementary Tables 1 to 11</w:t>
      </w: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jc w:val="center"/>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rPr>
          <w:rFonts w:ascii="Arial" w:hAnsi="Arial" w:cs="Arial"/>
          <w:b/>
          <w:bCs/>
          <w:sz w:val="28"/>
          <w:szCs w:val="28"/>
        </w:rPr>
      </w:pPr>
      <w:r>
        <w:rPr>
          <w:rFonts w:ascii="Arial" w:hAnsi="Arial" w:eastAsia="宋体" w:cs="Arial"/>
          <w:b/>
          <w:bCs/>
          <w:sz w:val="28"/>
          <w:szCs w:val="28"/>
          <w:lang w:bidi="ar"/>
        </w:rPr>
        <w:t>Methods</w:t>
      </w:r>
    </w:p>
    <w:p>
      <w:pPr>
        <w:rPr>
          <w:rFonts w:ascii="Arial" w:hAnsi="Arial" w:eastAsia="宋体" w:cs="Arial"/>
          <w:sz w:val="24"/>
          <w:lang w:bidi="ar"/>
        </w:rPr>
      </w:pPr>
      <w:r>
        <w:rPr>
          <w:rFonts w:ascii="Arial" w:hAnsi="Arial" w:eastAsia="宋体" w:cs="Arial"/>
          <w:b/>
          <w:sz w:val="24"/>
          <w:lang w:bidi="ar"/>
        </w:rPr>
        <w:t xml:space="preserve">Kidney samples of patients. </w:t>
      </w:r>
      <w:r>
        <w:rPr>
          <w:rFonts w:ascii="Arial" w:hAnsi="Arial" w:eastAsia="宋体" w:cs="Arial"/>
          <w:sz w:val="24"/>
          <w:lang w:bidi="ar"/>
        </w:rPr>
        <w:t xml:space="preserve">All clinical kidney samples were obtained from the First Affiliated Hospitals of Sun Yat-sen University (Guangzhou, China), following the protocol conformed the ethical guidelines of the 1975 Declaration of Helsinki Principles and approved by the Ethics Committee of the Sun Yat-sen University. </w:t>
      </w:r>
    </w:p>
    <w:p>
      <w:pPr>
        <w:rPr>
          <w:rFonts w:ascii="Arial" w:hAnsi="Arial" w:eastAsia="宋体" w:cs="Arial"/>
          <w:sz w:val="24"/>
          <w:lang w:bidi="ar"/>
        </w:rPr>
      </w:pPr>
    </w:p>
    <w:p>
      <w:pPr>
        <w:rPr>
          <w:rFonts w:ascii="Arial" w:hAnsi="Arial" w:cs="Arial"/>
          <w:sz w:val="24"/>
        </w:rPr>
      </w:pPr>
      <w:r>
        <w:rPr>
          <w:rFonts w:ascii="Arial" w:hAnsi="Arial" w:eastAsia="宋体" w:cs="Arial"/>
          <w:b/>
          <w:sz w:val="24"/>
          <w:lang w:bidi="ar"/>
        </w:rPr>
        <w:t xml:space="preserve">Synthesis of peptides. </w:t>
      </w:r>
      <w:r>
        <w:rPr>
          <w:rFonts w:ascii="Arial" w:hAnsi="Arial" w:eastAsia="宋体" w:cs="Arial"/>
          <w:sz w:val="24"/>
          <w:lang w:bidi="ar"/>
        </w:rPr>
        <w:t>According to the standard protocol of slid-phase peptide synthesis (SPSS), a series of dual glucagon-like peptide 1/glucagon receptor agonist (1901-1917 and 1907-B) were synthesized using 4-methylbenzhy-drylamine (MBHA) resin (GL Biochem, Shanghai, China). Reversed-phase high performance liquid chromatography mass spectrometric (RP-HPLC-MS, Agilent Technologies, USA) was used to perform the peptide purification and atomic accumulation process. The analysis results were shown in Supplementary Fig.9-10.</w:t>
      </w:r>
    </w:p>
    <w:p>
      <w:pPr>
        <w:rPr>
          <w:rFonts w:ascii="Arial" w:hAnsi="Arial" w:cs="Arial"/>
          <w:b/>
          <w:sz w:val="24"/>
        </w:rPr>
      </w:pPr>
    </w:p>
    <w:p>
      <w:pPr>
        <w:rPr>
          <w:rFonts w:ascii="Arial" w:hAnsi="Arial" w:cs="Arial"/>
          <w:sz w:val="24"/>
        </w:rPr>
      </w:pPr>
      <w:r>
        <w:rPr>
          <w:rFonts w:ascii="Arial" w:hAnsi="Arial" w:eastAsia="宋体" w:cs="Arial"/>
          <w:b/>
          <w:sz w:val="24"/>
          <w:lang w:bidi="ar"/>
        </w:rPr>
        <w:t xml:space="preserve">Circular dichroism (CD) measurements. </w:t>
      </w:r>
      <w:r>
        <w:rPr>
          <w:rFonts w:ascii="Arial" w:hAnsi="Arial" w:eastAsia="宋体" w:cs="Arial"/>
          <w:sz w:val="24"/>
          <w:lang w:bidi="ar"/>
        </w:rPr>
        <w:t>The CD measurements of the series of dual glucagon-like peptide 1/glucagon receptor agonist were performed by the Chirascan CD spectrometer in a 2 mm pathlength cuvette at 25℃. The spectra were recorded from 190 nm to 260 nm and averaged over 3 scans with a resolution of 0.5 nm, a bandwidth of 1.0 nm and a response time of 3 s. All peptides were dissolved to 40 μM in PBS or 50% TFE. The mean residue ellipticity was plotted vs wavelength.</w:t>
      </w:r>
    </w:p>
    <w:p>
      <w:pPr>
        <w:rPr>
          <w:rFonts w:ascii="Arial" w:hAnsi="Arial" w:cs="Arial"/>
          <w:b/>
          <w:sz w:val="24"/>
        </w:rPr>
      </w:pPr>
    </w:p>
    <w:p>
      <w:pPr>
        <w:rPr>
          <w:rFonts w:ascii="Arial" w:hAnsi="Arial" w:eastAsia="宋体" w:cs="Arial"/>
          <w:color w:val="FF0000"/>
          <w:sz w:val="24"/>
        </w:rPr>
      </w:pPr>
      <w:r>
        <w:rPr>
          <w:rFonts w:ascii="Arial" w:hAnsi="Arial" w:eastAsia="宋体" w:cs="Arial"/>
          <w:b/>
          <w:sz w:val="24"/>
          <w:lang w:bidi="ar"/>
        </w:rPr>
        <w:t xml:space="preserve">Generation of CRE-Luc stable cell line over-expressing GLP-1R or GCGR. </w:t>
      </w:r>
      <w:r>
        <w:rPr>
          <w:rFonts w:ascii="Arial" w:hAnsi="Arial" w:eastAsia="宋体" w:cs="Arial"/>
          <w:sz w:val="24"/>
          <w:lang w:bidi="ar"/>
        </w:rPr>
        <w:t>HEK-293 cell line was obtained from the Type Culture Collection of the Chinese Academy of Sciences (Shanghai, China). Cell was cultured in DMEM with 10% FBS and 1% penicillin-streptomycin (Gibco, Thermo Fisher Scientific, USA) in a humidified atmosphere with 5% CO</w:t>
      </w:r>
      <w:r>
        <w:rPr>
          <w:rFonts w:ascii="Arial" w:hAnsi="Arial" w:eastAsia="宋体" w:cs="Arial"/>
          <w:sz w:val="24"/>
          <w:vertAlign w:val="subscript"/>
          <w:lang w:bidi="ar"/>
        </w:rPr>
        <w:t>2</w:t>
      </w:r>
      <w:r>
        <w:rPr>
          <w:rFonts w:ascii="Arial" w:hAnsi="Arial" w:eastAsia="宋体" w:cs="Arial"/>
          <w:sz w:val="24"/>
          <w:lang w:bidi="ar"/>
        </w:rPr>
        <w:t xml:space="preserve"> at 37℃. Lentivirus encoding firefly luciferase gene under the control of cAMP responsive element (CRE) promoter was used to establish the CRE-Luc stable HEK-293 cell line. After exposed to the complete medium containing 1 μg/mL puromycin for 1 week, the surviving cells (CRE-HEK293) were amplified and then transfected with a G418 selective mammalian expression plasmid which encoded renilla luciferase gene under the control of human GLP-1R or GCGR. Single colony stable cell line over-expressing both CRE-firefly luciferase and GLP-1R- or GCGR- renilla luciferase (GLP-1R- or GCGR-CRE-HEK293) was then generated for GLP-1R or GCGR activation reporter assay </w:t>
      </w:r>
      <w:r>
        <w:rPr>
          <w:rFonts w:ascii="Arial" w:hAnsi="Arial" w:eastAsia="宋体" w:cs="Arial"/>
          <w:i/>
          <w:iCs/>
          <w:sz w:val="24"/>
          <w:lang w:bidi="ar"/>
        </w:rPr>
        <w:t>in vitro</w:t>
      </w:r>
      <w:r>
        <w:rPr>
          <w:rFonts w:ascii="Arial" w:hAnsi="Arial" w:eastAsia="宋体" w:cs="Arial"/>
          <w:sz w:val="24"/>
          <w:lang w:bidi="ar"/>
        </w:rPr>
        <w:t>.</w:t>
      </w:r>
    </w:p>
    <w:p>
      <w:pPr>
        <w:rPr>
          <w:rFonts w:ascii="Arial" w:hAnsi="Arial" w:cs="Arial"/>
          <w:b/>
          <w:sz w:val="24"/>
        </w:rPr>
      </w:pPr>
    </w:p>
    <w:p>
      <w:pPr>
        <w:rPr>
          <w:rFonts w:ascii="Arial" w:hAnsi="Arial" w:eastAsia="宋体" w:cs="Arial"/>
          <w:szCs w:val="21"/>
        </w:rPr>
      </w:pPr>
      <w:r>
        <w:rPr>
          <w:rFonts w:ascii="Arial" w:hAnsi="Arial" w:eastAsia="宋体" w:cs="Arial"/>
          <w:b/>
          <w:sz w:val="24"/>
          <w:lang w:bidi="ar"/>
        </w:rPr>
        <w:t xml:space="preserve">GLP-1R or GCGR activation reporter assay </w:t>
      </w:r>
      <w:r>
        <w:rPr>
          <w:rFonts w:ascii="Arial" w:hAnsi="Arial" w:eastAsia="宋体" w:cs="Arial"/>
          <w:b/>
          <w:i/>
          <w:iCs/>
          <w:sz w:val="24"/>
          <w:lang w:bidi="ar"/>
        </w:rPr>
        <w:t>In vitro</w:t>
      </w:r>
      <w:r>
        <w:rPr>
          <w:rFonts w:ascii="Arial" w:hAnsi="Arial" w:eastAsia="宋体" w:cs="Arial"/>
          <w:b/>
          <w:sz w:val="24"/>
          <w:lang w:bidi="ar"/>
        </w:rPr>
        <w:t xml:space="preserve">. </w:t>
      </w:r>
      <w:r>
        <w:rPr>
          <w:rFonts w:ascii="Arial" w:hAnsi="Arial" w:eastAsia="宋体" w:cs="Arial"/>
          <w:sz w:val="24"/>
          <w:lang w:bidi="ar"/>
        </w:rPr>
        <w:t>GLP-1R- or GCGR-CRE-HEK293 cells were seeded in 96-well plates at a density of 4×10</w:t>
      </w:r>
      <w:r>
        <w:rPr>
          <w:rFonts w:ascii="Arial" w:hAnsi="Arial" w:eastAsia="宋体" w:cs="Arial"/>
          <w:sz w:val="24"/>
          <w:vertAlign w:val="superscript"/>
          <w:lang w:bidi="ar"/>
        </w:rPr>
        <w:t>4</w:t>
      </w:r>
      <w:r>
        <w:rPr>
          <w:rFonts w:ascii="Arial" w:hAnsi="Arial" w:eastAsia="宋体" w:cs="Arial"/>
          <w:sz w:val="24"/>
          <w:lang w:bidi="ar"/>
        </w:rPr>
        <w:t xml:space="preserve"> cells per well and cultured for 36 hours in DMEM containing 10% FBS and 1% penicillin-streptomycin. After starving for 6 hours, GLP-1R- or GCGR-CRE-HEK293 cells were treated with peptides in a series of doses for 5 hours. The GLP-1R or GCGR activation was assessed by the radio of firefly luminescence intensities to renilla luminescence intensities, using Dual Luciferase Reporter Gene Assay Kit (Yeasen, Shanghai, China) following manufacturer’s instruction. The data were fit by GraphPad Prism 9.0 software (GraphPad, San Diego, CA). to calculate the EC</w:t>
      </w:r>
      <w:r>
        <w:rPr>
          <w:rFonts w:ascii="Arial" w:hAnsi="Arial" w:eastAsia="宋体" w:cs="Arial"/>
          <w:sz w:val="24"/>
          <w:vertAlign w:val="subscript"/>
          <w:lang w:bidi="ar"/>
        </w:rPr>
        <w:t>50</w:t>
      </w:r>
      <w:r>
        <w:rPr>
          <w:rFonts w:ascii="Arial" w:hAnsi="Arial" w:eastAsia="宋体" w:cs="Arial"/>
          <w:sz w:val="24"/>
          <w:lang w:bidi="ar"/>
        </w:rPr>
        <w:t xml:space="preserve"> of each peptide.</w:t>
      </w:r>
    </w:p>
    <w:p>
      <w:pPr>
        <w:rPr>
          <w:rFonts w:ascii="Arial" w:hAnsi="Arial" w:cs="Arial"/>
          <w:b/>
          <w:sz w:val="24"/>
        </w:rPr>
      </w:pPr>
    </w:p>
    <w:p>
      <w:pPr>
        <w:rPr>
          <w:rFonts w:ascii="Arial" w:hAnsi="Arial" w:eastAsia="宋体" w:cs="Arial"/>
          <w:szCs w:val="21"/>
        </w:rPr>
      </w:pPr>
      <w:r>
        <w:rPr>
          <w:rFonts w:ascii="Arial" w:hAnsi="Arial" w:eastAsia="宋体" w:cs="Arial"/>
          <w:b/>
          <w:sz w:val="24"/>
          <w:lang w:bidi="ar"/>
        </w:rPr>
        <w:t xml:space="preserve">Cell culture and treatment. </w:t>
      </w:r>
      <w:r>
        <w:rPr>
          <w:rFonts w:ascii="Arial" w:hAnsi="Arial" w:eastAsia="宋体" w:cs="Arial"/>
          <w:sz w:val="24"/>
          <w:lang w:bidi="ar"/>
        </w:rPr>
        <w:t xml:space="preserve">The </w:t>
      </w:r>
      <w:r>
        <w:rPr>
          <w:rFonts w:ascii="Arial" w:hAnsi="Arial" w:eastAsia="宋体" w:cs="Arial"/>
          <w:bCs/>
          <w:sz w:val="24"/>
          <w:lang w:bidi="ar"/>
        </w:rPr>
        <w:t>m</w:t>
      </w:r>
      <w:r>
        <w:rPr>
          <w:rFonts w:ascii="Arial" w:hAnsi="Arial" w:eastAsia="宋体" w:cs="Arial"/>
          <w:sz w:val="24"/>
          <w:lang w:bidi="ar"/>
        </w:rPr>
        <w:t>TEC cells and GMC cells were kindly provided by Professor Wang from Lanzhou University. Both mTEC cells and GMC cells were cultured in low-glucose DMEM (Gibco, Thermo Fisher Scientific, USA) with 10% FBS and 1% penicillin-streptomycin.</w:t>
      </w:r>
      <w:r>
        <w:rPr>
          <w:rFonts w:ascii="Arial" w:hAnsi="Arial" w:eastAsia="宋体" w:cs="Arial"/>
          <w:color w:val="FF0000"/>
          <w:sz w:val="24"/>
          <w:lang w:bidi="ar"/>
        </w:rPr>
        <w:t xml:space="preserve"> </w:t>
      </w:r>
      <w:r>
        <w:rPr>
          <w:rFonts w:ascii="Arial" w:hAnsi="Arial" w:eastAsia="宋体" w:cs="Arial"/>
          <w:sz w:val="24"/>
          <w:lang w:bidi="ar"/>
        </w:rPr>
        <w:t>Cells were plated on 6-well plates and cultured for 24 h. After serum-free overnight, cells were exposed in high glucose or 10 ng/ml TGF-β and meanwhile treated with 20 μM peptides for 48 h. In indicated experiments, cells were administrated with PKA inhibitor, H89 (5 µM) (Beyotime Biotechnology, China).</w:t>
      </w:r>
    </w:p>
    <w:p>
      <w:pPr>
        <w:rPr>
          <w:rFonts w:ascii="Arial" w:hAnsi="Arial" w:cs="Arial"/>
          <w:b/>
          <w:sz w:val="24"/>
        </w:rPr>
      </w:pPr>
    </w:p>
    <w:p>
      <w:pPr>
        <w:rPr>
          <w:rFonts w:ascii="Arial" w:hAnsi="Arial" w:eastAsia="宋体" w:cs="Arial"/>
          <w:sz w:val="24"/>
        </w:rPr>
      </w:pPr>
      <w:r>
        <w:rPr>
          <w:rFonts w:ascii="Arial" w:hAnsi="Arial" w:eastAsia="宋体" w:cs="Arial"/>
          <w:b/>
          <w:sz w:val="24"/>
          <w:lang w:bidi="ar"/>
        </w:rPr>
        <w:t>Animal model and samples collection.</w:t>
      </w:r>
      <w:r>
        <w:rPr>
          <w:rFonts w:ascii="Arial" w:hAnsi="Arial" w:eastAsia="宋体" w:cs="Arial"/>
          <w:sz w:val="24"/>
          <w:lang w:bidi="ar"/>
        </w:rPr>
        <w:t xml:space="preserve"> Mice in all studies were healthy and immune-normal and kept in a 12 h light–dark cycle in the specific-pathogen-free (SPF) environment, permitting to access to food and water freely. All the protocols of animal research conformed to the U.S. Public Health Service Policy on Use of Laboratory Animals, and were approved by the Ethics Committee on Use and Care of Animals of Sun Yat-sen University.</w:t>
      </w:r>
    </w:p>
    <w:p>
      <w:pPr>
        <w:rPr>
          <w:rFonts w:ascii="Arial" w:hAnsi="Arial" w:eastAsia="宋体" w:cs="Arial"/>
          <w:sz w:val="24"/>
        </w:rPr>
      </w:pPr>
      <w:r>
        <w:rPr>
          <w:rFonts w:ascii="Arial" w:hAnsi="Arial" w:eastAsia="宋体" w:cs="Arial"/>
          <w:sz w:val="24"/>
          <w:lang w:bidi="ar"/>
        </w:rPr>
        <w:t xml:space="preserve"> </w:t>
      </w:r>
    </w:p>
    <w:p>
      <w:pPr>
        <w:rPr>
          <w:rFonts w:ascii="Arial" w:hAnsi="Arial" w:eastAsia="宋体" w:cs="Arial"/>
          <w:color w:val="FF0000"/>
          <w:sz w:val="24"/>
        </w:rPr>
      </w:pPr>
      <w:r>
        <w:rPr>
          <w:rFonts w:ascii="Arial" w:hAnsi="Arial" w:eastAsia="宋体" w:cs="Arial"/>
          <w:sz w:val="24"/>
          <w:lang w:bidi="ar"/>
        </w:rPr>
        <w:t>For DN model, eight-week-old male Lepr db/db (db/db) and Lepr db/m (db/m) mice in a C57BLKS/J background were purchased from the GemPharmatech</w:t>
      </w:r>
      <w:r>
        <w:rPr>
          <w:rFonts w:ascii="Arial" w:hAnsi="Arial" w:eastAsia="宋体" w:cs="Arial"/>
          <w:sz w:val="24"/>
          <w:vertAlign w:val="superscript"/>
          <w:lang w:bidi="ar"/>
        </w:rPr>
        <w:t>TM</w:t>
      </w:r>
      <w:r>
        <w:rPr>
          <w:rFonts w:ascii="Arial" w:hAnsi="Arial" w:eastAsia="宋体" w:cs="Arial"/>
          <w:sz w:val="24"/>
          <w:lang w:bidi="ar"/>
        </w:rPr>
        <w:t xml:space="preserve">. </w:t>
      </w:r>
      <w:bookmarkStart w:id="2" w:name="_Hlk85496992"/>
      <w:r>
        <w:rPr>
          <w:rFonts w:ascii="Arial" w:hAnsi="Arial" w:eastAsia="宋体" w:cs="Arial"/>
          <w:sz w:val="24"/>
          <w:lang w:bidi="ar"/>
        </w:rPr>
        <w:t>To assess the pharmacological effects of 1907-B</w:t>
      </w:r>
      <w:bookmarkEnd w:id="2"/>
      <w:r>
        <w:rPr>
          <w:rFonts w:ascii="Arial" w:hAnsi="Arial" w:eastAsia="宋体" w:cs="Arial"/>
          <w:sz w:val="24"/>
          <w:lang w:bidi="ar"/>
        </w:rPr>
        <w:t>, DN mice were administrated with semaglutide (120 μg/kg/d), glucagon (120 μg/kg/d) or 1907-B (60, 120 and 240 μg/kg/d or 120 μg/kg/2d) for 8 weeks (n = 6 for per group; subcutaneous injection). The fasting blood glucose and body weight of DN mice were recorded every two days.</w:t>
      </w:r>
    </w:p>
    <w:p>
      <w:pPr>
        <w:rPr>
          <w:rFonts w:ascii="Arial" w:hAnsi="Arial" w:eastAsia="宋体" w:cs="Arial"/>
          <w:color w:val="FF0000"/>
          <w:sz w:val="24"/>
        </w:rPr>
      </w:pPr>
      <w:r>
        <w:rPr>
          <w:rFonts w:ascii="Arial" w:hAnsi="Arial" w:eastAsia="宋体" w:cs="Arial"/>
          <w:color w:val="FF0000"/>
          <w:sz w:val="24"/>
          <w:lang w:bidi="ar"/>
        </w:rPr>
        <w:t xml:space="preserve"> </w:t>
      </w:r>
    </w:p>
    <w:p>
      <w:pPr>
        <w:rPr>
          <w:rFonts w:ascii="Arial" w:hAnsi="Arial" w:eastAsia="宋体" w:cs="Arial"/>
          <w:sz w:val="24"/>
        </w:rPr>
      </w:pPr>
      <w:r>
        <w:rPr>
          <w:rFonts w:ascii="Arial" w:hAnsi="Arial" w:eastAsia="宋体" w:cs="Arial"/>
          <w:sz w:val="24"/>
          <w:lang w:bidi="ar"/>
        </w:rPr>
        <w:t xml:space="preserve">For unilateral ureteral obstruction (UUO) model, eight-week-old male C57BL/6J mice were obtained to establish UUO model following a standard protocol. After administrated with 5% chloral hydrate, mice were incised dorsally to expose the left ureter near the renal pelvis. Then the complete unilateral ureteral obstruction was performed in the left ureter by double-ligating using 6-0 nylon. The ureters of mice in the sham operated group were exposed, but not ligated. To evaluate the effects of 1907-B, UUO mice were administrated with semaglutide (120 μg/kg/d), glucagon (120 μg/kg/d) or 1907-B (60, 120 and 240 μg/kg/d or 120 μg/kg/2d) for 14 days (n = 6 for per group; intraperitoneal injection). Kidneys were harvested 14 days after UUO surgery. </w:t>
      </w:r>
    </w:p>
    <w:p>
      <w:pPr>
        <w:rPr>
          <w:rFonts w:ascii="Arial" w:hAnsi="Arial" w:eastAsia="宋体" w:cs="Arial"/>
          <w:sz w:val="24"/>
        </w:rPr>
      </w:pPr>
    </w:p>
    <w:p>
      <w:pPr>
        <w:rPr>
          <w:rFonts w:ascii="Arial" w:hAnsi="Arial" w:eastAsia="宋体" w:cs="Arial"/>
          <w:color w:val="FF0000"/>
          <w:sz w:val="24"/>
        </w:rPr>
      </w:pPr>
      <w:r>
        <w:rPr>
          <w:rFonts w:ascii="Arial" w:hAnsi="Arial" w:eastAsia="宋体" w:cs="Arial"/>
          <w:sz w:val="24"/>
          <w:lang w:bidi="ar"/>
        </w:rPr>
        <w:t>Prior to the sacrifice at the study terminal, all mice were fasted overnight and anesthetized by 5% chloral hydrate. Blood samples were collected from the posterior venous plexus of the eyes, and were separated to obtain serum by centrifugation at 1000 g for 15 min. The serum was stored at -80°C for further biochemical assays. Kidney tissue, liver tissue and epididymal adipose tissue were collected and frozen in liquid nitrogen immediately, and then stored at -80°C or fixed in 10% paraformaldehyde for histological assessment.</w:t>
      </w:r>
      <w:r>
        <w:rPr>
          <w:rFonts w:ascii="Arial" w:hAnsi="Arial" w:eastAsia="宋体" w:cs="Arial"/>
          <w:color w:val="FF0000"/>
          <w:sz w:val="24"/>
          <w:lang w:bidi="ar"/>
        </w:rPr>
        <w:t xml:space="preserve"> </w:t>
      </w:r>
    </w:p>
    <w:p>
      <w:pPr>
        <w:rPr>
          <w:rFonts w:ascii="Arial" w:hAnsi="Arial" w:eastAsia="宋体" w:cs="Arial"/>
          <w:b/>
          <w:color w:val="FF0000"/>
          <w:sz w:val="24"/>
        </w:rPr>
      </w:pPr>
    </w:p>
    <w:p>
      <w:pPr>
        <w:rPr>
          <w:rFonts w:ascii="Arial" w:hAnsi="Arial" w:eastAsia="宋体" w:cs="Arial"/>
          <w:sz w:val="24"/>
        </w:rPr>
      </w:pPr>
      <w:r>
        <w:rPr>
          <w:rFonts w:ascii="Arial" w:hAnsi="Arial" w:eastAsia="宋体" w:cs="Arial"/>
          <w:b/>
          <w:sz w:val="24"/>
          <w:lang w:bidi="ar"/>
        </w:rPr>
        <w:t xml:space="preserve">The pharmacokinetic parameters of semaglutide and 1907-B in rats. </w:t>
      </w:r>
      <w:r>
        <w:rPr>
          <w:rFonts w:ascii="Arial" w:hAnsi="Arial" w:eastAsia="宋体" w:cs="Arial"/>
          <w:sz w:val="24"/>
          <w:lang w:bidi="ar"/>
        </w:rPr>
        <w:t>Twenty-four SD rats (12 male and 12 female) were randomly divided into four groups: SC-semaglutide, SC-1907-B, IV-semaglutide and IV-1907-B. SC-semaglutide and SC-1907-B were treated with 0.05 mg/kg semaglutide and 1907-B by subcutaneous injection, respectively. Blood samples were collected at 0 min (before peptides administration) and 10 min, 20 min, 30 min, 1 h, 2 h, 4 h, 6 h, 8 h, 24 h, 36 h, 48 h, 72 h, 4 d, 5 d, 6 d and 7 d after peptides administration. IV-semaglutide and IV-1907-B were given 0.05 mg/kg semaglutide and 1907-B via tail vein, respectively. Blood samples were collected at 0 min (before peptides administration) and 10 min, 20 min, 30 min, 1 h, 2 h, 4 h, 6 h, 8 h, 24 h, 36 h, 48 h, 72 h, 4 d, 5 d, 6 d and 7 d after peptides administration. The concentrations of semaglutide and 1907-B in plasma were determined by the developed LC-MS/MS method. The pharmacokinetic parameters were calculated by non-compartment model using WinNonlin 6.4.</w:t>
      </w:r>
    </w:p>
    <w:p>
      <w:pPr>
        <w:rPr>
          <w:rFonts w:ascii="Arial" w:hAnsi="Arial" w:eastAsia="宋体" w:cs="Arial"/>
          <w:b/>
          <w:sz w:val="24"/>
        </w:rPr>
      </w:pPr>
    </w:p>
    <w:p>
      <w:pPr>
        <w:rPr>
          <w:rFonts w:ascii="Arial" w:hAnsi="Arial" w:eastAsia="宋体" w:cs="Arial"/>
          <w:b/>
          <w:sz w:val="24"/>
        </w:rPr>
      </w:pPr>
      <w:r>
        <w:rPr>
          <w:rFonts w:ascii="Arial" w:hAnsi="Arial" w:eastAsia="宋体" w:cs="Arial"/>
          <w:b/>
          <w:sz w:val="24"/>
          <w:lang w:bidi="ar"/>
        </w:rPr>
        <w:t xml:space="preserve">The pharmacokinetic parameters of semaglutide and 1907-B in cynomolgus monkeys. </w:t>
      </w:r>
      <w:r>
        <w:rPr>
          <w:rFonts w:ascii="Arial" w:hAnsi="Arial" w:eastAsia="宋体" w:cs="Arial"/>
          <w:sz w:val="24"/>
          <w:lang w:bidi="ar"/>
        </w:rPr>
        <w:t xml:space="preserve">The pharmacokinetic study was performed in Covance (Shanghai, China). Cynomolgus monkeys of either sex (n=2) were given a iv. dose of </w:t>
      </w:r>
      <w:r>
        <w:rPr>
          <w:rFonts w:hint="eastAsia" w:ascii="Arial" w:hAnsi="Arial" w:eastAsia="宋体" w:cs="Arial"/>
          <w:sz w:val="24"/>
          <w:lang w:bidi="ar"/>
        </w:rPr>
        <w:t>25</w:t>
      </w:r>
      <w:r>
        <w:rPr>
          <w:rFonts w:ascii="Arial" w:hAnsi="Arial" w:eastAsia="宋体" w:cs="Arial"/>
          <w:sz w:val="24"/>
          <w:lang w:bidi="ar"/>
        </w:rPr>
        <w:t xml:space="preserve"> μg/kg</w:t>
      </w:r>
      <w:r>
        <w:rPr>
          <w:rFonts w:hint="eastAsia" w:ascii="Arial" w:hAnsi="Arial" w:eastAsia="宋体" w:cs="Arial"/>
          <w:sz w:val="24"/>
          <w:lang w:bidi="ar"/>
        </w:rPr>
        <w:t xml:space="preserve"> and</w:t>
      </w:r>
      <w:r>
        <w:rPr>
          <w:rFonts w:ascii="Arial" w:hAnsi="Arial" w:eastAsia="宋体" w:cs="Arial"/>
          <w:sz w:val="24"/>
          <w:lang w:bidi="ar"/>
        </w:rPr>
        <w:t xml:space="preserve"> sc. dose of </w:t>
      </w:r>
      <w:r>
        <w:rPr>
          <w:rFonts w:hint="eastAsia" w:ascii="Arial" w:hAnsi="Arial" w:eastAsia="宋体" w:cs="Arial"/>
          <w:sz w:val="24"/>
          <w:lang w:bidi="ar"/>
        </w:rPr>
        <w:t>25</w:t>
      </w:r>
      <w:r>
        <w:rPr>
          <w:rFonts w:ascii="Arial" w:hAnsi="Arial" w:eastAsia="宋体" w:cs="Arial"/>
          <w:sz w:val="24"/>
          <w:lang w:bidi="ar"/>
        </w:rPr>
        <w:t xml:space="preserve"> μg/kg. Serial blood samples were collected for determination of plasma </w:t>
      </w:r>
      <w:r>
        <w:rPr>
          <w:rFonts w:hint="eastAsia" w:ascii="Arial" w:hAnsi="Arial" w:eastAsia="宋体" w:cs="Arial"/>
          <w:sz w:val="24"/>
          <w:lang w:bidi="ar"/>
        </w:rPr>
        <w:t>1907-B</w:t>
      </w:r>
      <w:r>
        <w:rPr>
          <w:rFonts w:ascii="Arial" w:hAnsi="Arial" w:eastAsia="宋体" w:cs="Arial"/>
          <w:sz w:val="24"/>
          <w:lang w:bidi="ar"/>
        </w:rPr>
        <w:t xml:space="preserve"> concentrations using a validated HPLC-MS/MS method. Pharmacokinetic analysis was carried out using non-compartmental procedures with Phoenix WinNonlin (version 8.1).</w:t>
      </w:r>
    </w:p>
    <w:p>
      <w:pPr>
        <w:rPr>
          <w:rFonts w:ascii="Arial" w:hAnsi="Arial" w:eastAsia="宋体" w:cs="Arial"/>
          <w:b/>
          <w:sz w:val="24"/>
        </w:rPr>
      </w:pPr>
    </w:p>
    <w:p>
      <w:pPr>
        <w:rPr>
          <w:rFonts w:ascii="Arial" w:hAnsi="Arial" w:eastAsia="宋体" w:cs="Arial"/>
          <w:sz w:val="24"/>
        </w:rPr>
      </w:pPr>
      <w:r>
        <w:rPr>
          <w:rFonts w:ascii="Arial" w:hAnsi="Arial" w:eastAsia="宋体" w:cs="Arial"/>
          <w:b/>
          <w:sz w:val="24"/>
          <w:lang w:bidi="ar"/>
        </w:rPr>
        <w:t xml:space="preserve">Toxicology studies. </w:t>
      </w:r>
      <w:r>
        <w:rPr>
          <w:rFonts w:ascii="Arial" w:hAnsi="Arial" w:eastAsia="宋体" w:cs="Arial"/>
          <w:sz w:val="24"/>
          <w:lang w:bidi="ar"/>
        </w:rPr>
        <w:t>Male or female SD rats (7 to 8 weeks of age, n = 10 per group) were administered vehicle alone or 1907-B at 0.25, 0.75 and 1.50 mg/kg for 30 days by subcutaneous injection every two days. External signs, behavioral activities, urine and feces shapes, abnormal secretions from mouth, nose and eyes, pupils and respiration were observed, and the body weight was measured once a week. The weight of the heart, liver, spleen, lung, kidney, adrenal gland, thymus, brain, epididymis, testis, ovary and uterus were respectively measured to calculate the organ index. After the animals were anesthetized, blood was taken from the peritoneal vein and the whole blood was taken to assay the hematology as follow: the total number of red blood cells, hemoglobin concentration, red blood cells deposited, average red blood cell volume, average haemoglobin content, total average concentration of hemoglobin, platelet, reticulocyte percentage and reticulocyte percentage number of red blood cells, white blood cell count, neutrophils, lymphocytes percentage, monocyte percentage, percentage of eosinophils, basophils, percentage. After the animals were anesthetized, blood was taken from the peritoneal vein and separated after placing in stasis, and the serum was taken to measure the blood biochemical indexes: glutamic-oxalacetic transaminase, glutamic-pyruvic transaminase, alkaline phosphatase, creatine phosphokinase, urea nitrogen, creatinine, total protein, albumin, blood sugar, total bilirubin, total cholesterol, triglyceride, γ-glutamyl transferase, potassium ion concentration, chloride ion concentration, sodium ion concentration. The blood methemoglobin content shall be measured according to the kit instructions. For histological assay, the heart, liver, spleen, lung, kidney, adrenal gland, thymus, brain, epididymis, testis, ovary, uterus, stomach, rectum, colon and ileum were fixed in 10% paraformaldehyde and Hematoxylin and Eosin (H&amp;E) was performed.</w:t>
      </w:r>
    </w:p>
    <w:p>
      <w:pPr>
        <w:rPr>
          <w:rFonts w:ascii="Arial" w:hAnsi="Arial" w:eastAsia="宋体" w:cs="Arial"/>
          <w:b/>
          <w:sz w:val="24"/>
        </w:rPr>
      </w:pPr>
      <w:bookmarkStart w:id="3" w:name="_Hlk79445178"/>
      <w:bookmarkEnd w:id="3"/>
    </w:p>
    <w:p>
      <w:pPr>
        <w:rPr>
          <w:rFonts w:ascii="Arial" w:hAnsi="Arial" w:eastAsia="宋体" w:cs="Arial"/>
          <w:sz w:val="24"/>
        </w:rPr>
      </w:pPr>
      <w:r>
        <w:rPr>
          <w:rFonts w:ascii="Arial" w:hAnsi="Arial" w:eastAsia="宋体" w:cs="Arial"/>
          <w:b/>
          <w:sz w:val="24"/>
          <w:lang w:bidi="ar"/>
        </w:rPr>
        <w:t xml:space="preserve">AAV9-RNAi mediated GLP-1R and GCGR knockdown. </w:t>
      </w:r>
      <w:r>
        <w:rPr>
          <w:rFonts w:ascii="Arial" w:hAnsi="Arial" w:eastAsia="宋体" w:cs="Arial"/>
          <w:sz w:val="24"/>
          <w:lang w:bidi="ar"/>
        </w:rPr>
        <w:t>The custom-made adeno-associated virus (AAV) serotype 9 carrying shRNA for mouse GLP-1R (AAV9-GLP-1R-shRNA), shRNA for mouse GCGR (AAV9-GCGR-shRNA), and mouse nonsense control shRNA (AAV9-Control-shRNA) were purchased from Genechem (Shanghai, China). The adeno-associated virus was injected into mice (10</w:t>
      </w:r>
      <w:r>
        <w:rPr>
          <w:rFonts w:ascii="Arial" w:hAnsi="Arial" w:eastAsia="宋体" w:cs="Arial"/>
          <w:sz w:val="24"/>
          <w:vertAlign w:val="superscript"/>
          <w:lang w:bidi="ar"/>
        </w:rPr>
        <w:t>11</w:t>
      </w:r>
      <w:r>
        <w:rPr>
          <w:rFonts w:ascii="Arial" w:hAnsi="Arial" w:eastAsia="宋体" w:cs="Arial"/>
          <w:sz w:val="24"/>
          <w:lang w:bidi="ar"/>
        </w:rPr>
        <w:t xml:space="preserve"> v.g., via tail vein) to knock down GLP-1R and GCGR, respectively. Target sequences are listed in Supplementary Table 9.</w:t>
      </w:r>
    </w:p>
    <w:p>
      <w:pPr>
        <w:rPr>
          <w:rFonts w:ascii="Arial" w:hAnsi="Arial" w:eastAsia="宋体" w:cs="Arial"/>
          <w:sz w:val="24"/>
        </w:rPr>
      </w:pPr>
    </w:p>
    <w:p>
      <w:pPr>
        <w:rPr>
          <w:rFonts w:ascii="Arial" w:hAnsi="Arial" w:eastAsia="宋体" w:cs="Arial"/>
          <w:sz w:val="24"/>
        </w:rPr>
      </w:pPr>
      <w:r>
        <w:rPr>
          <w:rFonts w:ascii="Arial" w:hAnsi="Arial" w:eastAsia="宋体" w:cs="Arial"/>
          <w:sz w:val="24"/>
          <w:lang w:bidi="ar"/>
        </w:rPr>
        <w:t>Four weeks after administration with AAV9-RNAi to knock down GLP-1R or GCGR, GLP-1R</w:t>
      </w:r>
      <w:r>
        <w:rPr>
          <w:rFonts w:ascii="Arial" w:hAnsi="Arial" w:eastAsia="宋体" w:cs="Arial"/>
          <w:sz w:val="24"/>
          <w:vertAlign w:val="superscript"/>
          <w:lang w:bidi="ar"/>
        </w:rPr>
        <w:t>-/-</w:t>
      </w:r>
      <w:r>
        <w:rPr>
          <w:rFonts w:ascii="Arial" w:hAnsi="Arial" w:eastAsia="宋体" w:cs="Arial"/>
          <w:sz w:val="24"/>
          <w:lang w:bidi="ar"/>
        </w:rPr>
        <w:t xml:space="preserve"> or GCGR</w:t>
      </w:r>
      <w:r>
        <w:rPr>
          <w:rFonts w:ascii="Arial" w:hAnsi="Arial" w:eastAsia="宋体" w:cs="Arial"/>
          <w:sz w:val="24"/>
          <w:vertAlign w:val="superscript"/>
          <w:lang w:bidi="ar"/>
        </w:rPr>
        <w:t>-/-</w:t>
      </w:r>
      <w:r>
        <w:rPr>
          <w:rFonts w:ascii="Arial" w:hAnsi="Arial" w:eastAsia="宋体" w:cs="Arial"/>
          <w:sz w:val="24"/>
          <w:lang w:bidi="ar"/>
        </w:rPr>
        <w:t xml:space="preserve"> db/db mice were treated with semaglutide (120 μg/kg/d), glucagon (120 μg/kg/d) and 1907-B (120 μg/kg/2d) for 8 weeks to evaluate the pharmacological effects of 1907-B (n = 6 for per group; subcutaneous injection). Fasting blood glucose and body weight were measured every two days.</w:t>
      </w:r>
    </w:p>
    <w:p>
      <w:pPr>
        <w:rPr>
          <w:rFonts w:ascii="Arial" w:hAnsi="Arial" w:eastAsia="宋体" w:cs="Arial"/>
          <w:sz w:val="24"/>
        </w:rPr>
      </w:pPr>
    </w:p>
    <w:p>
      <w:pPr>
        <w:rPr>
          <w:rFonts w:ascii="Arial" w:hAnsi="Arial" w:eastAsia="宋体" w:cs="Arial"/>
          <w:color w:val="FF0000"/>
          <w:sz w:val="24"/>
        </w:rPr>
      </w:pPr>
      <w:r>
        <w:rPr>
          <w:rFonts w:ascii="Arial" w:hAnsi="Arial" w:eastAsia="宋体" w:cs="Arial"/>
          <w:sz w:val="24"/>
          <w:lang w:bidi="ar"/>
        </w:rPr>
        <w:t>Three weeks after administration with AAV9-RNAi to knock down GLP-1R or GCGR, GLP-1R</w:t>
      </w:r>
      <w:r>
        <w:rPr>
          <w:rFonts w:ascii="Arial" w:hAnsi="Arial" w:eastAsia="宋体" w:cs="Arial"/>
          <w:sz w:val="24"/>
          <w:vertAlign w:val="superscript"/>
          <w:lang w:bidi="ar"/>
        </w:rPr>
        <w:t>-/-</w:t>
      </w:r>
      <w:r>
        <w:rPr>
          <w:rFonts w:ascii="Arial" w:hAnsi="Arial" w:eastAsia="宋体" w:cs="Arial"/>
          <w:sz w:val="24"/>
          <w:lang w:bidi="ar"/>
        </w:rPr>
        <w:t xml:space="preserve"> or GCGR</w:t>
      </w:r>
      <w:r>
        <w:rPr>
          <w:rFonts w:ascii="Arial" w:hAnsi="Arial" w:eastAsia="宋体" w:cs="Arial"/>
          <w:sz w:val="24"/>
          <w:vertAlign w:val="superscript"/>
          <w:lang w:bidi="ar"/>
        </w:rPr>
        <w:t>-/-</w:t>
      </w:r>
      <w:r>
        <w:rPr>
          <w:rFonts w:ascii="Arial" w:hAnsi="Arial" w:eastAsia="宋体" w:cs="Arial"/>
          <w:sz w:val="24"/>
          <w:lang w:bidi="ar"/>
        </w:rPr>
        <w:t xml:space="preserve"> C57BL/6J mice were used to establish UUO model, as above described. To assess the pharmacological effects of 1907-B, GLP-1R</w:t>
      </w:r>
      <w:r>
        <w:rPr>
          <w:rFonts w:ascii="Arial" w:hAnsi="Arial" w:eastAsia="宋体" w:cs="Arial"/>
          <w:sz w:val="24"/>
          <w:vertAlign w:val="superscript"/>
          <w:lang w:bidi="ar"/>
        </w:rPr>
        <w:t>-/-</w:t>
      </w:r>
      <w:r>
        <w:rPr>
          <w:rFonts w:ascii="Arial" w:hAnsi="Arial" w:eastAsia="宋体" w:cs="Arial"/>
          <w:sz w:val="24"/>
          <w:lang w:bidi="ar"/>
        </w:rPr>
        <w:t xml:space="preserve"> or GCGR</w:t>
      </w:r>
      <w:r>
        <w:rPr>
          <w:rFonts w:ascii="Arial" w:hAnsi="Arial" w:eastAsia="宋体" w:cs="Arial"/>
          <w:sz w:val="24"/>
          <w:vertAlign w:val="superscript"/>
          <w:lang w:bidi="ar"/>
        </w:rPr>
        <w:t>-/-</w:t>
      </w:r>
      <w:r>
        <w:rPr>
          <w:rFonts w:ascii="Arial" w:hAnsi="Arial" w:eastAsia="宋体" w:cs="Arial"/>
          <w:sz w:val="24"/>
          <w:lang w:bidi="ar"/>
        </w:rPr>
        <w:t xml:space="preserve"> UUO mice were treated with semaglutide (120 μg/kg/d), glucagon (120 μg/kg/d) and 1907-B (120μg/kg/2d) for 14 days (n = 6 for per group; daily intraperitoneal injection). Kidneys were harvested 14 days after UUO surgery. </w:t>
      </w:r>
    </w:p>
    <w:p>
      <w:pPr>
        <w:rPr>
          <w:rFonts w:ascii="Arial" w:hAnsi="Arial" w:eastAsia="宋体" w:cs="Arial"/>
          <w:b/>
          <w:color w:val="FF0000"/>
          <w:sz w:val="24"/>
        </w:rPr>
      </w:pPr>
    </w:p>
    <w:p>
      <w:pPr>
        <w:rPr>
          <w:rFonts w:ascii="Arial" w:hAnsi="Arial" w:eastAsia="宋体" w:cs="Arial"/>
          <w:sz w:val="24"/>
          <w:highlight w:val="yellow"/>
        </w:rPr>
      </w:pPr>
      <w:r>
        <w:rPr>
          <w:rFonts w:ascii="Arial" w:hAnsi="Arial" w:eastAsia="宋体" w:cs="Arial"/>
          <w:b/>
          <w:sz w:val="24"/>
          <w:lang w:bidi="ar"/>
        </w:rPr>
        <w:t xml:space="preserve">Fasting blood glucose measure, OGTT and ITT. </w:t>
      </w:r>
      <w:r>
        <w:rPr>
          <w:rFonts w:ascii="Arial" w:hAnsi="Arial" w:eastAsia="宋体" w:cs="Arial"/>
          <w:sz w:val="24"/>
          <w:lang w:bidi="ar"/>
        </w:rPr>
        <w:t>Fasting blood glucose was evaluated utilizing blood from tail nicks by OneTouch UltraVue Blood Glucose Metet and test strips (Johnson &amp; Johnson, USA). After administrated with semaglutide, glucagon, 1907, 1917 or 1907-B, all mice were fasted for 6 hours and were performed fasting blood glucose assays.</w:t>
      </w:r>
    </w:p>
    <w:p>
      <w:pPr>
        <w:rPr>
          <w:rFonts w:ascii="Arial" w:hAnsi="Arial" w:eastAsia="宋体" w:cs="Arial"/>
          <w:sz w:val="24"/>
        </w:rPr>
      </w:pPr>
    </w:p>
    <w:p>
      <w:pPr>
        <w:rPr>
          <w:rFonts w:ascii="Arial" w:hAnsi="Arial" w:eastAsia="宋体" w:cs="Arial"/>
          <w:sz w:val="24"/>
        </w:rPr>
      </w:pPr>
      <w:r>
        <w:rPr>
          <w:rFonts w:ascii="Arial" w:hAnsi="Arial" w:eastAsia="宋体" w:cs="Arial"/>
          <w:sz w:val="24"/>
          <w:lang w:bidi="ar"/>
        </w:rPr>
        <w:t xml:space="preserve">For OGTT, KM or db/db mice were treated with 1901-1917 or 1907-B for indicated time. </w:t>
      </w:r>
      <w:bookmarkStart w:id="4" w:name="_Hlk80827712"/>
      <w:r>
        <w:rPr>
          <w:rFonts w:ascii="Arial" w:hAnsi="Arial" w:eastAsia="宋体" w:cs="Arial"/>
          <w:sz w:val="24"/>
          <w:lang w:bidi="ar"/>
        </w:rPr>
        <w:t>After fasting overnight</w:t>
      </w:r>
      <w:bookmarkEnd w:id="4"/>
      <w:r>
        <w:rPr>
          <w:rFonts w:ascii="Arial" w:hAnsi="Arial" w:eastAsia="宋体" w:cs="Arial"/>
          <w:sz w:val="24"/>
          <w:lang w:bidi="ar"/>
        </w:rPr>
        <w:t>, glucose solution (0.5 g/ml, Tianjin Zhiyuan Reagent Co., Ltd, China) were oral injected to mice (2 g/kg of body weight). Blood glucose level was recorded at baseline, 15, 30, 60, 90 and 120 min.</w:t>
      </w:r>
    </w:p>
    <w:p>
      <w:pPr>
        <w:rPr>
          <w:rFonts w:ascii="Arial" w:hAnsi="Arial" w:eastAsia="宋体" w:cs="Arial"/>
          <w:sz w:val="24"/>
        </w:rPr>
      </w:pPr>
    </w:p>
    <w:p>
      <w:pPr>
        <w:rPr>
          <w:rFonts w:ascii="Arial" w:hAnsi="Arial" w:eastAsia="宋体" w:cs="Arial"/>
          <w:sz w:val="24"/>
        </w:rPr>
      </w:pPr>
      <w:r>
        <w:rPr>
          <w:rFonts w:ascii="Arial" w:hAnsi="Arial" w:eastAsia="宋体" w:cs="Arial"/>
          <w:sz w:val="24"/>
          <w:lang w:bidi="ar"/>
        </w:rPr>
        <w:t>One week after OGTT assay, ITT in db/db mice was performed. After fasting for 6h, db/db mice were injected intraperitoneally with 0.25 U·kg</w:t>
      </w:r>
      <w:r>
        <w:rPr>
          <w:rFonts w:ascii="Arial" w:hAnsi="Arial" w:eastAsia="宋体" w:cs="Arial"/>
          <w:sz w:val="24"/>
          <w:vertAlign w:val="superscript"/>
          <w:lang w:bidi="ar"/>
        </w:rPr>
        <w:t>−1</w:t>
      </w:r>
      <w:r>
        <w:rPr>
          <w:rFonts w:ascii="Arial" w:hAnsi="Arial" w:eastAsia="宋体" w:cs="Arial"/>
          <w:sz w:val="24"/>
          <w:lang w:bidi="ar"/>
        </w:rPr>
        <w:t xml:space="preserve"> insulin (Novolin R, Denmark). Blood glucose level was assessed at 15, 30, 60 and 90 min.</w:t>
      </w:r>
    </w:p>
    <w:p>
      <w:pPr>
        <w:rPr>
          <w:rFonts w:ascii="Arial" w:hAnsi="Arial" w:eastAsia="宋体" w:cs="Arial"/>
          <w:b/>
          <w:sz w:val="24"/>
        </w:rPr>
      </w:pPr>
    </w:p>
    <w:p>
      <w:pPr>
        <w:rPr>
          <w:rFonts w:ascii="Arial" w:hAnsi="Arial" w:eastAsia="宋体" w:cs="Arial"/>
          <w:color w:val="FF0000"/>
          <w:sz w:val="24"/>
        </w:rPr>
      </w:pPr>
      <w:r>
        <w:rPr>
          <w:rFonts w:ascii="Arial" w:hAnsi="Arial" w:eastAsia="宋体" w:cs="Arial"/>
          <w:b/>
          <w:sz w:val="24"/>
          <w:lang w:bidi="ar"/>
        </w:rPr>
        <w:t xml:space="preserve">Biochemical assays. </w:t>
      </w:r>
      <w:r>
        <w:rPr>
          <w:rFonts w:ascii="Arial" w:hAnsi="Arial" w:eastAsia="宋体" w:cs="Arial"/>
          <w:sz w:val="24"/>
          <w:lang w:bidi="ar"/>
        </w:rPr>
        <w:t>The levels of serum creatinine, blood urea nitrogen, 24 h-albuminuria, urine glucose, serum ALT, serum AST, serum TC and serum TG were determined using the corresponding assay kits (Nanjing Jiancheng Bioengineering Institute, China). The levels of insulin in db/db mice serum were examined utilizing relative ELISA kits (Cloud-Clone Corp, China) referring to the protocols. The HbA1c levels in serum of db/db mice were measured using A1CNow</w:t>
      </w:r>
      <w:r>
        <w:rPr>
          <w:rFonts w:ascii="Arial" w:hAnsi="Arial" w:eastAsia="宋体" w:cs="Arial"/>
          <w:sz w:val="24"/>
          <w:vertAlign w:val="superscript"/>
          <w:lang w:bidi="ar"/>
        </w:rPr>
        <w:t>®</w:t>
      </w:r>
      <w:r>
        <w:rPr>
          <w:rFonts w:ascii="Arial" w:hAnsi="Arial" w:eastAsia="宋体" w:cs="Arial"/>
          <w:sz w:val="24"/>
          <w:lang w:bidi="ar"/>
        </w:rPr>
        <w:t>+ following the manufacture’s instruction (Sinocare, China). The levels of GSH, the activities of CAT and SOD in kidneys of db/db mice were assessed according to the standard protocols provided by manufacture (Nanjing Jiancheng Bioengineering Institute, China).</w:t>
      </w:r>
    </w:p>
    <w:p>
      <w:pPr>
        <w:rPr>
          <w:rFonts w:ascii="Arial" w:hAnsi="Arial" w:eastAsia="宋体" w:cs="Arial"/>
          <w:b/>
          <w:color w:val="FF0000"/>
          <w:sz w:val="24"/>
        </w:rPr>
      </w:pPr>
    </w:p>
    <w:p>
      <w:pPr>
        <w:rPr>
          <w:rFonts w:ascii="Arial" w:hAnsi="Arial" w:eastAsia="宋体" w:cs="Arial"/>
          <w:color w:val="FF0000"/>
          <w:sz w:val="24"/>
        </w:rPr>
      </w:pPr>
      <w:r>
        <w:rPr>
          <w:rFonts w:ascii="Arial" w:hAnsi="Arial" w:eastAsia="宋体" w:cs="Arial"/>
          <w:b/>
          <w:sz w:val="24"/>
          <w:lang w:bidi="ar"/>
        </w:rPr>
        <w:t xml:space="preserve">Surface plasmon resonance assay. </w:t>
      </w:r>
      <w:r>
        <w:rPr>
          <w:rFonts w:ascii="Arial" w:hAnsi="Arial" w:eastAsia="宋体" w:cs="Arial"/>
          <w:sz w:val="24"/>
          <w:lang w:bidi="ar"/>
        </w:rPr>
        <w:t>SPR assays were used to assessed the peptides 1907 and 1907-B binding affinities of human serum albumin (HSA) via Biacore 8K, a high-sensitivity SPR system (Cytiva, United Kingdom). Following the standard amine coupling protocol, HSA was overlaid on the sensor. 1907 or 1907-B was dissolved respectively to a series of concentrations in running buffer (PBS, pH = 7.4, Sigma-Aldrich Ltd., Merck, Germany). Samples were permitted to flow through the chip surface at the flow rate of 25 μL/min. After each injection cycle, the surface was injected 25 μL of 10 mM NaOH (Sigma-Aldrich Ltd., Merck, Germany)</w:t>
      </w:r>
      <w:r>
        <w:rPr>
          <w:rFonts w:ascii="Arial" w:hAnsi="Arial" w:eastAsia="宋体" w:cs="Arial"/>
          <w:color w:val="FF0000"/>
          <w:sz w:val="24"/>
          <w:lang w:bidi="ar"/>
        </w:rPr>
        <w:t xml:space="preserve"> </w:t>
      </w:r>
      <w:r>
        <w:rPr>
          <w:rFonts w:ascii="Arial" w:hAnsi="Arial" w:eastAsia="宋体" w:cs="Arial"/>
          <w:sz w:val="24"/>
          <w:lang w:bidi="ar"/>
        </w:rPr>
        <w:t>twice to regeneration. The data were fit by Biacore 8K analysis software (Cytiva) to calculate the binding constants of 1907 or 1907-B.</w:t>
      </w:r>
    </w:p>
    <w:p>
      <w:pPr>
        <w:rPr>
          <w:rFonts w:ascii="Arial" w:hAnsi="Arial" w:eastAsia="宋体" w:cs="Arial"/>
          <w:b/>
          <w:color w:val="FF0000"/>
          <w:sz w:val="24"/>
        </w:rPr>
      </w:pPr>
    </w:p>
    <w:p>
      <w:pPr>
        <w:rPr>
          <w:rFonts w:ascii="Arial" w:hAnsi="Arial" w:eastAsia="宋体" w:cs="Arial"/>
          <w:color w:val="FF0000"/>
          <w:sz w:val="24"/>
        </w:rPr>
      </w:pPr>
      <w:r>
        <w:rPr>
          <w:rFonts w:ascii="Arial" w:hAnsi="Arial" w:eastAsia="宋体" w:cs="Arial"/>
          <w:b/>
          <w:sz w:val="24"/>
          <w:lang w:bidi="ar"/>
        </w:rPr>
        <w:t xml:space="preserve">Isothermal titration calorimetry. </w:t>
      </w:r>
      <w:r>
        <w:rPr>
          <w:rFonts w:ascii="Arial" w:hAnsi="Arial" w:eastAsia="宋体" w:cs="Arial"/>
          <w:sz w:val="24"/>
          <w:lang w:bidi="ar"/>
        </w:rPr>
        <w:t>ITC assays were performed on a Microcal VP-ITC (Malvern Instruments Ltd) in PBS (pH = 7.4) at 37℃. In all experiments, 1907, 1907-B or GGSGSG was in the syringe and human serum albumin was in the sample cell. The data was analyzed using Origin 7.0 software. Heats of dilution were assessed using the final injections of each individual titration and subtracted before data analysis.</w:t>
      </w:r>
    </w:p>
    <w:p>
      <w:pPr>
        <w:rPr>
          <w:rFonts w:ascii="Arial" w:hAnsi="Arial" w:eastAsia="宋体" w:cs="Arial"/>
          <w:b/>
          <w:sz w:val="24"/>
        </w:rPr>
      </w:pPr>
    </w:p>
    <w:p>
      <w:pPr>
        <w:rPr>
          <w:rFonts w:ascii="Arial" w:hAnsi="Arial" w:eastAsia="宋体" w:cs="Arial"/>
          <w:color w:val="FF0000"/>
          <w:sz w:val="24"/>
        </w:rPr>
      </w:pPr>
      <w:r>
        <w:rPr>
          <w:rFonts w:ascii="Arial" w:hAnsi="Arial" w:eastAsia="宋体" w:cs="Arial"/>
          <w:b/>
          <w:sz w:val="24"/>
          <w:lang w:bidi="ar"/>
        </w:rPr>
        <w:t xml:space="preserve">Mitochondrial oxygen consumption. </w:t>
      </w:r>
      <w:r>
        <w:rPr>
          <w:rFonts w:ascii="Arial" w:hAnsi="Arial" w:eastAsia="宋体" w:cs="Arial"/>
          <w:sz w:val="24"/>
          <w:lang w:bidi="ar"/>
        </w:rPr>
        <w:t xml:space="preserve">The evaluation of mitochondrial oxygen consumption was performed using the Seahorse Xfe96 Analyzer (Agilent). The </w:t>
      </w:r>
      <w:r>
        <w:rPr>
          <w:rFonts w:ascii="Arial" w:hAnsi="Arial" w:eastAsia="宋体" w:cs="Arial"/>
          <w:bCs/>
          <w:sz w:val="24"/>
          <w:lang w:bidi="ar"/>
        </w:rPr>
        <w:t>m</w:t>
      </w:r>
      <w:r>
        <w:rPr>
          <w:rFonts w:ascii="Arial" w:hAnsi="Arial" w:eastAsia="宋体" w:cs="Arial"/>
          <w:sz w:val="24"/>
          <w:lang w:bidi="ar"/>
        </w:rPr>
        <w:t>TEC cells or GMC cells were plated at a density of 5000 cells per well and were administrated as mentioned above. Prior to being placed in the Seahorse Xfe96 Analyzer, the plate was placed in a CO</w:t>
      </w:r>
      <w:r>
        <w:rPr>
          <w:rFonts w:ascii="Arial" w:hAnsi="Arial" w:eastAsia="宋体" w:cs="Arial"/>
          <w:sz w:val="24"/>
          <w:vertAlign w:val="subscript"/>
          <w:lang w:bidi="ar"/>
        </w:rPr>
        <w:t>2</w:t>
      </w:r>
      <w:r>
        <w:rPr>
          <w:rFonts w:ascii="Arial" w:hAnsi="Arial" w:eastAsia="宋体" w:cs="Arial"/>
          <w:sz w:val="24"/>
          <w:lang w:bidi="ar"/>
        </w:rPr>
        <w:t>-free incubator for 30 min. 1 µM oligomycin (Agilent), 0.5 µM FCCP (Agilent) and 5 µM antimycin A (Agilent) were used in the mitochondrial stress test according to the standard protocols. The OCRs were normalized to the protein mass.</w:t>
      </w:r>
    </w:p>
    <w:p>
      <w:pPr>
        <w:rPr>
          <w:rFonts w:ascii="Arial" w:hAnsi="Arial" w:eastAsia="宋体" w:cs="Arial"/>
          <w:b/>
          <w:sz w:val="24"/>
        </w:rPr>
      </w:pPr>
    </w:p>
    <w:p>
      <w:pPr>
        <w:rPr>
          <w:rFonts w:ascii="Arial" w:hAnsi="Arial" w:eastAsia="宋体" w:cs="Arial"/>
          <w:sz w:val="24"/>
        </w:rPr>
      </w:pPr>
      <w:r>
        <w:rPr>
          <w:rFonts w:ascii="Arial" w:hAnsi="Arial" w:eastAsia="宋体" w:cs="Arial"/>
          <w:b/>
          <w:sz w:val="24"/>
          <w:lang w:bidi="ar"/>
        </w:rPr>
        <w:t xml:space="preserve">Histological examination. </w:t>
      </w:r>
      <w:r>
        <w:rPr>
          <w:rFonts w:ascii="Arial" w:hAnsi="Arial" w:eastAsia="宋体" w:cs="Arial"/>
          <w:sz w:val="24"/>
          <w:lang w:bidi="ar"/>
        </w:rPr>
        <w:t>Formalin-fixed kidney tissues embedded in paraffin were sectioned into 5 μm slices. After deparaffinization and rehydration, the Hematoxylin and Eosin (H&amp;E), Sirius Red staining and Masson staining for collagen and Periodic Acid-Schiff for glycogen accumulation were performed in section slices, referring to the standard protocols, respectively.</w:t>
      </w:r>
    </w:p>
    <w:p>
      <w:pPr>
        <w:rPr>
          <w:rFonts w:ascii="Arial" w:hAnsi="Arial" w:eastAsia="宋体" w:cs="Arial"/>
          <w:b/>
          <w:sz w:val="24"/>
        </w:rPr>
      </w:pPr>
    </w:p>
    <w:p>
      <w:pPr>
        <w:rPr>
          <w:rFonts w:ascii="Arial" w:hAnsi="Arial" w:eastAsia="宋体" w:cs="Arial"/>
          <w:color w:val="FF0000"/>
          <w:sz w:val="24"/>
        </w:rPr>
      </w:pPr>
      <w:r>
        <w:rPr>
          <w:rFonts w:ascii="Arial" w:hAnsi="Arial" w:eastAsia="宋体" w:cs="Arial"/>
          <w:b/>
          <w:sz w:val="24"/>
          <w:lang w:bidi="ar"/>
        </w:rPr>
        <w:t xml:space="preserve">Immunohistochemistry staining. </w:t>
      </w:r>
      <w:r>
        <w:rPr>
          <w:rFonts w:ascii="Arial" w:hAnsi="Arial" w:eastAsia="宋体" w:cs="Arial"/>
          <w:sz w:val="24"/>
          <w:lang w:bidi="ar"/>
        </w:rPr>
        <w:t>For immunofluorescent staining, after deparaffinization and rehydration, antigen retrieval was carried out by heating section slices in 10 mM sodium citrate buffer (pH 6.0) for 15 min. The section slices were then incubated with 3% hydrogen peroxide for 10 min to eliminate the endogenous peroxidase activity. Next, section slices were blocked with 1% BSA solution for 1 h at room temperature, and then were incubated with primary antibodies at 4℃ overnight following secondary antibodies for 1 h. After administrated with DAB, hematoxylin staining was performed in the section slices. The antibodies used for immunohistochemistry staining are described in Supplementary Table 10.</w:t>
      </w:r>
    </w:p>
    <w:p>
      <w:pPr>
        <w:rPr>
          <w:rFonts w:ascii="Arial" w:hAnsi="Arial" w:eastAsia="宋体" w:cs="Arial"/>
          <w:b/>
          <w:sz w:val="24"/>
        </w:rPr>
      </w:pPr>
    </w:p>
    <w:p>
      <w:pPr>
        <w:rPr>
          <w:rFonts w:ascii="Arial" w:hAnsi="Arial" w:eastAsia="宋体" w:cs="Arial"/>
          <w:sz w:val="24"/>
        </w:rPr>
      </w:pPr>
      <w:r>
        <w:rPr>
          <w:rFonts w:ascii="Arial" w:hAnsi="Arial" w:eastAsia="宋体" w:cs="Arial"/>
          <w:b/>
          <w:sz w:val="24"/>
          <w:lang w:bidi="ar"/>
        </w:rPr>
        <w:t xml:space="preserve">Immunofluorescent staining. </w:t>
      </w:r>
      <w:r>
        <w:rPr>
          <w:rFonts w:ascii="Arial" w:hAnsi="Arial" w:eastAsia="宋体" w:cs="Arial"/>
          <w:sz w:val="24"/>
          <w:lang w:bidi="ar"/>
        </w:rPr>
        <w:t>For immunofluorescent staining, after deparaffinization and rehydration, antigen retrieval was carried out by heating section slices in 10 mM sodium citrate buffer (pH 6.0) for 15 min.</w:t>
      </w:r>
      <w:r>
        <w:rPr>
          <w:rFonts w:ascii="Arial" w:hAnsi="Arial" w:eastAsia="宋体" w:cs="Arial"/>
          <w:color w:val="FF0000"/>
          <w:sz w:val="24"/>
          <w:lang w:bidi="ar"/>
        </w:rPr>
        <w:t xml:space="preserve"> </w:t>
      </w:r>
      <w:r>
        <w:rPr>
          <w:rFonts w:ascii="Arial" w:hAnsi="Arial" w:eastAsia="宋体" w:cs="Arial"/>
          <w:sz w:val="24"/>
          <w:lang w:bidi="ar"/>
        </w:rPr>
        <w:t>Next, section slices were blocked with 1% BSA solution for 1 h at room temperature, and then were incubated with primary antibodies at 4℃ overnight following secondary antibodies for 1 h. Nucleus were counterstained with DAPI. The staining was viewed and photographed under the confocal microscopy. The antibodies used for immunofluorescent staining are described in Supplementary Table 10.</w:t>
      </w:r>
    </w:p>
    <w:p>
      <w:pPr>
        <w:rPr>
          <w:rFonts w:ascii="Arial" w:hAnsi="Arial" w:eastAsia="宋体" w:cs="Arial"/>
          <w:b/>
          <w:sz w:val="24"/>
        </w:rPr>
      </w:pPr>
    </w:p>
    <w:p>
      <w:pPr>
        <w:rPr>
          <w:rFonts w:ascii="Arial" w:hAnsi="Arial" w:eastAsia="宋体" w:cs="Arial"/>
          <w:sz w:val="24"/>
        </w:rPr>
      </w:pPr>
      <w:r>
        <w:rPr>
          <w:rFonts w:ascii="Arial" w:hAnsi="Arial" w:eastAsia="宋体" w:cs="Arial"/>
          <w:b/>
          <w:sz w:val="24"/>
          <w:lang w:bidi="ar"/>
        </w:rPr>
        <w:t xml:space="preserve">Protein isolation and western blotting. </w:t>
      </w:r>
      <w:r>
        <w:rPr>
          <w:rFonts w:ascii="Arial" w:hAnsi="Arial" w:eastAsia="宋体" w:cs="Arial"/>
          <w:sz w:val="24"/>
          <w:lang w:bidi="ar"/>
        </w:rPr>
        <w:t>Total protein extracts from mTEC cells, GMC cells or kidney tissues using RIPA (Beyotime Biotechnology, China). The concentration of protein was assessed by the BCA Kit (Pierce, ThermoFisher Scientific, USA). Thirty micrograms protein were separated by 10% or 12% sodium dodecyl sulfate-polyacrylamide gel electrophoresis depending on the band of target protein. Next, the proteins in gel were transferred onto equilibrated polyvinylidene difluoride membrane (PVDF, Immobilon®-PSQ transfer membranes, Merck Millipore, Germany). Membranes were blocked by 5% skim milk and then interacted overnight with primary antibodies at 4℃, following HRP-labeled secondary antibody at room temperature for 1 h. The blots were detected by enhanced chemiluminescence (Glarity</w:t>
      </w:r>
      <w:r>
        <w:rPr>
          <w:rFonts w:ascii="Arial" w:hAnsi="Arial" w:eastAsia="宋体" w:cs="Arial"/>
          <w:sz w:val="24"/>
          <w:vertAlign w:val="superscript"/>
          <w:lang w:bidi="ar"/>
        </w:rPr>
        <w:t>TM</w:t>
      </w:r>
      <w:r>
        <w:rPr>
          <w:rFonts w:ascii="Arial" w:hAnsi="Arial" w:eastAsia="宋体" w:cs="Arial"/>
          <w:sz w:val="24"/>
          <w:lang w:bidi="ar"/>
        </w:rPr>
        <w:t xml:space="preserve"> Western ECL Substrate, Bio-Rad, USA) and the signals were recorded and quantified via Tanon-Image Software (Shanghai, China). Data normalization was performed using reference antibody GAPDH. The antibodies used for western botting are described in Supplementary Table 10.</w:t>
      </w:r>
    </w:p>
    <w:p>
      <w:pPr>
        <w:rPr>
          <w:rFonts w:ascii="Arial" w:hAnsi="Arial" w:eastAsia="宋体" w:cs="Arial"/>
          <w:b/>
          <w:sz w:val="24"/>
        </w:rPr>
      </w:pPr>
    </w:p>
    <w:p>
      <w:pPr>
        <w:rPr>
          <w:rFonts w:ascii="Arial" w:hAnsi="Arial" w:eastAsia="宋体" w:cs="Arial"/>
          <w:sz w:val="24"/>
        </w:rPr>
      </w:pPr>
      <w:r>
        <w:rPr>
          <w:rFonts w:ascii="Arial" w:hAnsi="Arial" w:eastAsia="宋体" w:cs="Arial"/>
          <w:b/>
          <w:sz w:val="24"/>
          <w:lang w:bidi="ar"/>
        </w:rPr>
        <w:t xml:space="preserve">RNA isolation and quantitative real-time polymerase chain reaction. </w:t>
      </w:r>
      <w:r>
        <w:rPr>
          <w:rFonts w:ascii="Arial" w:hAnsi="Arial" w:eastAsia="宋体" w:cs="Arial"/>
          <w:sz w:val="24"/>
          <w:lang w:bidi="ar"/>
        </w:rPr>
        <w:t>Total RNA was isolated and purified using TRIZOL Reagent (Invitrogen, Massachusetts, USA) from kidney tissues, following the manufacturer’s instructions. The concentration of RNA was assessed by Nanodrop 2000 (ThermoFisher Scientific, USA). First Strand cDNA synthesis Super Mix (TransGen Biotech, China) was used to reverse transcribe 4 μg of total RNA into cDNA. Quantitative real-time PCR (qRT-PCR) was performed in the Light Cycler 480 Real-Time PCR System (Roche, Swiss) using SYBR Green qPCR Super Mix (TransGen Biotech, China). The Cp values were calculated and the data was normalized to the housekeeping expression (β-actin). Primers sequences are described in Supplementary Table 11.</w:t>
      </w:r>
    </w:p>
    <w:p>
      <w:pPr>
        <w:rPr>
          <w:rFonts w:ascii="Arial" w:hAnsi="Arial" w:eastAsia="宋体" w:cs="Arial"/>
          <w:b/>
          <w:sz w:val="24"/>
        </w:rPr>
      </w:pPr>
    </w:p>
    <w:p>
      <w:pPr>
        <w:rPr>
          <w:rFonts w:ascii="Arial" w:hAnsi="Arial" w:eastAsia="宋体" w:cs="Arial"/>
          <w:sz w:val="24"/>
        </w:rPr>
      </w:pPr>
      <w:r>
        <w:rPr>
          <w:rFonts w:ascii="Arial" w:hAnsi="Arial" w:eastAsia="宋体" w:cs="Arial"/>
          <w:b/>
          <w:sz w:val="24"/>
          <w:lang w:bidi="ar"/>
        </w:rPr>
        <w:t xml:space="preserve">RNA sequencing. </w:t>
      </w:r>
      <w:r>
        <w:rPr>
          <w:rFonts w:ascii="Arial" w:hAnsi="Arial" w:eastAsia="宋体" w:cs="Arial"/>
          <w:sz w:val="24"/>
          <w:lang w:bidi="ar"/>
        </w:rPr>
        <w:t>The isolation and prurition of total RNA from kidney tissues were perform as mentioned above.</w:t>
      </w:r>
      <w:r>
        <w:rPr>
          <w:rFonts w:ascii="Arial" w:hAnsi="Arial" w:eastAsia="宋体" w:cs="Arial"/>
          <w:color w:val="FF0000"/>
          <w:sz w:val="24"/>
          <w:lang w:bidi="ar"/>
        </w:rPr>
        <w:t xml:space="preserve"> </w:t>
      </w:r>
      <w:r>
        <w:rPr>
          <w:rFonts w:ascii="Arial" w:hAnsi="Arial" w:eastAsia="宋体" w:cs="Arial"/>
          <w:sz w:val="24"/>
          <w:lang w:bidi="ar"/>
        </w:rPr>
        <w:t>RNA libraries were sequenced on the Illumina sequencing platform by LC-BIO Co., Ltd (HangZhou, China).</w:t>
      </w:r>
    </w:p>
    <w:p>
      <w:pPr>
        <w:rPr>
          <w:rFonts w:ascii="Arial" w:hAnsi="Arial" w:eastAsia="宋体" w:cs="Arial"/>
          <w:color w:val="FF0000"/>
          <w:sz w:val="24"/>
        </w:rPr>
      </w:pPr>
    </w:p>
    <w:p>
      <w:pPr>
        <w:rPr>
          <w:rFonts w:ascii="Arial" w:hAnsi="Arial" w:eastAsia="宋体" w:cs="Arial"/>
          <w:sz w:val="24"/>
        </w:rPr>
      </w:pPr>
      <w:r>
        <w:rPr>
          <w:rFonts w:ascii="Arial" w:hAnsi="Arial" w:eastAsia="宋体" w:cs="Arial"/>
          <w:b/>
          <w:sz w:val="24"/>
          <w:lang w:bidi="ar"/>
        </w:rPr>
        <w:t xml:space="preserve">Gene Set Enrichment Analysis. </w:t>
      </w:r>
      <w:r>
        <w:rPr>
          <w:rFonts w:ascii="Arial" w:hAnsi="Arial" w:eastAsia="宋体" w:cs="Arial"/>
          <w:sz w:val="24"/>
          <w:lang w:bidi="ar"/>
        </w:rPr>
        <w:t>Gene Set Enrichment Analysis (GSEA) was performed using the OmicShare tools, a free online platform for data analysis (http://www.omicshare.com/tools). For each KEGG biological pathway, involved genes were defined as a gene set, and then a ranked list and a ‘gene set’ permutation type of the gene set were constructed. Gene sets with |NES|&gt;1，NOM p-values &lt;0.05 and FDR q-values &lt; 0.25 were considered statistically significant.</w:t>
      </w:r>
    </w:p>
    <w:p>
      <w:pPr>
        <w:rPr>
          <w:rFonts w:ascii="Arial" w:hAnsi="Arial" w:eastAsia="宋体" w:cs="Arial"/>
          <w:b/>
          <w:sz w:val="24"/>
        </w:rPr>
      </w:pPr>
    </w:p>
    <w:p>
      <w:pPr>
        <w:rPr>
          <w:rFonts w:ascii="Arial" w:hAnsi="Arial" w:eastAsia="宋体" w:cs="Arial"/>
          <w:szCs w:val="21"/>
        </w:rPr>
      </w:pPr>
      <w:r>
        <w:rPr>
          <w:rFonts w:ascii="Arial" w:hAnsi="Arial" w:eastAsia="宋体" w:cs="Arial"/>
          <w:b/>
          <w:sz w:val="24"/>
          <w:lang w:bidi="ar"/>
        </w:rPr>
        <w:t xml:space="preserve">Quantification and Statistical Analysis. </w:t>
      </w:r>
      <w:r>
        <w:rPr>
          <w:rFonts w:ascii="Arial" w:hAnsi="Arial" w:eastAsia="宋体" w:cs="Arial"/>
          <w:sz w:val="24"/>
          <w:lang w:bidi="ar"/>
        </w:rPr>
        <w:t>The positive area of stained slices was quantified by ImageJ (</w:t>
      </w:r>
      <w:r>
        <w:fldChar w:fldCharType="begin"/>
      </w:r>
      <w:r>
        <w:instrText xml:space="preserve"> HYPERLINK "https://imagej.nih.gov/ij/" </w:instrText>
      </w:r>
      <w:r>
        <w:fldChar w:fldCharType="separate"/>
      </w:r>
      <w:r>
        <w:rPr>
          <w:rStyle w:val="8"/>
          <w:rFonts w:ascii="Arial" w:hAnsi="Arial" w:eastAsia="宋体" w:cs="Arial"/>
          <w:color w:val="0563C1"/>
          <w:sz w:val="24"/>
        </w:rPr>
        <w:t>https://imagej.nih.gov/ij/</w:t>
      </w:r>
      <w:r>
        <w:rPr>
          <w:rStyle w:val="8"/>
          <w:rFonts w:ascii="Arial" w:hAnsi="Arial" w:eastAsia="宋体" w:cs="Arial"/>
          <w:color w:val="0563C1"/>
          <w:sz w:val="24"/>
        </w:rPr>
        <w:fldChar w:fldCharType="end"/>
      </w:r>
      <w:r>
        <w:rPr>
          <w:rFonts w:ascii="Arial" w:hAnsi="Arial" w:eastAsia="宋体" w:cs="Arial"/>
          <w:sz w:val="24"/>
          <w:lang w:bidi="ar"/>
        </w:rPr>
        <w:t>). All data in this study were shown as the mean ± SD (Standard Deviation). GraphPad Prism 9.0 software (</w:t>
      </w:r>
      <w:r>
        <w:fldChar w:fldCharType="begin"/>
      </w:r>
      <w:r>
        <w:instrText xml:space="preserve"> HYPERLINK "https://www.graphpad.com/" </w:instrText>
      </w:r>
      <w:r>
        <w:fldChar w:fldCharType="separate"/>
      </w:r>
      <w:r>
        <w:rPr>
          <w:rStyle w:val="8"/>
          <w:rFonts w:ascii="Arial" w:hAnsi="Arial" w:eastAsia="宋体" w:cs="Arial"/>
          <w:color w:val="0563C1"/>
          <w:sz w:val="24"/>
        </w:rPr>
        <w:t>https://www.graphpad.com/</w:t>
      </w:r>
      <w:r>
        <w:rPr>
          <w:rStyle w:val="8"/>
          <w:rFonts w:ascii="Arial" w:hAnsi="Arial" w:eastAsia="宋体" w:cs="Arial"/>
          <w:color w:val="0563C1"/>
          <w:sz w:val="24"/>
        </w:rPr>
        <w:fldChar w:fldCharType="end"/>
      </w:r>
      <w:r>
        <w:rPr>
          <w:rFonts w:ascii="Arial" w:hAnsi="Arial" w:eastAsia="宋体" w:cs="Arial"/>
          <w:sz w:val="24"/>
          <w:lang w:bidi="ar"/>
        </w:rPr>
        <w:t xml:space="preserve">) was used to determine the statistical significance. The differences were compared using Student’s t-test and significance was considered when </w:t>
      </w:r>
      <w:r>
        <w:rPr>
          <w:rFonts w:ascii="Arial" w:hAnsi="Arial" w:eastAsia="宋体" w:cs="Arial"/>
          <w:i/>
          <w:sz w:val="24"/>
          <w:lang w:bidi="ar"/>
        </w:rPr>
        <w:t>p</w:t>
      </w:r>
      <w:r>
        <w:rPr>
          <w:rFonts w:ascii="Arial" w:hAnsi="Arial" w:eastAsia="宋体" w:cs="Arial"/>
          <w:sz w:val="24"/>
          <w:lang w:bidi="ar"/>
        </w:rPr>
        <w:t xml:space="preserve"> &lt; 0.05.</w:t>
      </w:r>
    </w:p>
    <w:p>
      <w:pPr>
        <w:spacing w:line="360" w:lineRule="auto"/>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spacing w:line="360" w:lineRule="auto"/>
        <w:rPr>
          <w:rFonts w:ascii="Arial" w:hAnsi="Arial" w:cs="Arial"/>
          <w:bCs/>
          <w:i/>
          <w:iCs/>
        </w:rPr>
      </w:pPr>
    </w:p>
    <w:p>
      <w:pPr>
        <w:rPr>
          <w:rFonts w:ascii="Arial" w:hAnsi="Arial" w:eastAsia="宋体" w:cs="Arial"/>
          <w:b/>
          <w:bCs/>
          <w:sz w:val="28"/>
          <w:szCs w:val="28"/>
          <w:lang w:bidi="ar"/>
        </w:rPr>
      </w:pPr>
      <w:r>
        <w:rPr>
          <w:rFonts w:ascii="Arial" w:hAnsi="Arial" w:eastAsia="宋体" w:cs="Arial"/>
          <w:b/>
          <w:bCs/>
          <w:sz w:val="28"/>
          <w:szCs w:val="28"/>
          <w:lang w:bidi="ar"/>
        </w:rPr>
        <w:t>Supplementary Figures</w:t>
      </w:r>
    </w:p>
    <w:p>
      <w:pPr>
        <w:rPr>
          <w:rFonts w:ascii="Arial" w:hAnsi="Arial" w:cs="Arial"/>
          <w:sz w:val="24"/>
        </w:rPr>
      </w:pPr>
      <w:r>
        <w:rPr>
          <w:rFonts w:ascii="Arial" w:hAnsi="Arial" w:cs="Arial"/>
          <w:sz w:val="24"/>
        </w:rPr>
        <w:drawing>
          <wp:inline distT="0" distB="0" distL="114300" distR="114300">
            <wp:extent cx="5269230" cy="7446010"/>
            <wp:effectExtent l="0" t="0" r="7620" b="2540"/>
            <wp:docPr id="7" name="图片 7" descr="Figure-S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S1-01"/>
                    <pic:cNvPicPr>
                      <a:picLocks noChangeAspect="1"/>
                    </pic:cNvPicPr>
                  </pic:nvPicPr>
                  <pic:blipFill>
                    <a:blip r:embed="rId5"/>
                    <a:stretch>
                      <a:fillRect/>
                    </a:stretch>
                  </pic:blipFill>
                  <pic:spPr>
                    <a:xfrm>
                      <a:off x="0" y="0"/>
                      <a:ext cx="5269230" cy="7446010"/>
                    </a:xfrm>
                    <a:prstGeom prst="rect">
                      <a:avLst/>
                    </a:prstGeom>
                  </pic:spPr>
                </pic:pic>
              </a:graphicData>
            </a:graphic>
          </wp:inline>
        </w:drawing>
      </w:r>
    </w:p>
    <w:p>
      <w:pPr>
        <w:rPr>
          <w:rFonts w:ascii="Arial" w:hAnsi="Arial" w:cs="Arial"/>
          <w:sz w:val="24"/>
        </w:rPr>
      </w:pPr>
    </w:p>
    <w:p>
      <w:pPr>
        <w:widowControl/>
        <w:shd w:val="clear" w:color="auto" w:fill="FFFFFF"/>
        <w:spacing w:line="53" w:lineRule="atLeast"/>
        <w:outlineLvl w:val="0"/>
        <w:rPr>
          <w:rFonts w:ascii="Arial" w:hAnsi="Arial" w:eastAsia="宋体" w:cs="Arial"/>
          <w:bCs/>
          <w:sz w:val="20"/>
          <w:szCs w:val="20"/>
        </w:rPr>
      </w:pPr>
      <w:bookmarkStart w:id="5" w:name="OLE_LINK304"/>
      <w:bookmarkStart w:id="6" w:name="OLE_LINK305"/>
      <w:bookmarkStart w:id="7" w:name="OLE_LINK1"/>
      <w:r>
        <w:rPr>
          <w:rFonts w:ascii="Arial" w:hAnsi="Arial" w:cs="Arial"/>
          <w:b/>
          <w:sz w:val="20"/>
          <w:szCs w:val="20"/>
        </w:rPr>
        <w:t>Supplementary Fig.1</w:t>
      </w:r>
      <w:bookmarkEnd w:id="5"/>
      <w:bookmarkEnd w:id="6"/>
      <w:r>
        <w:rPr>
          <w:rFonts w:ascii="Arial" w:hAnsi="Arial" w:cs="Arial"/>
          <w:b/>
          <w:sz w:val="20"/>
          <w:szCs w:val="20"/>
        </w:rPr>
        <w:t xml:space="preserve"> | Peptide design and </w:t>
      </w:r>
      <w:r>
        <w:rPr>
          <w:rFonts w:ascii="Arial" w:hAnsi="Arial" w:cs="Arial"/>
          <w:b/>
          <w:i/>
          <w:iCs/>
          <w:sz w:val="20"/>
          <w:szCs w:val="20"/>
        </w:rPr>
        <w:t>in vitro</w:t>
      </w:r>
      <w:r>
        <w:rPr>
          <w:rFonts w:ascii="Arial" w:hAnsi="Arial" w:cs="Arial"/>
          <w:b/>
          <w:sz w:val="20"/>
          <w:szCs w:val="20"/>
        </w:rPr>
        <w:t xml:space="preserve"> screening for GLP-1R/GCGR analogues. </w:t>
      </w:r>
      <w:r>
        <w:rPr>
          <w:rFonts w:ascii="Arial" w:hAnsi="Arial" w:eastAsia="宋体" w:cs="Arial"/>
          <w:b/>
          <w:bCs/>
          <w:iCs/>
          <w:kern w:val="44"/>
          <w:sz w:val="20"/>
          <w:szCs w:val="20"/>
        </w:rPr>
        <w:t xml:space="preserve">a, </w:t>
      </w:r>
      <w:r>
        <w:rPr>
          <w:rFonts w:ascii="Arial" w:hAnsi="Arial" w:eastAsia="宋体" w:cs="Arial"/>
          <w:bCs/>
          <w:iCs/>
          <w:kern w:val="44"/>
          <w:sz w:val="20"/>
          <w:szCs w:val="20"/>
        </w:rPr>
        <w:t>Sequence information of GLP-1, Glucagon, Liraglutide, Semaglutide and GLP-1R/GCGR dual-agonist analogues and</w:t>
      </w:r>
      <w:r>
        <w:rPr>
          <w:rFonts w:ascii="Arial" w:hAnsi="Arial" w:eastAsia="宋体" w:cs="Arial"/>
          <w:bCs/>
          <w:kern w:val="44"/>
          <w:sz w:val="20"/>
          <w:szCs w:val="20"/>
        </w:rPr>
        <w:t xml:space="preserve"> the chemical structures of their linkers and protractors. </w:t>
      </w:r>
      <w:r>
        <w:rPr>
          <w:rFonts w:ascii="Arial" w:hAnsi="Arial" w:eastAsia="宋体" w:cs="Arial"/>
          <w:b/>
          <w:bCs/>
          <w:kern w:val="44"/>
          <w:sz w:val="20"/>
          <w:szCs w:val="20"/>
        </w:rPr>
        <w:t>b,</w:t>
      </w:r>
      <w:r>
        <w:rPr>
          <w:rFonts w:ascii="Arial" w:hAnsi="Arial" w:eastAsia="宋体" w:cs="Arial"/>
          <w:bCs/>
          <w:kern w:val="44"/>
          <w:sz w:val="20"/>
          <w:szCs w:val="20"/>
        </w:rPr>
        <w:t xml:space="preserve"> </w:t>
      </w:r>
      <w:r>
        <w:rPr>
          <w:rFonts w:ascii="Arial" w:hAnsi="Arial" w:eastAsia="宋体" w:cs="Arial"/>
          <w:bCs/>
          <w:sz w:val="20"/>
          <w:szCs w:val="20"/>
        </w:rPr>
        <w:t xml:space="preserve">Circular dichroism of </w:t>
      </w:r>
      <w:r>
        <w:rPr>
          <w:rFonts w:ascii="Arial" w:hAnsi="Arial" w:eastAsia="宋体" w:cs="Arial"/>
          <w:bCs/>
          <w:iCs/>
          <w:kern w:val="44"/>
          <w:sz w:val="20"/>
          <w:szCs w:val="20"/>
        </w:rPr>
        <w:t>GLP-1, Glucagon, Liraglutide, Semaglutide and GLP-1R/GCGR dual-agonist analogues</w:t>
      </w:r>
      <w:r>
        <w:rPr>
          <w:rFonts w:ascii="Arial" w:hAnsi="Arial" w:eastAsia="宋体" w:cs="Arial"/>
          <w:bCs/>
          <w:sz w:val="20"/>
          <w:szCs w:val="20"/>
        </w:rPr>
        <w:t xml:space="preserve">. </w:t>
      </w:r>
      <w:r>
        <w:rPr>
          <w:rFonts w:ascii="Arial" w:hAnsi="Arial" w:eastAsia="宋体" w:cs="Arial"/>
          <w:b/>
          <w:bCs/>
          <w:sz w:val="20"/>
          <w:szCs w:val="20"/>
        </w:rPr>
        <w:t>c,</w:t>
      </w:r>
      <w:r>
        <w:rPr>
          <w:rFonts w:ascii="Arial" w:hAnsi="Arial" w:eastAsia="宋体" w:cs="Arial"/>
          <w:bCs/>
          <w:sz w:val="20"/>
          <w:szCs w:val="20"/>
        </w:rPr>
        <w:t xml:space="preserve"> The expression level of key protein α-SMA in mTEC cells of the indicated groups. </w:t>
      </w:r>
      <w:r>
        <w:rPr>
          <w:rFonts w:ascii="Arial" w:hAnsi="Arial" w:eastAsia="宋体" w:cs="Arial"/>
          <w:b/>
          <w:bCs/>
          <w:sz w:val="20"/>
          <w:szCs w:val="20"/>
        </w:rPr>
        <w:t>d,</w:t>
      </w:r>
      <w:r>
        <w:rPr>
          <w:rFonts w:ascii="Arial" w:hAnsi="Arial" w:eastAsia="宋体" w:cs="Arial"/>
          <w:bCs/>
          <w:sz w:val="20"/>
          <w:szCs w:val="20"/>
        </w:rPr>
        <w:t xml:space="preserve"> The expression level of key protein FN in GMC cells of the indicated groups.</w:t>
      </w:r>
      <w:bookmarkEnd w:id="7"/>
    </w:p>
    <w:p>
      <w:pPr>
        <w:widowControl/>
        <w:shd w:val="clear" w:color="auto" w:fill="FFFFFF"/>
        <w:spacing w:line="53" w:lineRule="atLeast"/>
        <w:outlineLvl w:val="0"/>
        <w:rPr>
          <w:rFonts w:ascii="Arial" w:hAnsi="Arial" w:eastAsia="宋体" w:cs="Arial"/>
          <w:bCs/>
          <w:sz w:val="20"/>
          <w:szCs w:val="20"/>
        </w:rPr>
      </w:pPr>
      <w:r>
        <w:rPr>
          <w:rFonts w:ascii="Arial" w:hAnsi="Arial" w:eastAsia="宋体" w:cs="Arial"/>
          <w:bCs/>
          <w:sz w:val="20"/>
          <w:szCs w:val="20"/>
        </w:rPr>
        <w:drawing>
          <wp:inline distT="0" distB="0" distL="114300" distR="114300">
            <wp:extent cx="5269230" cy="4669790"/>
            <wp:effectExtent l="0" t="0" r="7620" b="6985"/>
            <wp:docPr id="8" name="图片 8" descr="Figure-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S2-01"/>
                    <pic:cNvPicPr>
                      <a:picLocks noChangeAspect="1"/>
                    </pic:cNvPicPr>
                  </pic:nvPicPr>
                  <pic:blipFill>
                    <a:blip r:embed="rId6"/>
                    <a:srcRect b="37285"/>
                    <a:stretch>
                      <a:fillRect/>
                    </a:stretch>
                  </pic:blipFill>
                  <pic:spPr>
                    <a:xfrm>
                      <a:off x="0" y="0"/>
                      <a:ext cx="5269230" cy="4669790"/>
                    </a:xfrm>
                    <a:prstGeom prst="rect">
                      <a:avLst/>
                    </a:prstGeom>
                  </pic:spPr>
                </pic:pic>
              </a:graphicData>
            </a:graphic>
          </wp:inline>
        </w:drawing>
      </w:r>
    </w:p>
    <w:p>
      <w:pPr>
        <w:rPr>
          <w:rFonts w:ascii="Arial" w:hAnsi="Arial" w:cs="Arial"/>
          <w:sz w:val="24"/>
        </w:rPr>
      </w:pPr>
    </w:p>
    <w:p>
      <w:pPr>
        <w:rPr>
          <w:rFonts w:ascii="Arial" w:hAnsi="Arial" w:cs="Arial"/>
          <w:sz w:val="24"/>
        </w:rPr>
      </w:pPr>
      <w:r>
        <w:rPr>
          <w:rFonts w:ascii="Arial" w:hAnsi="Arial" w:cs="Arial"/>
          <w:b/>
          <w:sz w:val="20"/>
          <w:szCs w:val="20"/>
        </w:rPr>
        <w:t xml:space="preserve">Supplementary Fig.2 | OGTT screening for GLP-1R/GCGR analogues in KM mice. </w:t>
      </w:r>
      <w:r>
        <w:rPr>
          <w:rFonts w:ascii="Arial" w:hAnsi="Arial" w:eastAsia="宋体" w:cs="Arial"/>
          <w:b/>
          <w:bCs/>
          <w:iCs/>
          <w:kern w:val="44"/>
          <w:sz w:val="20"/>
          <w:szCs w:val="20"/>
        </w:rPr>
        <w:t xml:space="preserve">a-b, </w:t>
      </w:r>
      <w:r>
        <w:rPr>
          <w:rFonts w:ascii="Arial" w:hAnsi="Arial" w:eastAsia="宋体" w:cs="Arial"/>
          <w:bCs/>
          <w:iCs/>
          <w:kern w:val="44"/>
          <w:sz w:val="20"/>
          <w:szCs w:val="20"/>
        </w:rPr>
        <w:t>Oral glucose tolerance test (OGTT) was performed at 8 h and 12 h after peptides administration, respectively. The corresponding area under curves (AUC) of blood glucose levels were calculated.</w:t>
      </w:r>
      <w:r>
        <w:rPr>
          <w:rFonts w:ascii="Arial" w:hAnsi="Arial" w:eastAsia="宋体" w:cs="Arial"/>
          <w:bCs/>
          <w:kern w:val="44"/>
          <w:sz w:val="20"/>
          <w:szCs w:val="20"/>
        </w:rPr>
        <w:t xml:space="preserve"> </w:t>
      </w:r>
      <w:r>
        <w:rPr>
          <w:rFonts w:ascii="Arial" w:hAnsi="Arial" w:eastAsia="宋体" w:cs="Arial"/>
          <w:b/>
          <w:bCs/>
          <w:kern w:val="44"/>
          <w:sz w:val="20"/>
          <w:szCs w:val="20"/>
        </w:rPr>
        <w:t>c,</w:t>
      </w:r>
      <w:r>
        <w:rPr>
          <w:rFonts w:ascii="Arial" w:hAnsi="Arial" w:eastAsia="宋体" w:cs="Arial"/>
          <w:bCs/>
          <w:kern w:val="44"/>
          <w:sz w:val="20"/>
          <w:szCs w:val="20"/>
        </w:rPr>
        <w:t xml:space="preserve"> </w:t>
      </w:r>
      <w:r>
        <w:rPr>
          <w:rFonts w:ascii="Arial" w:hAnsi="Arial" w:eastAsia="宋体" w:cs="Arial"/>
          <w:bCs/>
          <w:sz w:val="20"/>
          <w:szCs w:val="20"/>
        </w:rPr>
        <w:t>Oral glucose tolerance test (OGTT) was performed at the 24 h after Liraglutide, Semaglutide, 1907 or 19017 administrations, respectively. The corresponding area under curves (AUC) of blood glucose levels were calculated.</w:t>
      </w:r>
    </w:p>
    <w:p>
      <w:pPr>
        <w:rPr>
          <w:rFonts w:ascii="Arial" w:hAnsi="Arial" w:cs="Arial"/>
          <w:sz w:val="24"/>
        </w:rPr>
      </w:pPr>
      <w:r>
        <w:rPr>
          <w:rFonts w:ascii="Arial" w:hAnsi="Arial" w:cs="Arial"/>
          <w:sz w:val="24"/>
        </w:rPr>
        <w:drawing>
          <wp:inline distT="0" distB="0" distL="114300" distR="114300">
            <wp:extent cx="5269230" cy="4959985"/>
            <wp:effectExtent l="0" t="0" r="7620" b="2540"/>
            <wp:docPr id="9" name="图片 9" descr="Figure-S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S3-01"/>
                    <pic:cNvPicPr>
                      <a:picLocks noChangeAspect="1"/>
                    </pic:cNvPicPr>
                  </pic:nvPicPr>
                  <pic:blipFill>
                    <a:blip r:embed="rId7"/>
                    <a:srcRect b="33387"/>
                    <a:stretch>
                      <a:fillRect/>
                    </a:stretch>
                  </pic:blipFill>
                  <pic:spPr>
                    <a:xfrm>
                      <a:off x="0" y="0"/>
                      <a:ext cx="5269230" cy="4959985"/>
                    </a:xfrm>
                    <a:prstGeom prst="rect">
                      <a:avLst/>
                    </a:prstGeom>
                  </pic:spPr>
                </pic:pic>
              </a:graphicData>
            </a:graphic>
          </wp:inline>
        </w:drawing>
      </w:r>
    </w:p>
    <w:p>
      <w:pPr>
        <w:rPr>
          <w:rFonts w:ascii="Arial" w:hAnsi="Arial" w:cs="Arial"/>
          <w:sz w:val="24"/>
        </w:rPr>
      </w:pPr>
    </w:p>
    <w:p>
      <w:pPr>
        <w:rPr>
          <w:rFonts w:ascii="Arial" w:hAnsi="Arial" w:cs="Arial"/>
          <w:b/>
          <w:sz w:val="24"/>
        </w:rPr>
        <w:sectPr>
          <w:footerReference r:id="rId3" w:type="default"/>
          <w:pgSz w:w="11906" w:h="16838"/>
          <w:pgMar w:top="1440" w:right="1800" w:bottom="1440" w:left="1800" w:header="851" w:footer="992" w:gutter="0"/>
          <w:cols w:space="425" w:num="1"/>
          <w:docGrid w:type="lines" w:linePitch="312" w:charSpace="0"/>
        </w:sectPr>
      </w:pPr>
      <w:r>
        <w:rPr>
          <w:rFonts w:ascii="Arial" w:hAnsi="Arial" w:cs="Arial"/>
          <w:b/>
          <w:sz w:val="20"/>
          <w:szCs w:val="20"/>
        </w:rPr>
        <w:t xml:space="preserve">Supplementary Fig.3 | Concentration optimization of 1907 and 1917 in db/db model. </w:t>
      </w:r>
      <w:r>
        <w:rPr>
          <w:rFonts w:ascii="Arial" w:hAnsi="Arial" w:eastAsia="宋体" w:cs="Arial"/>
          <w:b/>
          <w:bCs/>
          <w:iCs/>
          <w:kern w:val="44"/>
          <w:sz w:val="20"/>
          <w:szCs w:val="20"/>
        </w:rPr>
        <w:t>a,</w:t>
      </w:r>
      <w:r>
        <w:rPr>
          <w:rFonts w:ascii="Arial" w:hAnsi="Arial" w:eastAsia="宋体" w:cs="Arial"/>
          <w:bCs/>
          <w:kern w:val="44"/>
          <w:sz w:val="20"/>
          <w:szCs w:val="20"/>
        </w:rPr>
        <w:t xml:space="preserve"> The fasting blood glucose and change in body weight of db/db mice during 12 days administration with 80 </w:t>
      </w:r>
      <w:bookmarkStart w:id="8" w:name="OLE_LINK2"/>
      <w:r>
        <w:rPr>
          <w:rFonts w:ascii="Arial" w:hAnsi="Arial" w:eastAsia="宋体" w:cs="Arial"/>
          <w:bCs/>
          <w:kern w:val="44"/>
          <w:sz w:val="20"/>
          <w:szCs w:val="20"/>
        </w:rPr>
        <w:t>μg/kg</w:t>
      </w:r>
      <w:bookmarkEnd w:id="8"/>
      <w:r>
        <w:rPr>
          <w:rFonts w:ascii="Arial" w:hAnsi="Arial" w:eastAsia="宋体" w:cs="Arial"/>
          <w:bCs/>
          <w:kern w:val="44"/>
          <w:sz w:val="20"/>
          <w:szCs w:val="20"/>
        </w:rPr>
        <w:t xml:space="preserve"> or 120 μg/kg/2d Semaglutide. </w:t>
      </w:r>
      <w:r>
        <w:rPr>
          <w:rFonts w:ascii="Arial" w:hAnsi="Arial" w:eastAsia="宋体" w:cs="Arial"/>
          <w:b/>
          <w:bCs/>
          <w:kern w:val="44"/>
          <w:sz w:val="20"/>
          <w:szCs w:val="20"/>
        </w:rPr>
        <w:t>b-c,</w:t>
      </w:r>
      <w:r>
        <w:rPr>
          <w:rFonts w:ascii="Arial" w:hAnsi="Arial" w:eastAsia="宋体" w:cs="Arial"/>
          <w:bCs/>
          <w:kern w:val="44"/>
          <w:sz w:val="20"/>
          <w:szCs w:val="20"/>
        </w:rPr>
        <w:t xml:space="preserve"> The fasting blood glucose and change in body weight of db/db mice during 12 days administration with Semaglutide, 1907 or 1917 at the dose of 80, 100 and 120 μg/kg. </w:t>
      </w:r>
      <w:r>
        <w:rPr>
          <w:rFonts w:ascii="Arial" w:hAnsi="Arial" w:eastAsia="宋体" w:cs="Arial"/>
          <w:b/>
          <w:bCs/>
          <w:sz w:val="20"/>
          <w:szCs w:val="20"/>
        </w:rPr>
        <w:t>d,</w:t>
      </w:r>
      <w:r>
        <w:rPr>
          <w:rFonts w:ascii="Arial" w:hAnsi="Arial" w:eastAsia="宋体" w:cs="Arial"/>
          <w:bCs/>
          <w:sz w:val="20"/>
          <w:szCs w:val="20"/>
        </w:rPr>
        <w:t xml:space="preserve"> The average food-intake and water inflow of db/db mice treated with </w:t>
      </w:r>
      <w:r>
        <w:rPr>
          <w:rFonts w:ascii="Arial" w:hAnsi="Arial" w:eastAsia="宋体" w:cs="Arial"/>
          <w:bCs/>
          <w:kern w:val="44"/>
          <w:sz w:val="20"/>
          <w:szCs w:val="20"/>
        </w:rPr>
        <w:t>Semaglutide, 1907 or 1917.</w:t>
      </w:r>
    </w:p>
    <w:p>
      <w:pPr>
        <w:rPr>
          <w:rFonts w:ascii="Arial" w:hAnsi="Arial" w:cs="Arial"/>
          <w:sz w:val="24"/>
        </w:rPr>
      </w:pPr>
      <w:r>
        <w:rPr>
          <w:rFonts w:ascii="Arial" w:hAnsi="Arial" w:cs="Arial"/>
          <w:sz w:val="24"/>
        </w:rPr>
        <w:drawing>
          <wp:inline distT="0" distB="0" distL="114300" distR="114300">
            <wp:extent cx="5269230" cy="4597400"/>
            <wp:effectExtent l="0" t="0" r="7620" b="3175"/>
            <wp:docPr id="12" name="图片 12" descr="Figure-S4-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S4-02-01"/>
                    <pic:cNvPicPr>
                      <a:picLocks noChangeAspect="1"/>
                    </pic:cNvPicPr>
                  </pic:nvPicPr>
                  <pic:blipFill>
                    <a:blip r:embed="rId8"/>
                    <a:srcRect b="38257"/>
                    <a:stretch>
                      <a:fillRect/>
                    </a:stretch>
                  </pic:blipFill>
                  <pic:spPr>
                    <a:xfrm>
                      <a:off x="0" y="0"/>
                      <a:ext cx="5269230" cy="4597400"/>
                    </a:xfrm>
                    <a:prstGeom prst="rect">
                      <a:avLst/>
                    </a:prstGeom>
                  </pic:spPr>
                </pic:pic>
              </a:graphicData>
            </a:graphic>
          </wp:inline>
        </w:drawing>
      </w:r>
    </w:p>
    <w:p>
      <w:pPr>
        <w:rPr>
          <w:rFonts w:ascii="Arial" w:hAnsi="Arial" w:cs="Arial"/>
          <w:b/>
          <w:sz w:val="20"/>
          <w:szCs w:val="20"/>
        </w:rPr>
      </w:pPr>
    </w:p>
    <w:p>
      <w:pPr>
        <w:rPr>
          <w:rFonts w:ascii="Arial" w:hAnsi="Arial" w:cs="Arial"/>
          <w:sz w:val="24"/>
        </w:rPr>
      </w:pPr>
      <w:r>
        <w:rPr>
          <w:rFonts w:ascii="Arial" w:hAnsi="Arial" w:cs="Arial"/>
          <w:b/>
          <w:sz w:val="20"/>
          <w:szCs w:val="20"/>
        </w:rPr>
        <w:t xml:space="preserve">Supplementary Fig.4 | </w:t>
      </w:r>
      <w:r>
        <w:rPr>
          <w:rFonts w:ascii="Arial" w:hAnsi="Arial" w:cs="Arial"/>
          <w:b/>
          <w:i/>
          <w:iCs/>
          <w:sz w:val="20"/>
          <w:szCs w:val="20"/>
        </w:rPr>
        <w:t>In vivo</w:t>
      </w:r>
      <w:r>
        <w:rPr>
          <w:rFonts w:ascii="Arial" w:hAnsi="Arial" w:cs="Arial"/>
          <w:b/>
          <w:sz w:val="20"/>
          <w:szCs w:val="20"/>
        </w:rPr>
        <w:t xml:space="preserve"> evaluation of 1907 and 1917 in db/db model. </w:t>
      </w:r>
      <w:r>
        <w:rPr>
          <w:rFonts w:ascii="Arial" w:hAnsi="Arial" w:eastAsia="宋体" w:cs="Arial"/>
          <w:b/>
          <w:bCs/>
          <w:iCs/>
          <w:kern w:val="44"/>
          <w:sz w:val="20"/>
          <w:szCs w:val="20"/>
        </w:rPr>
        <w:t xml:space="preserve">a, </w:t>
      </w:r>
      <w:r>
        <w:rPr>
          <w:rFonts w:ascii="Arial" w:hAnsi="Arial" w:eastAsia="宋体" w:cs="Arial"/>
          <w:bCs/>
          <w:iCs/>
          <w:kern w:val="44"/>
          <w:sz w:val="20"/>
          <w:szCs w:val="20"/>
        </w:rPr>
        <w:t xml:space="preserve">Representative macrograph of db/db mice </w:t>
      </w:r>
      <w:r>
        <w:rPr>
          <w:rFonts w:ascii="Arial" w:hAnsi="Arial" w:eastAsia="宋体" w:cs="Arial"/>
          <w:bCs/>
          <w:sz w:val="20"/>
          <w:szCs w:val="20"/>
        </w:rPr>
        <w:t>of the indicated groups</w:t>
      </w:r>
      <w:r>
        <w:rPr>
          <w:rFonts w:ascii="Arial" w:hAnsi="Arial" w:eastAsia="宋体" w:cs="Arial"/>
          <w:bCs/>
          <w:iCs/>
          <w:kern w:val="44"/>
          <w:sz w:val="20"/>
          <w:szCs w:val="20"/>
        </w:rPr>
        <w:t xml:space="preserve"> and their epididymal fat and liver, and images of H&amp;E staining of liver.</w:t>
      </w:r>
      <w:r>
        <w:rPr>
          <w:rFonts w:ascii="Arial" w:hAnsi="Arial" w:eastAsia="宋体" w:cs="Arial"/>
          <w:bCs/>
          <w:kern w:val="44"/>
          <w:sz w:val="20"/>
          <w:szCs w:val="20"/>
        </w:rPr>
        <w:t xml:space="preserve"> </w:t>
      </w:r>
      <w:r>
        <w:rPr>
          <w:rFonts w:ascii="Arial" w:hAnsi="Arial" w:eastAsia="宋体" w:cs="Arial"/>
          <w:b/>
          <w:bCs/>
          <w:kern w:val="44"/>
          <w:sz w:val="20"/>
          <w:szCs w:val="20"/>
        </w:rPr>
        <w:t>b,</w:t>
      </w:r>
      <w:r>
        <w:rPr>
          <w:rFonts w:ascii="Arial" w:hAnsi="Arial" w:eastAsia="宋体" w:cs="Arial"/>
          <w:bCs/>
          <w:kern w:val="44"/>
          <w:sz w:val="20"/>
          <w:szCs w:val="20"/>
        </w:rPr>
        <w:t xml:space="preserve"> The change in body weight </w:t>
      </w:r>
      <w:r>
        <w:rPr>
          <w:rFonts w:ascii="Arial" w:hAnsi="Arial" w:eastAsia="宋体" w:cs="Arial"/>
          <w:bCs/>
          <w:iCs/>
          <w:kern w:val="44"/>
          <w:sz w:val="20"/>
          <w:szCs w:val="20"/>
        </w:rPr>
        <w:t xml:space="preserve">of db/db mice </w:t>
      </w:r>
      <w:r>
        <w:rPr>
          <w:rFonts w:ascii="Arial" w:hAnsi="Arial" w:eastAsia="宋体" w:cs="Arial"/>
          <w:bCs/>
          <w:sz w:val="20"/>
          <w:szCs w:val="20"/>
        </w:rPr>
        <w:t>of the indicated groups</w:t>
      </w:r>
      <w:r>
        <w:rPr>
          <w:rFonts w:ascii="Arial" w:hAnsi="Arial" w:eastAsia="宋体" w:cs="Arial"/>
          <w:b/>
          <w:bCs/>
          <w:kern w:val="44"/>
          <w:sz w:val="20"/>
          <w:szCs w:val="20"/>
        </w:rPr>
        <w:t xml:space="preserve"> </w:t>
      </w:r>
      <w:r>
        <w:rPr>
          <w:rFonts w:ascii="Arial" w:hAnsi="Arial" w:eastAsia="宋体" w:cs="Arial"/>
          <w:bCs/>
          <w:kern w:val="44"/>
          <w:sz w:val="20"/>
          <w:szCs w:val="20"/>
        </w:rPr>
        <w:t>in the administration and their BMI at the study termination.</w:t>
      </w:r>
      <w:r>
        <w:rPr>
          <w:rFonts w:ascii="Arial" w:hAnsi="Arial" w:eastAsia="宋体" w:cs="Arial"/>
          <w:b/>
          <w:bCs/>
          <w:kern w:val="44"/>
          <w:sz w:val="20"/>
          <w:szCs w:val="20"/>
        </w:rPr>
        <w:t xml:space="preserve"> c, </w:t>
      </w:r>
      <w:r>
        <w:rPr>
          <w:rFonts w:ascii="Arial" w:hAnsi="Arial" w:eastAsia="宋体" w:cs="Arial"/>
          <w:bCs/>
          <w:sz w:val="20"/>
          <w:szCs w:val="20"/>
        </w:rPr>
        <w:t>The average food-intake and water inflow of db/db mice of the indicated groups.</w:t>
      </w:r>
      <w:r>
        <w:rPr>
          <w:rFonts w:ascii="Arial" w:hAnsi="Arial" w:eastAsia="宋体" w:cs="Arial"/>
          <w:bCs/>
          <w:kern w:val="44"/>
          <w:sz w:val="20"/>
          <w:szCs w:val="20"/>
        </w:rPr>
        <w:t xml:space="preserve"> </w:t>
      </w:r>
      <w:r>
        <w:rPr>
          <w:rFonts w:ascii="Arial" w:hAnsi="Arial" w:eastAsia="宋体" w:cs="Arial"/>
          <w:b/>
          <w:bCs/>
          <w:sz w:val="20"/>
          <w:szCs w:val="20"/>
        </w:rPr>
        <w:t>d,</w:t>
      </w:r>
      <w:r>
        <w:rPr>
          <w:rFonts w:ascii="Arial" w:hAnsi="Arial" w:eastAsia="宋体" w:cs="Arial"/>
          <w:bCs/>
          <w:sz w:val="20"/>
          <w:szCs w:val="20"/>
        </w:rPr>
        <w:t xml:space="preserve"> The liver weight, liver index and the weight of epididymis fat of db/db mice of the indicated groups. </w:t>
      </w:r>
      <w:r>
        <w:rPr>
          <w:rFonts w:ascii="Arial" w:hAnsi="Arial" w:eastAsia="宋体" w:cs="Arial"/>
          <w:b/>
          <w:bCs/>
          <w:sz w:val="20"/>
          <w:szCs w:val="20"/>
        </w:rPr>
        <w:t xml:space="preserve">e, </w:t>
      </w:r>
      <w:r>
        <w:rPr>
          <w:rFonts w:ascii="Arial" w:hAnsi="Arial" w:eastAsia="宋体" w:cs="Arial"/>
          <w:bCs/>
          <w:sz w:val="20"/>
          <w:szCs w:val="20"/>
        </w:rPr>
        <w:t xml:space="preserve">The serum ALT, AST, TC and TG </w:t>
      </w:r>
      <w:bookmarkStart w:id="9" w:name="OLE_LINK4"/>
      <w:bookmarkStart w:id="10" w:name="OLE_LINK3"/>
      <w:r>
        <w:rPr>
          <w:rFonts w:ascii="Arial" w:hAnsi="Arial" w:eastAsia="宋体" w:cs="Arial"/>
          <w:bCs/>
          <w:sz w:val="20"/>
          <w:szCs w:val="20"/>
        </w:rPr>
        <w:t>of db/db mice of the indicated groups</w:t>
      </w:r>
      <w:bookmarkEnd w:id="9"/>
      <w:bookmarkEnd w:id="10"/>
      <w:r>
        <w:rPr>
          <w:rFonts w:ascii="Arial" w:hAnsi="Arial" w:eastAsia="宋体" w:cs="Arial"/>
          <w:bCs/>
          <w:sz w:val="20"/>
          <w:szCs w:val="20"/>
        </w:rPr>
        <w:t>.</w:t>
      </w:r>
    </w:p>
    <w:p>
      <w:pPr>
        <w:rPr>
          <w:rFonts w:ascii="Arial" w:hAnsi="Arial" w:cs="Arial"/>
          <w:sz w:val="24"/>
        </w:rPr>
      </w:pPr>
      <w:r>
        <w:rPr>
          <w:rFonts w:ascii="Arial" w:hAnsi="Arial" w:cs="Arial"/>
          <w:sz w:val="24"/>
        </w:rPr>
        <w:drawing>
          <wp:inline distT="0" distB="0" distL="114300" distR="114300">
            <wp:extent cx="5269230" cy="4107815"/>
            <wp:effectExtent l="0" t="0" r="7620" b="6985"/>
            <wp:docPr id="10" name="图片 10" descr="Figure-S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S4-01"/>
                    <pic:cNvPicPr>
                      <a:picLocks noChangeAspect="1"/>
                    </pic:cNvPicPr>
                  </pic:nvPicPr>
                  <pic:blipFill>
                    <a:blip r:embed="rId9"/>
                    <a:srcRect b="44832"/>
                    <a:stretch>
                      <a:fillRect/>
                    </a:stretch>
                  </pic:blipFill>
                  <pic:spPr>
                    <a:xfrm>
                      <a:off x="0" y="0"/>
                      <a:ext cx="5269230" cy="4107815"/>
                    </a:xfrm>
                    <a:prstGeom prst="rect">
                      <a:avLst/>
                    </a:prstGeom>
                  </pic:spPr>
                </pic:pic>
              </a:graphicData>
            </a:graphic>
          </wp:inline>
        </w:drawing>
      </w:r>
    </w:p>
    <w:p>
      <w:pPr>
        <w:rPr>
          <w:rFonts w:ascii="Arial" w:hAnsi="Arial" w:cs="Arial"/>
          <w:sz w:val="24"/>
        </w:rPr>
      </w:pPr>
    </w:p>
    <w:p>
      <w:pPr>
        <w:rPr>
          <w:rFonts w:ascii="Arial" w:hAnsi="Arial" w:cs="Arial"/>
          <w:b/>
          <w:sz w:val="24"/>
        </w:rPr>
      </w:pPr>
      <w:r>
        <w:rPr>
          <w:rFonts w:ascii="Arial" w:hAnsi="Arial" w:cs="Arial"/>
          <w:b/>
          <w:sz w:val="20"/>
          <w:szCs w:val="20"/>
        </w:rPr>
        <w:t xml:space="preserve">Supplementary Fig.5 | </w:t>
      </w:r>
      <w:r>
        <w:rPr>
          <w:rFonts w:ascii="Arial" w:hAnsi="Arial" w:cs="Arial"/>
          <w:b/>
          <w:i/>
          <w:iCs/>
          <w:sz w:val="20"/>
          <w:szCs w:val="20"/>
        </w:rPr>
        <w:t>In vivo</w:t>
      </w:r>
      <w:r>
        <w:rPr>
          <w:rFonts w:ascii="Arial" w:hAnsi="Arial" w:cs="Arial"/>
          <w:b/>
          <w:sz w:val="20"/>
          <w:szCs w:val="20"/>
        </w:rPr>
        <w:t xml:space="preserve"> evaluation of 1907 and 1917 for renal function and islets in db/db model. </w:t>
      </w:r>
      <w:r>
        <w:rPr>
          <w:rFonts w:ascii="Arial" w:hAnsi="Arial" w:eastAsia="宋体" w:cs="Arial"/>
          <w:b/>
          <w:bCs/>
          <w:iCs/>
          <w:kern w:val="44"/>
          <w:sz w:val="20"/>
          <w:szCs w:val="20"/>
        </w:rPr>
        <w:t>a,</w:t>
      </w:r>
      <w:r>
        <w:rPr>
          <w:rFonts w:ascii="Arial" w:hAnsi="Arial" w:eastAsia="宋体" w:cs="Arial"/>
          <w:bCs/>
          <w:kern w:val="44"/>
          <w:sz w:val="20"/>
          <w:szCs w:val="20"/>
        </w:rPr>
        <w:t xml:space="preserve"> </w:t>
      </w:r>
      <w:r>
        <w:rPr>
          <w:rFonts w:ascii="Arial" w:hAnsi="Arial" w:eastAsia="宋体" w:cs="Arial"/>
          <w:bCs/>
          <w:iCs/>
          <w:kern w:val="44"/>
          <w:sz w:val="20"/>
          <w:szCs w:val="20"/>
        </w:rPr>
        <w:t xml:space="preserve">Representative macrograph of kidneys from db/db mice </w:t>
      </w:r>
      <w:r>
        <w:rPr>
          <w:rFonts w:ascii="Arial" w:hAnsi="Arial" w:eastAsia="宋体" w:cs="Arial"/>
          <w:bCs/>
          <w:sz w:val="20"/>
          <w:szCs w:val="20"/>
        </w:rPr>
        <w:t>administrated with Semaglutide, 1907 or 1917.</w:t>
      </w:r>
      <w:r>
        <w:rPr>
          <w:rFonts w:ascii="Arial" w:hAnsi="Arial" w:eastAsia="宋体" w:cs="Arial"/>
          <w:bCs/>
          <w:kern w:val="44"/>
          <w:sz w:val="20"/>
          <w:szCs w:val="20"/>
        </w:rPr>
        <w:t xml:space="preserve"> </w:t>
      </w:r>
      <w:r>
        <w:rPr>
          <w:rFonts w:ascii="Arial" w:hAnsi="Arial" w:eastAsia="宋体" w:cs="Arial"/>
          <w:b/>
          <w:bCs/>
          <w:kern w:val="44"/>
          <w:sz w:val="20"/>
          <w:szCs w:val="20"/>
        </w:rPr>
        <w:t>b,</w:t>
      </w:r>
      <w:r>
        <w:rPr>
          <w:rFonts w:ascii="Arial" w:hAnsi="Arial" w:eastAsia="宋体" w:cs="Arial"/>
          <w:bCs/>
          <w:kern w:val="44"/>
          <w:sz w:val="20"/>
          <w:szCs w:val="20"/>
        </w:rPr>
        <w:t xml:space="preserve"> </w:t>
      </w:r>
      <w:r>
        <w:rPr>
          <w:rFonts w:ascii="Arial" w:hAnsi="Arial" w:eastAsia="宋体" w:cs="Arial"/>
          <w:bCs/>
          <w:sz w:val="20"/>
          <w:szCs w:val="20"/>
        </w:rPr>
        <w:t xml:space="preserve">Representative images of immunohistochemistry staining of α-SMA and TGF-β1 on kidneys from db/db mice at indicated groups and statistical positive area, respectively. </w:t>
      </w:r>
      <w:r>
        <w:rPr>
          <w:rFonts w:ascii="Arial" w:hAnsi="Arial" w:eastAsia="宋体" w:cs="Arial"/>
          <w:b/>
          <w:bCs/>
          <w:kern w:val="44"/>
          <w:sz w:val="20"/>
          <w:szCs w:val="20"/>
        </w:rPr>
        <w:t>c,</w:t>
      </w:r>
      <w:r>
        <w:rPr>
          <w:rFonts w:ascii="Arial" w:hAnsi="Arial" w:eastAsia="宋体" w:cs="Arial"/>
          <w:bCs/>
          <w:kern w:val="44"/>
          <w:sz w:val="20"/>
          <w:szCs w:val="20"/>
        </w:rPr>
        <w:t xml:space="preserve"> </w:t>
      </w:r>
      <w:r>
        <w:rPr>
          <w:rFonts w:ascii="Arial" w:hAnsi="Arial" w:eastAsia="宋体" w:cs="Arial"/>
          <w:bCs/>
          <w:iCs/>
          <w:kern w:val="44"/>
          <w:sz w:val="20"/>
          <w:szCs w:val="20"/>
        </w:rPr>
        <w:t>Representative images of H&amp;E staining and insulin immunofluorescence staining on islets</w:t>
      </w:r>
      <w:r>
        <w:rPr>
          <w:rFonts w:ascii="Arial" w:hAnsi="Arial" w:eastAsia="宋体" w:cs="Arial"/>
          <w:bCs/>
          <w:sz w:val="20"/>
          <w:szCs w:val="20"/>
        </w:rPr>
        <w:t>, respectively.</w:t>
      </w:r>
      <w:r>
        <w:rPr>
          <w:rFonts w:ascii="Arial" w:hAnsi="Arial" w:eastAsia="宋体" w:cs="Arial"/>
          <w:bCs/>
          <w:kern w:val="44"/>
          <w:sz w:val="20"/>
          <w:szCs w:val="20"/>
        </w:rPr>
        <w:t xml:space="preserve"> </w:t>
      </w:r>
      <w:r>
        <w:rPr>
          <w:rFonts w:ascii="Arial" w:hAnsi="Arial" w:eastAsia="宋体" w:cs="Arial"/>
          <w:b/>
          <w:bCs/>
          <w:sz w:val="20"/>
          <w:szCs w:val="20"/>
        </w:rPr>
        <w:t>d,</w:t>
      </w:r>
      <w:r>
        <w:rPr>
          <w:rFonts w:ascii="Arial" w:hAnsi="Arial" w:eastAsia="宋体" w:cs="Arial"/>
          <w:bCs/>
          <w:sz w:val="20"/>
          <w:szCs w:val="20"/>
        </w:rPr>
        <w:t xml:space="preserve"> The plasma insulin of db/db mice </w:t>
      </w:r>
      <w:bookmarkStart w:id="11" w:name="_Hlk80912391"/>
      <w:r>
        <w:rPr>
          <w:rFonts w:ascii="Arial" w:hAnsi="Arial" w:eastAsia="宋体" w:cs="Arial"/>
          <w:bCs/>
          <w:sz w:val="20"/>
          <w:szCs w:val="20"/>
        </w:rPr>
        <w:t>of the indicated groups.</w:t>
      </w:r>
      <w:bookmarkEnd w:id="11"/>
    </w:p>
    <w:p>
      <w:pPr>
        <w:rPr>
          <w:rFonts w:ascii="Arial" w:hAnsi="Arial" w:cs="Arial"/>
          <w:sz w:val="24"/>
        </w:rPr>
      </w:pPr>
    </w:p>
    <w:p>
      <w:pPr>
        <w:rPr>
          <w:rFonts w:ascii="Arial" w:hAnsi="Arial" w:cs="Arial"/>
          <w:sz w:val="24"/>
        </w:rPr>
      </w:pPr>
      <w:r>
        <w:rPr>
          <w:rFonts w:ascii="Arial" w:hAnsi="Arial" w:cs="Arial"/>
          <w:sz w:val="24"/>
        </w:rPr>
        <w:drawing>
          <wp:inline distT="0" distB="0" distL="0" distR="0">
            <wp:extent cx="5267325" cy="5538470"/>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a:extLst>
                        <a:ext uri="{28A0092B-C50C-407E-A947-70E740481C1C}">
                          <a14:useLocalDpi xmlns:a14="http://schemas.microsoft.com/office/drawing/2010/main" val="0"/>
                        </a:ext>
                      </a:extLst>
                    </a:blip>
                    <a:srcRect b="25595"/>
                    <a:stretch>
                      <a:fillRect/>
                    </a:stretch>
                  </pic:blipFill>
                  <pic:spPr>
                    <a:xfrm>
                      <a:off x="0" y="0"/>
                      <a:ext cx="5267325" cy="5538788"/>
                    </a:xfrm>
                    <a:prstGeom prst="rect">
                      <a:avLst/>
                    </a:prstGeom>
                    <a:noFill/>
                    <a:ln>
                      <a:noFill/>
                    </a:ln>
                  </pic:spPr>
                </pic:pic>
              </a:graphicData>
            </a:graphic>
          </wp:inline>
        </w:drawing>
      </w:r>
    </w:p>
    <w:p>
      <w:pPr>
        <w:rPr>
          <w:rFonts w:ascii="Arial" w:hAnsi="Arial" w:cs="Arial"/>
          <w:b/>
          <w:sz w:val="20"/>
          <w:szCs w:val="20"/>
        </w:rPr>
      </w:pPr>
    </w:p>
    <w:p>
      <w:pPr>
        <w:rPr>
          <w:rFonts w:ascii="Arial" w:hAnsi="Arial" w:eastAsia="宋体" w:cs="Arial"/>
          <w:b/>
          <w:bCs/>
          <w:sz w:val="20"/>
          <w:szCs w:val="20"/>
        </w:rPr>
      </w:pPr>
      <w:r>
        <w:rPr>
          <w:rFonts w:ascii="Arial" w:hAnsi="Arial" w:cs="Arial"/>
          <w:b/>
          <w:sz w:val="20"/>
          <w:szCs w:val="20"/>
        </w:rPr>
        <w:t xml:space="preserve">Supplementary Fig.6 | Pharmacological effects of 1907-B on db/db mice and construct of adeno-associated viral vector serotype 9-GLP-1R or GCGR-small hairpin RNA (AAV9-GLP-1R or GCGR-shRNA) knock-down mice on db/db mice and UUO mice. </w:t>
      </w:r>
      <w:r>
        <w:rPr>
          <w:rFonts w:ascii="Arial" w:hAnsi="Arial" w:eastAsia="宋体" w:cs="Arial"/>
          <w:b/>
          <w:bCs/>
          <w:iCs/>
          <w:kern w:val="44"/>
          <w:sz w:val="20"/>
          <w:szCs w:val="20"/>
        </w:rPr>
        <w:t>a,</w:t>
      </w:r>
      <w:r>
        <w:rPr>
          <w:rFonts w:ascii="Arial" w:hAnsi="Arial" w:eastAsia="宋体" w:cs="Arial"/>
          <w:bCs/>
          <w:kern w:val="44"/>
          <w:sz w:val="20"/>
          <w:szCs w:val="20"/>
        </w:rPr>
        <w:t xml:space="preserve"> The body weight of db/db mice of the indicated groups. </w:t>
      </w:r>
      <w:r>
        <w:rPr>
          <w:rFonts w:ascii="Arial" w:hAnsi="Arial" w:eastAsia="宋体" w:cs="Arial"/>
          <w:b/>
          <w:bCs/>
          <w:kern w:val="44"/>
          <w:sz w:val="20"/>
          <w:szCs w:val="20"/>
        </w:rPr>
        <w:t xml:space="preserve">b, </w:t>
      </w:r>
      <w:r>
        <w:rPr>
          <w:rFonts w:ascii="Arial" w:hAnsi="Arial" w:eastAsia="宋体" w:cs="Arial"/>
          <w:bCs/>
          <w:kern w:val="44"/>
          <w:sz w:val="20"/>
          <w:szCs w:val="20"/>
        </w:rPr>
        <w:t xml:space="preserve">The fasting blood glucose and glycated hemoglobin of db/db mice of the indicated groups. </w:t>
      </w:r>
      <w:r>
        <w:rPr>
          <w:rFonts w:ascii="Arial" w:hAnsi="Arial" w:eastAsia="宋体" w:cs="Arial"/>
          <w:b/>
          <w:bCs/>
          <w:kern w:val="44"/>
          <w:sz w:val="20"/>
          <w:szCs w:val="20"/>
        </w:rPr>
        <w:t xml:space="preserve">c, </w:t>
      </w:r>
      <w:r>
        <w:rPr>
          <w:rFonts w:ascii="Arial" w:hAnsi="Arial" w:eastAsia="宋体" w:cs="Arial"/>
          <w:bCs/>
          <w:sz w:val="20"/>
          <w:szCs w:val="20"/>
        </w:rPr>
        <w:t>GSEA of pathways related to fibrosis, inflammation and mitochondrial function in db/db mice treated with Semaglutide or Glucagon.</w:t>
      </w:r>
      <w:r>
        <w:rPr>
          <w:rFonts w:ascii="Arial" w:hAnsi="Arial" w:eastAsia="宋体" w:cs="Arial"/>
          <w:bCs/>
          <w:kern w:val="44"/>
          <w:sz w:val="20"/>
          <w:szCs w:val="20"/>
        </w:rPr>
        <w:t xml:space="preserve"> </w:t>
      </w:r>
      <w:r>
        <w:rPr>
          <w:rFonts w:ascii="Arial" w:hAnsi="Arial" w:eastAsia="宋体" w:cs="Arial"/>
          <w:b/>
          <w:bCs/>
          <w:sz w:val="20"/>
          <w:szCs w:val="20"/>
        </w:rPr>
        <w:t xml:space="preserve">d, </w:t>
      </w:r>
      <w:r>
        <w:rPr>
          <w:rFonts w:ascii="Arial" w:hAnsi="Arial" w:eastAsia="宋体" w:cs="Arial"/>
          <w:bCs/>
          <w:kern w:val="44"/>
          <w:sz w:val="20"/>
          <w:szCs w:val="20"/>
        </w:rPr>
        <w:t>The mRNA levels of GLP-1R and GCGR expression in kidneys from mice treated with AAV9-CON, AAV9-GLP1R-RNAi or AAV9-GCGR-RNAi.</w:t>
      </w:r>
      <w:r>
        <w:rPr>
          <w:rFonts w:ascii="Arial" w:hAnsi="Arial" w:eastAsia="宋体" w:cs="Arial"/>
          <w:sz w:val="20"/>
          <w:szCs w:val="20"/>
        </w:rPr>
        <w:t xml:space="preserve"> </w:t>
      </w:r>
      <w:r>
        <w:rPr>
          <w:rFonts w:ascii="Arial" w:hAnsi="Arial" w:eastAsia="宋体" w:cs="Arial"/>
          <w:b/>
          <w:bCs/>
          <w:sz w:val="20"/>
          <w:szCs w:val="20"/>
        </w:rPr>
        <w:t>e,</w:t>
      </w:r>
      <w:r>
        <w:rPr>
          <w:rFonts w:ascii="Arial" w:hAnsi="Arial" w:eastAsia="宋体" w:cs="Arial"/>
          <w:sz w:val="20"/>
          <w:szCs w:val="20"/>
        </w:rPr>
        <w:t xml:space="preserve"> </w:t>
      </w:r>
      <w:r>
        <w:rPr>
          <w:rFonts w:ascii="Arial" w:hAnsi="Arial" w:eastAsia="宋体" w:cs="Arial"/>
          <w:bCs/>
          <w:kern w:val="44"/>
          <w:sz w:val="20"/>
          <w:szCs w:val="20"/>
        </w:rPr>
        <w:t>Experimental design of the pharmacological effects of 1907-B on GLP-1R</w:t>
      </w:r>
      <w:r>
        <w:rPr>
          <w:rFonts w:ascii="Arial" w:hAnsi="Arial" w:eastAsia="宋体" w:cs="Arial"/>
          <w:bCs/>
          <w:kern w:val="44"/>
          <w:sz w:val="20"/>
          <w:szCs w:val="20"/>
          <w:vertAlign w:val="superscript"/>
        </w:rPr>
        <w:t>-/-</w:t>
      </w:r>
      <w:r>
        <w:rPr>
          <w:rFonts w:ascii="Arial" w:hAnsi="Arial" w:eastAsia="宋体" w:cs="Arial"/>
          <w:bCs/>
          <w:kern w:val="44"/>
          <w:sz w:val="20"/>
          <w:szCs w:val="20"/>
        </w:rPr>
        <w:t xml:space="preserve"> or GCGR</w:t>
      </w:r>
      <w:r>
        <w:rPr>
          <w:rFonts w:ascii="Arial" w:hAnsi="Arial" w:eastAsia="宋体" w:cs="Arial"/>
          <w:bCs/>
          <w:kern w:val="44"/>
          <w:sz w:val="20"/>
          <w:szCs w:val="20"/>
          <w:vertAlign w:val="superscript"/>
        </w:rPr>
        <w:t>-/-</w:t>
      </w:r>
      <w:r>
        <w:rPr>
          <w:rFonts w:ascii="Arial" w:hAnsi="Arial" w:eastAsia="宋体" w:cs="Arial"/>
          <w:bCs/>
          <w:kern w:val="44"/>
          <w:sz w:val="20"/>
          <w:szCs w:val="20"/>
        </w:rPr>
        <w:t xml:space="preserve"> db/db mice.</w:t>
      </w:r>
      <w:r>
        <w:rPr>
          <w:rFonts w:ascii="Arial" w:hAnsi="Arial" w:eastAsia="宋体" w:cs="Arial"/>
          <w:bCs/>
          <w:sz w:val="20"/>
          <w:szCs w:val="20"/>
        </w:rPr>
        <w:t xml:space="preserve"> </w:t>
      </w:r>
      <w:r>
        <w:rPr>
          <w:rFonts w:ascii="Arial" w:hAnsi="Arial" w:eastAsia="宋体" w:cs="Arial"/>
          <w:b/>
          <w:bCs/>
          <w:sz w:val="20"/>
          <w:szCs w:val="20"/>
        </w:rPr>
        <w:t xml:space="preserve">f, </w:t>
      </w:r>
      <w:r>
        <w:rPr>
          <w:rFonts w:ascii="Arial" w:hAnsi="Arial" w:eastAsia="宋体" w:cs="Arial"/>
          <w:bCs/>
          <w:kern w:val="44"/>
          <w:sz w:val="20"/>
          <w:szCs w:val="20"/>
        </w:rPr>
        <w:t>Experimental design of the pharmacological effects of 1907-B on UUO mice.</w:t>
      </w:r>
      <w:r>
        <w:rPr>
          <w:rFonts w:ascii="Arial" w:hAnsi="Arial" w:eastAsia="宋体" w:cs="Arial"/>
          <w:b/>
          <w:bCs/>
          <w:sz w:val="20"/>
          <w:szCs w:val="20"/>
        </w:rPr>
        <w:t xml:space="preserve"> g, </w:t>
      </w:r>
      <w:r>
        <w:rPr>
          <w:rFonts w:ascii="Arial" w:hAnsi="Arial" w:eastAsia="宋体" w:cs="Arial"/>
          <w:bCs/>
          <w:kern w:val="44"/>
          <w:sz w:val="20"/>
          <w:szCs w:val="20"/>
        </w:rPr>
        <w:t>Experimental design of the pharmacological effects of 1907-B on GLP-1R</w:t>
      </w:r>
      <w:r>
        <w:rPr>
          <w:rFonts w:ascii="Arial" w:hAnsi="Arial" w:eastAsia="宋体" w:cs="Arial"/>
          <w:bCs/>
          <w:kern w:val="44"/>
          <w:sz w:val="20"/>
          <w:szCs w:val="20"/>
          <w:vertAlign w:val="superscript"/>
        </w:rPr>
        <w:t>-/-</w:t>
      </w:r>
      <w:r>
        <w:rPr>
          <w:rFonts w:ascii="Arial" w:hAnsi="Arial" w:eastAsia="宋体" w:cs="Arial"/>
          <w:bCs/>
          <w:kern w:val="44"/>
          <w:sz w:val="20"/>
          <w:szCs w:val="20"/>
        </w:rPr>
        <w:t xml:space="preserve"> or GCGR</w:t>
      </w:r>
      <w:r>
        <w:rPr>
          <w:rFonts w:ascii="Arial" w:hAnsi="Arial" w:eastAsia="宋体" w:cs="Arial"/>
          <w:bCs/>
          <w:kern w:val="44"/>
          <w:sz w:val="20"/>
          <w:szCs w:val="20"/>
          <w:vertAlign w:val="superscript"/>
        </w:rPr>
        <w:t>-/-</w:t>
      </w:r>
      <w:r>
        <w:rPr>
          <w:rFonts w:ascii="Arial" w:hAnsi="Arial" w:eastAsia="宋体" w:cs="Arial"/>
          <w:bCs/>
          <w:kern w:val="44"/>
          <w:sz w:val="20"/>
          <w:szCs w:val="20"/>
        </w:rPr>
        <w:t xml:space="preserve"> UUO mice.</w:t>
      </w:r>
      <w:r>
        <w:rPr>
          <w:rFonts w:ascii="Arial" w:hAnsi="Arial" w:eastAsia="宋体" w:cs="Arial"/>
          <w:b/>
          <w:bCs/>
          <w:sz w:val="20"/>
          <w:szCs w:val="20"/>
        </w:rPr>
        <w:t xml:space="preserve"> </w:t>
      </w:r>
      <w:r>
        <w:rPr>
          <w:rFonts w:ascii="Arial" w:hAnsi="Arial" w:eastAsia="宋体" w:cs="Arial"/>
          <w:b/>
          <w:bCs/>
          <w:kern w:val="44"/>
          <w:sz w:val="20"/>
          <w:szCs w:val="20"/>
        </w:rPr>
        <w:t xml:space="preserve">h, </w:t>
      </w:r>
      <w:r>
        <w:rPr>
          <w:rFonts w:ascii="Arial" w:hAnsi="Arial" w:eastAsia="宋体" w:cs="Arial"/>
          <w:bCs/>
          <w:sz w:val="20"/>
          <w:szCs w:val="20"/>
        </w:rPr>
        <w:t>GSEA of pathways related to fibrosis, inflammation and mitochondrial function in UUO mice treated with 1907-B.</w:t>
      </w:r>
    </w:p>
    <w:p>
      <w:pPr>
        <w:rPr>
          <w:rFonts w:ascii="Arial" w:hAnsi="Arial" w:eastAsia="宋体" w:cs="Arial"/>
          <w:bCs/>
          <w:sz w:val="20"/>
          <w:szCs w:val="20"/>
        </w:rPr>
      </w:pPr>
    </w:p>
    <w:p>
      <w:pPr>
        <w:rPr>
          <w:rFonts w:ascii="Arial" w:hAnsi="Arial" w:cs="Arial"/>
          <w:sz w:val="24"/>
        </w:rPr>
      </w:pPr>
      <w:r>
        <w:rPr>
          <w:rFonts w:ascii="Arial" w:hAnsi="Arial" w:cs="Arial"/>
          <w:sz w:val="24"/>
        </w:rPr>
        <w:drawing>
          <wp:inline distT="0" distB="0" distL="114300" distR="114300">
            <wp:extent cx="5269230" cy="6857365"/>
            <wp:effectExtent l="0" t="0" r="7620" b="635"/>
            <wp:docPr id="14" name="图片 14" descr="Figure-S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S7-01"/>
                    <pic:cNvPicPr>
                      <a:picLocks noChangeAspect="1"/>
                    </pic:cNvPicPr>
                  </pic:nvPicPr>
                  <pic:blipFill>
                    <a:blip r:embed="rId11"/>
                    <a:srcRect b="7906"/>
                    <a:stretch>
                      <a:fillRect/>
                    </a:stretch>
                  </pic:blipFill>
                  <pic:spPr>
                    <a:xfrm>
                      <a:off x="0" y="0"/>
                      <a:ext cx="5269230" cy="6857365"/>
                    </a:xfrm>
                    <a:prstGeom prst="rect">
                      <a:avLst/>
                    </a:prstGeom>
                  </pic:spPr>
                </pic:pic>
              </a:graphicData>
            </a:graphic>
          </wp:inline>
        </w:drawing>
      </w:r>
    </w:p>
    <w:p>
      <w:pPr>
        <w:rPr>
          <w:rFonts w:ascii="Arial" w:hAnsi="Arial" w:cs="Arial"/>
          <w:sz w:val="24"/>
        </w:rPr>
      </w:pPr>
    </w:p>
    <w:p>
      <w:pPr>
        <w:rPr>
          <w:rFonts w:ascii="Arial" w:hAnsi="Arial" w:cs="Arial"/>
          <w:b/>
          <w:bCs/>
          <w:kern w:val="44"/>
          <w:sz w:val="24"/>
        </w:rPr>
      </w:pPr>
      <w:r>
        <w:rPr>
          <w:rFonts w:ascii="Arial" w:hAnsi="Arial" w:cs="Arial"/>
          <w:b/>
          <w:sz w:val="20"/>
          <w:szCs w:val="20"/>
        </w:rPr>
        <w:t xml:space="preserve">Supplementary Fig.7 | The effects of drugs on islets in db/db mice. </w:t>
      </w:r>
      <w:r>
        <w:rPr>
          <w:rFonts w:ascii="Arial" w:hAnsi="Arial" w:eastAsia="宋体" w:cs="Arial"/>
          <w:b/>
          <w:bCs/>
          <w:iCs/>
          <w:kern w:val="44"/>
          <w:sz w:val="20"/>
          <w:szCs w:val="20"/>
        </w:rPr>
        <w:t xml:space="preserve">a-b, </w:t>
      </w:r>
      <w:r>
        <w:rPr>
          <w:rFonts w:ascii="Arial" w:hAnsi="Arial" w:eastAsia="宋体" w:cs="Arial"/>
          <w:bCs/>
          <w:iCs/>
          <w:kern w:val="44"/>
          <w:sz w:val="20"/>
          <w:szCs w:val="20"/>
        </w:rPr>
        <w:t xml:space="preserve">Insulin and Glucagon immunofluorescence staining of kidneys from db/db mice </w:t>
      </w:r>
      <w:r>
        <w:rPr>
          <w:rFonts w:ascii="Arial" w:hAnsi="Arial" w:eastAsia="宋体" w:cs="Arial"/>
          <w:bCs/>
          <w:sz w:val="20"/>
          <w:szCs w:val="20"/>
        </w:rPr>
        <w:t xml:space="preserve">of the indicated groups. </w:t>
      </w:r>
    </w:p>
    <w:p>
      <w:pPr>
        <w:rPr>
          <w:rFonts w:ascii="Arial" w:hAnsi="Arial" w:cs="Arial"/>
          <w:b/>
          <w:bCs/>
          <w:kern w:val="44"/>
          <w:sz w:val="24"/>
        </w:rPr>
      </w:pPr>
    </w:p>
    <w:p>
      <w:pPr>
        <w:rPr>
          <w:rFonts w:ascii="Arial" w:hAnsi="Arial" w:cs="Arial"/>
          <w:b/>
          <w:bCs/>
          <w:kern w:val="44"/>
          <w:sz w:val="24"/>
        </w:rPr>
      </w:pPr>
    </w:p>
    <w:p>
      <w:pPr>
        <w:rPr>
          <w:rFonts w:ascii="Arial" w:hAnsi="Arial" w:cs="Arial"/>
          <w:sz w:val="24"/>
        </w:rPr>
      </w:pPr>
      <w:r>
        <w:rPr>
          <w:rFonts w:ascii="Arial" w:hAnsi="Arial" w:cs="Arial"/>
          <w:sz w:val="24"/>
        </w:rPr>
        <w:drawing>
          <wp:inline distT="0" distB="0" distL="114300" distR="114300">
            <wp:extent cx="5269230" cy="3228975"/>
            <wp:effectExtent l="0" t="0" r="7620" b="0"/>
            <wp:docPr id="15" name="图片 15" descr="Figure-S8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S8_画板 1"/>
                    <pic:cNvPicPr>
                      <a:picLocks noChangeAspect="1"/>
                    </pic:cNvPicPr>
                  </pic:nvPicPr>
                  <pic:blipFill>
                    <a:blip r:embed="rId12"/>
                    <a:srcRect b="56635"/>
                    <a:stretch>
                      <a:fillRect/>
                    </a:stretch>
                  </pic:blipFill>
                  <pic:spPr>
                    <a:xfrm>
                      <a:off x="0" y="0"/>
                      <a:ext cx="5269230" cy="3228975"/>
                    </a:xfrm>
                    <a:prstGeom prst="rect">
                      <a:avLst/>
                    </a:prstGeom>
                  </pic:spPr>
                </pic:pic>
              </a:graphicData>
            </a:graphic>
          </wp:inline>
        </w:drawing>
      </w:r>
    </w:p>
    <w:p>
      <w:pPr>
        <w:rPr>
          <w:rFonts w:ascii="Arial" w:hAnsi="Arial" w:cs="Arial"/>
          <w:b/>
          <w:sz w:val="20"/>
          <w:szCs w:val="20"/>
        </w:rPr>
      </w:pPr>
    </w:p>
    <w:p>
      <w:pPr>
        <w:rPr>
          <w:rFonts w:ascii="Arial" w:hAnsi="Arial" w:cs="Arial"/>
          <w:b/>
          <w:sz w:val="20"/>
          <w:szCs w:val="20"/>
        </w:rPr>
      </w:pPr>
      <w:r>
        <w:rPr>
          <w:rFonts w:ascii="Arial" w:hAnsi="Arial" w:cs="Arial"/>
          <w:b/>
          <w:sz w:val="20"/>
          <w:szCs w:val="20"/>
        </w:rPr>
        <w:t xml:space="preserve">Supplementary Fig.8 | Toxicity study of 1907-B in SD rats. </w:t>
      </w:r>
      <w:r>
        <w:rPr>
          <w:rFonts w:ascii="Arial" w:hAnsi="Arial" w:eastAsia="宋体" w:cs="Arial"/>
          <w:b/>
          <w:bCs/>
          <w:iCs/>
          <w:kern w:val="44"/>
          <w:sz w:val="20"/>
          <w:szCs w:val="20"/>
        </w:rPr>
        <w:t xml:space="preserve">a, </w:t>
      </w:r>
      <w:r>
        <w:rPr>
          <w:rFonts w:ascii="Arial" w:hAnsi="Arial" w:eastAsia="宋体" w:cs="Arial"/>
          <w:bCs/>
          <w:iCs/>
          <w:kern w:val="44"/>
          <w:sz w:val="20"/>
          <w:szCs w:val="20"/>
        </w:rPr>
        <w:t xml:space="preserve">Representative images of H&amp;E staining on myocardium, liver, spleen, lung, kidney and stomach from SD rats treated with 1907-B, respectively. </w:t>
      </w:r>
      <w:r>
        <w:rPr>
          <w:rFonts w:ascii="Arial" w:hAnsi="Arial" w:eastAsia="宋体" w:cs="Arial"/>
          <w:b/>
          <w:bCs/>
          <w:kern w:val="44"/>
          <w:sz w:val="20"/>
          <w:szCs w:val="20"/>
        </w:rPr>
        <w:t>b,</w:t>
      </w:r>
      <w:r>
        <w:rPr>
          <w:rFonts w:ascii="Arial" w:hAnsi="Arial" w:eastAsia="宋体" w:cs="Arial"/>
          <w:bCs/>
          <w:kern w:val="44"/>
          <w:sz w:val="20"/>
          <w:szCs w:val="20"/>
        </w:rPr>
        <w:t xml:space="preserve"> </w:t>
      </w:r>
      <w:r>
        <w:rPr>
          <w:rFonts w:ascii="Arial" w:hAnsi="Arial" w:eastAsia="宋体" w:cs="Arial"/>
          <w:bCs/>
          <w:iCs/>
          <w:kern w:val="44"/>
          <w:sz w:val="20"/>
          <w:szCs w:val="20"/>
        </w:rPr>
        <w:t>Representative images of H&amp;E staining on duodenum, uterus, ovary, testis and epididymis from SD rats treated with 1907-B, respectively.</w:t>
      </w:r>
    </w:p>
    <w:p>
      <w:pPr>
        <w:rPr>
          <w:rFonts w:ascii="Arial" w:hAnsi="Arial" w:cs="Arial"/>
          <w:sz w:val="24"/>
        </w:rPr>
        <w:sectPr>
          <w:pgSz w:w="11906" w:h="16838"/>
          <w:pgMar w:top="1440" w:right="1800" w:bottom="1440" w:left="1800" w:header="851" w:footer="992" w:gutter="0"/>
          <w:cols w:space="425" w:num="1"/>
          <w:docGrid w:type="lines" w:linePitch="312" w:charSpace="0"/>
        </w:sectPr>
      </w:pPr>
      <w:r>
        <w:rPr>
          <w:rFonts w:ascii="Arial" w:hAnsi="Arial" w:cs="Arial"/>
          <w:b/>
          <w:sz w:val="20"/>
          <w:szCs w:val="20"/>
        </w:rPr>
        <w:t xml:space="preserve"> </w:t>
      </w:r>
    </w:p>
    <w:p>
      <w:pPr>
        <w:jc w:val="center"/>
        <w:rPr>
          <w:rFonts w:ascii="Arial" w:hAnsi="Arial" w:cs="Arial"/>
          <w:sz w:val="24"/>
        </w:rPr>
      </w:pPr>
      <w:r>
        <w:rPr>
          <w:rFonts w:ascii="Arial" w:hAnsi="Arial" w:cs="Arial"/>
          <w:sz w:val="24"/>
        </w:rPr>
        <w:drawing>
          <wp:inline distT="0" distB="0" distL="0" distR="0">
            <wp:extent cx="4456430" cy="971550"/>
            <wp:effectExtent l="0" t="0" r="127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3"/>
                    <a:stretch>
                      <a:fillRect/>
                    </a:stretch>
                  </pic:blipFill>
                  <pic:spPr>
                    <a:xfrm>
                      <a:off x="0" y="0"/>
                      <a:ext cx="4456800" cy="972000"/>
                    </a:xfrm>
                    <a:prstGeom prst="rect">
                      <a:avLst/>
                    </a:prstGeom>
                  </pic:spPr>
                </pic:pic>
              </a:graphicData>
            </a:graphic>
          </wp:inline>
        </w:drawing>
      </w:r>
    </w:p>
    <w:p>
      <w:pPr>
        <w:jc w:val="center"/>
        <w:rPr>
          <w:rFonts w:ascii="Arial" w:hAnsi="Arial" w:cs="Arial"/>
          <w:sz w:val="24"/>
        </w:rPr>
      </w:pPr>
    </w:p>
    <w:p>
      <w:pPr>
        <w:jc w:val="center"/>
        <w:rPr>
          <w:rFonts w:ascii="Arial" w:hAnsi="Arial" w:cs="Arial"/>
          <w:sz w:val="24"/>
        </w:rPr>
      </w:pPr>
      <w:r>
        <w:rPr>
          <w:rFonts w:ascii="Arial" w:hAnsi="Arial" w:cs="Arial"/>
          <w:sz w:val="24"/>
        </w:rPr>
        <w:drawing>
          <wp:inline distT="0" distB="0" distL="0" distR="0">
            <wp:extent cx="4456430" cy="960755"/>
            <wp:effectExtent l="0" t="0" r="127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4"/>
                    <a:stretch>
                      <a:fillRect/>
                    </a:stretch>
                  </pic:blipFill>
                  <pic:spPr>
                    <a:xfrm>
                      <a:off x="0" y="0"/>
                      <a:ext cx="4456800" cy="961200"/>
                    </a:xfrm>
                    <a:prstGeom prst="rect">
                      <a:avLst/>
                    </a:prstGeom>
                  </pic:spPr>
                </pic:pic>
              </a:graphicData>
            </a:graphic>
          </wp:inline>
        </w:drawing>
      </w:r>
    </w:p>
    <w:p>
      <w:pPr>
        <w:jc w:val="center"/>
        <w:rPr>
          <w:rFonts w:ascii="Arial" w:hAnsi="Arial" w:cs="Arial"/>
          <w:sz w:val="24"/>
        </w:rPr>
      </w:pPr>
    </w:p>
    <w:p>
      <w:pPr>
        <w:jc w:val="center"/>
        <w:rPr>
          <w:rFonts w:ascii="Arial" w:hAnsi="Arial" w:cs="Arial"/>
          <w:sz w:val="24"/>
        </w:rPr>
      </w:pPr>
      <w:r>
        <w:rPr>
          <w:rFonts w:ascii="Arial" w:hAnsi="Arial" w:cs="Arial"/>
          <w:sz w:val="24"/>
        </w:rPr>
        <w:drawing>
          <wp:inline distT="0" distB="0" distL="0" distR="0">
            <wp:extent cx="4456430" cy="975360"/>
            <wp:effectExtent l="0" t="0" r="127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5"/>
                    <a:stretch>
                      <a:fillRect/>
                    </a:stretch>
                  </pic:blipFill>
                  <pic:spPr>
                    <a:xfrm>
                      <a:off x="0" y="0"/>
                      <a:ext cx="4456800" cy="975600"/>
                    </a:xfrm>
                    <a:prstGeom prst="rect">
                      <a:avLst/>
                    </a:prstGeom>
                  </pic:spPr>
                </pic:pic>
              </a:graphicData>
            </a:graphic>
          </wp:inline>
        </w:drawing>
      </w:r>
    </w:p>
    <w:p>
      <w:pPr>
        <w:jc w:val="center"/>
        <w:rPr>
          <w:rFonts w:ascii="Arial" w:hAnsi="Arial" w:cs="Arial"/>
          <w:sz w:val="24"/>
        </w:rPr>
      </w:pPr>
    </w:p>
    <w:p>
      <w:pPr>
        <w:jc w:val="center"/>
        <w:rPr>
          <w:rFonts w:ascii="Arial" w:hAnsi="Arial" w:cs="Arial"/>
          <w:sz w:val="24"/>
        </w:rPr>
      </w:pPr>
      <w:r>
        <w:rPr>
          <w:rFonts w:ascii="Arial" w:hAnsi="Arial" w:cs="Arial"/>
          <w:sz w:val="24"/>
        </w:rPr>
        <w:drawing>
          <wp:inline distT="0" distB="0" distL="0" distR="0">
            <wp:extent cx="4456430" cy="960755"/>
            <wp:effectExtent l="0" t="0" r="127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6"/>
                    <a:stretch>
                      <a:fillRect/>
                    </a:stretch>
                  </pic:blipFill>
                  <pic:spPr>
                    <a:xfrm>
                      <a:off x="0" y="0"/>
                      <a:ext cx="4456800" cy="961200"/>
                    </a:xfrm>
                    <a:prstGeom prst="rect">
                      <a:avLst/>
                    </a:prstGeom>
                  </pic:spPr>
                </pic:pic>
              </a:graphicData>
            </a:graphic>
          </wp:inline>
        </w:drawing>
      </w:r>
    </w:p>
    <w:p>
      <w:pPr>
        <w:jc w:val="center"/>
        <w:rPr>
          <w:rFonts w:ascii="Arial" w:hAnsi="Arial" w:cs="Arial"/>
          <w:sz w:val="24"/>
        </w:rPr>
      </w:pPr>
    </w:p>
    <w:p>
      <w:pPr>
        <w:jc w:val="center"/>
        <w:rPr>
          <w:rFonts w:ascii="Arial" w:hAnsi="Arial" w:cs="Arial"/>
          <w:sz w:val="24"/>
        </w:rPr>
      </w:pPr>
      <w:r>
        <w:rPr>
          <w:rFonts w:ascii="Arial" w:hAnsi="Arial" w:cs="Arial"/>
          <w:sz w:val="24"/>
        </w:rPr>
        <w:drawing>
          <wp:inline distT="0" distB="0" distL="0" distR="0">
            <wp:extent cx="4456430" cy="949960"/>
            <wp:effectExtent l="0" t="0" r="1270" b="254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7"/>
                    <a:stretch>
                      <a:fillRect/>
                    </a:stretch>
                  </pic:blipFill>
                  <pic:spPr>
                    <a:xfrm>
                      <a:off x="0" y="0"/>
                      <a:ext cx="4456800" cy="950400"/>
                    </a:xfrm>
                    <a:prstGeom prst="rect">
                      <a:avLst/>
                    </a:prstGeom>
                  </pic:spPr>
                </pic:pic>
              </a:graphicData>
            </a:graphic>
          </wp:inline>
        </w:drawing>
      </w:r>
    </w:p>
    <w:p>
      <w:pPr>
        <w:jc w:val="center"/>
        <w:rPr>
          <w:rFonts w:ascii="Arial" w:hAnsi="Arial" w:cs="Arial"/>
          <w:sz w:val="24"/>
        </w:rPr>
      </w:pPr>
    </w:p>
    <w:p>
      <w:pPr>
        <w:jc w:val="center"/>
        <w:rPr>
          <w:rFonts w:ascii="Arial" w:hAnsi="Arial" w:cs="Arial"/>
          <w:sz w:val="24"/>
        </w:rPr>
      </w:pPr>
      <w:r>
        <w:rPr>
          <w:rFonts w:ascii="Arial" w:hAnsi="Arial" w:cs="Arial"/>
          <w:sz w:val="24"/>
        </w:rPr>
        <w:drawing>
          <wp:inline distT="0" distB="0" distL="0" distR="0">
            <wp:extent cx="4456430" cy="949960"/>
            <wp:effectExtent l="0" t="0" r="127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8"/>
                    <a:stretch>
                      <a:fillRect/>
                    </a:stretch>
                  </pic:blipFill>
                  <pic:spPr>
                    <a:xfrm>
                      <a:off x="0" y="0"/>
                      <a:ext cx="4456800" cy="950400"/>
                    </a:xfrm>
                    <a:prstGeom prst="rect">
                      <a:avLst/>
                    </a:prstGeom>
                  </pic:spPr>
                </pic:pic>
              </a:graphicData>
            </a:graphic>
          </wp:inline>
        </w:drawing>
      </w:r>
    </w:p>
    <w:p>
      <w:pPr>
        <w:jc w:val="center"/>
        <w:rPr>
          <w:rFonts w:ascii="Arial" w:hAnsi="Arial" w:cs="Arial"/>
          <w:sz w:val="24"/>
        </w:rPr>
      </w:pPr>
    </w:p>
    <w:p>
      <w:pPr>
        <w:widowControl/>
        <w:jc w:val="center"/>
        <w:rPr>
          <w:rFonts w:ascii="Arial" w:hAnsi="Arial" w:cs="Arial"/>
          <w:sz w:val="24"/>
        </w:rPr>
      </w:pPr>
      <w:r>
        <w:rPr>
          <w:rFonts w:ascii="Arial" w:hAnsi="Arial" w:cs="Arial"/>
          <w:sz w:val="24"/>
        </w:rPr>
        <w:drawing>
          <wp:inline distT="0" distB="0" distL="0" distR="0">
            <wp:extent cx="4456430" cy="975360"/>
            <wp:effectExtent l="0" t="0" r="127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9"/>
                    <a:stretch>
                      <a:fillRect/>
                    </a:stretch>
                  </pic:blipFill>
                  <pic:spPr>
                    <a:xfrm>
                      <a:off x="0" y="0"/>
                      <a:ext cx="4456800" cy="97560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0"/>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1"/>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2"/>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3"/>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4"/>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5"/>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6"/>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7"/>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8"/>
                    <a:stretch>
                      <a:fillRect/>
                    </a:stretch>
                  </pic:blipFill>
                  <pic:spPr>
                    <a:xfrm>
                      <a:off x="0" y="0"/>
                      <a:ext cx="5274310" cy="4075430"/>
                    </a:xfrm>
                    <a:prstGeom prst="rect">
                      <a:avLst/>
                    </a:prstGeom>
                  </pic:spPr>
                </pic:pic>
              </a:graphicData>
            </a:graphic>
          </wp:inline>
        </w:drawing>
      </w:r>
    </w:p>
    <w:p>
      <w:pPr>
        <w:widowControl/>
        <w:jc w:val="left"/>
        <w:rPr>
          <w:rFonts w:ascii="Arial" w:hAnsi="Arial" w:cs="Arial"/>
          <w:sz w:val="24"/>
        </w:rPr>
      </w:pPr>
      <w:r>
        <w:rPr>
          <w:rFonts w:ascii="Arial" w:hAnsi="Arial" w:cs="Arial"/>
          <w:sz w:val="24"/>
        </w:rPr>
        <w:drawing>
          <wp:inline distT="0" distB="0" distL="0" distR="0">
            <wp:extent cx="5274310" cy="4075430"/>
            <wp:effectExtent l="0" t="0" r="2540" b="12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9"/>
                    <a:stretch>
                      <a:fillRect/>
                    </a:stretch>
                  </pic:blipFill>
                  <pic:spPr>
                    <a:xfrm>
                      <a:off x="0" y="0"/>
                      <a:ext cx="5274310" cy="4075430"/>
                    </a:xfrm>
                    <a:prstGeom prst="rect">
                      <a:avLst/>
                    </a:prstGeom>
                  </pic:spPr>
                </pic:pic>
              </a:graphicData>
            </a:graphic>
          </wp:inline>
        </w:drawing>
      </w:r>
    </w:p>
    <w:p>
      <w:pPr>
        <w:rPr>
          <w:rFonts w:ascii="Arial" w:hAnsi="Arial" w:cs="Arial"/>
          <w:sz w:val="24"/>
        </w:rPr>
      </w:pPr>
      <w:r>
        <w:rPr>
          <w:rFonts w:ascii="Arial" w:hAnsi="Arial" w:cs="Arial"/>
          <w:b/>
          <w:sz w:val="20"/>
          <w:szCs w:val="20"/>
        </w:rPr>
        <w:t>Supplementary Fig.9 | Confirmation of atomic accumulation of candidate peptides with electrospray ionization-mass spectrometry.</w:t>
      </w:r>
    </w:p>
    <w:p>
      <w:pPr>
        <w:rPr>
          <w:rFonts w:ascii="Arial" w:hAnsi="Arial" w:cs="Arial"/>
          <w:sz w:val="24"/>
        </w:rPr>
      </w:pPr>
      <w:r>
        <w:rPr>
          <w:rFonts w:ascii="Arial" w:hAnsi="Arial" w:cs="Arial"/>
          <w:sz w:val="24"/>
        </w:rPr>
        <w:drawing>
          <wp:inline distT="0" distB="0" distL="0" distR="0">
            <wp:extent cx="5274310" cy="1435100"/>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30"/>
                    <a:stretch>
                      <a:fillRect/>
                    </a:stretch>
                  </pic:blipFill>
                  <pic:spPr>
                    <a:xfrm>
                      <a:off x="0" y="0"/>
                      <a:ext cx="5274310" cy="143510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1447800"/>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31"/>
                    <a:stretch>
                      <a:fillRect/>
                    </a:stretch>
                  </pic:blipFill>
                  <pic:spPr>
                    <a:xfrm>
                      <a:off x="0" y="0"/>
                      <a:ext cx="5274310" cy="144780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1447800"/>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32"/>
                    <a:stretch>
                      <a:fillRect/>
                    </a:stretch>
                  </pic:blipFill>
                  <pic:spPr>
                    <a:xfrm>
                      <a:off x="0" y="0"/>
                      <a:ext cx="5274310" cy="144780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145224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33"/>
                    <a:stretch>
                      <a:fillRect/>
                    </a:stretch>
                  </pic:blipFill>
                  <pic:spPr>
                    <a:xfrm>
                      <a:off x="0" y="0"/>
                      <a:ext cx="5274310" cy="1452245"/>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1443355"/>
            <wp:effectExtent l="0" t="0" r="254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34"/>
                    <a:stretch>
                      <a:fillRect/>
                    </a:stretch>
                  </pic:blipFill>
                  <pic:spPr>
                    <a:xfrm>
                      <a:off x="0" y="0"/>
                      <a:ext cx="5274310" cy="1443355"/>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1456690"/>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35"/>
                    <a:stretch>
                      <a:fillRect/>
                    </a:stretch>
                  </pic:blipFill>
                  <pic:spPr>
                    <a:xfrm>
                      <a:off x="0" y="0"/>
                      <a:ext cx="5274310" cy="145669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1456690"/>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36"/>
                    <a:stretch>
                      <a:fillRect/>
                    </a:stretch>
                  </pic:blipFill>
                  <pic:spPr>
                    <a:xfrm>
                      <a:off x="0" y="0"/>
                      <a:ext cx="5274310" cy="145669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85340"/>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7"/>
                    <a:stretch>
                      <a:fillRect/>
                    </a:stretch>
                  </pic:blipFill>
                  <pic:spPr>
                    <a:xfrm>
                      <a:off x="0" y="0"/>
                      <a:ext cx="5274310" cy="208534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89785"/>
            <wp:effectExtent l="0" t="0" r="2540" b="571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8"/>
                    <a:stretch>
                      <a:fillRect/>
                    </a:stretch>
                  </pic:blipFill>
                  <pic:spPr>
                    <a:xfrm>
                      <a:off x="0" y="0"/>
                      <a:ext cx="5274310" cy="2089785"/>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72640"/>
            <wp:effectExtent l="0" t="0" r="2540" b="381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9"/>
                    <a:stretch>
                      <a:fillRect/>
                    </a:stretch>
                  </pic:blipFill>
                  <pic:spPr>
                    <a:xfrm>
                      <a:off x="0" y="0"/>
                      <a:ext cx="5274310" cy="207264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0787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0"/>
                    <a:stretch>
                      <a:fillRect/>
                    </a:stretch>
                  </pic:blipFill>
                  <pic:spPr>
                    <a:xfrm>
                      <a:off x="0" y="0"/>
                      <a:ext cx="5274310" cy="200787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98675"/>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41"/>
                    <a:stretch>
                      <a:fillRect/>
                    </a:stretch>
                  </pic:blipFill>
                  <pic:spPr>
                    <a:xfrm>
                      <a:off x="0" y="0"/>
                      <a:ext cx="5274310" cy="2098675"/>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16760"/>
            <wp:effectExtent l="0" t="0" r="2540" b="254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2"/>
                    <a:stretch>
                      <a:fillRect/>
                    </a:stretch>
                  </pic:blipFill>
                  <pic:spPr>
                    <a:xfrm>
                      <a:off x="0" y="0"/>
                      <a:ext cx="5274310" cy="201676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77085"/>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43"/>
                    <a:stretch>
                      <a:fillRect/>
                    </a:stretch>
                  </pic:blipFill>
                  <pic:spPr>
                    <a:xfrm>
                      <a:off x="0" y="0"/>
                      <a:ext cx="5274310" cy="2077085"/>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59940"/>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4"/>
                    <a:stretch>
                      <a:fillRect/>
                    </a:stretch>
                  </pic:blipFill>
                  <pic:spPr>
                    <a:xfrm>
                      <a:off x="0" y="0"/>
                      <a:ext cx="5274310" cy="205994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38350"/>
            <wp:effectExtent l="0" t="0" r="254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45"/>
                    <a:stretch>
                      <a:fillRect/>
                    </a:stretch>
                  </pic:blipFill>
                  <pic:spPr>
                    <a:xfrm>
                      <a:off x="0" y="0"/>
                      <a:ext cx="5274310" cy="2038350"/>
                    </a:xfrm>
                    <a:prstGeom prst="rect">
                      <a:avLst/>
                    </a:prstGeom>
                  </pic:spPr>
                </pic:pic>
              </a:graphicData>
            </a:graphic>
          </wp:inline>
        </w:drawing>
      </w:r>
    </w:p>
    <w:p>
      <w:pPr>
        <w:rPr>
          <w:rFonts w:ascii="Arial" w:hAnsi="Arial" w:cs="Arial"/>
          <w:sz w:val="24"/>
        </w:rPr>
      </w:pPr>
      <w:r>
        <w:rPr>
          <w:rFonts w:ascii="Arial" w:hAnsi="Arial" w:cs="Arial"/>
          <w:sz w:val="24"/>
        </w:rPr>
        <w:drawing>
          <wp:inline distT="0" distB="0" distL="0" distR="0">
            <wp:extent cx="5274310" cy="2042795"/>
            <wp:effectExtent l="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46"/>
                    <a:stretch>
                      <a:fillRect/>
                    </a:stretch>
                  </pic:blipFill>
                  <pic:spPr>
                    <a:xfrm>
                      <a:off x="0" y="0"/>
                      <a:ext cx="5274310" cy="2042795"/>
                    </a:xfrm>
                    <a:prstGeom prst="rect">
                      <a:avLst/>
                    </a:prstGeom>
                  </pic:spPr>
                </pic:pic>
              </a:graphicData>
            </a:graphic>
          </wp:inline>
        </w:drawing>
      </w:r>
    </w:p>
    <w:p>
      <w:pPr>
        <w:rPr>
          <w:rFonts w:ascii="Arial" w:hAnsi="Arial" w:cs="Arial"/>
          <w:sz w:val="24"/>
        </w:rPr>
      </w:pPr>
      <w:r>
        <w:rPr>
          <w:rFonts w:ascii="Arial" w:hAnsi="Arial" w:cs="Arial"/>
          <w:b/>
          <w:sz w:val="20"/>
          <w:szCs w:val="20"/>
        </w:rPr>
        <w:t>Supplementary Fig.10 | Purification of candidate peptides with reverse phase high performance liquid chromatography mass spectrometric (RP-HPLC-MS).</w:t>
      </w:r>
    </w:p>
    <w:p>
      <w:pPr>
        <w:rPr>
          <w:rFonts w:ascii="Arial" w:hAnsi="Arial" w:cs="Arial"/>
          <w:sz w:val="24"/>
        </w:rPr>
        <w:sectPr>
          <w:pgSz w:w="11906" w:h="16838"/>
          <w:pgMar w:top="1440" w:right="1800" w:bottom="1440" w:left="1800" w:header="851" w:footer="992" w:gutter="0"/>
          <w:cols w:space="425" w:num="1"/>
          <w:docGrid w:type="lines" w:linePitch="312" w:charSpace="0"/>
        </w:sectPr>
      </w:pPr>
    </w:p>
    <w:p>
      <w:pPr>
        <w:rPr>
          <w:rFonts w:ascii="Arial" w:hAnsi="Arial" w:eastAsia="宋体" w:cs="Arial"/>
          <w:b/>
          <w:bCs/>
          <w:sz w:val="28"/>
          <w:szCs w:val="28"/>
          <w:lang w:bidi="ar"/>
        </w:rPr>
      </w:pPr>
      <w:r>
        <w:rPr>
          <w:rFonts w:ascii="Arial" w:hAnsi="Arial" w:eastAsia="宋体" w:cs="Arial"/>
          <w:b/>
          <w:bCs/>
          <w:sz w:val="28"/>
          <w:szCs w:val="28"/>
          <w:lang w:bidi="ar"/>
        </w:rPr>
        <w:t>Supplementary Tables</w:t>
      </w:r>
    </w:p>
    <w:p>
      <w:pPr>
        <w:spacing w:before="156" w:beforeLines="50" w:after="156" w:afterLines="50"/>
        <w:rPr>
          <w:rFonts w:ascii="Arial" w:hAnsi="Arial" w:cs="Arial"/>
        </w:rPr>
      </w:pPr>
      <w:r>
        <w:rPr>
          <w:rFonts w:ascii="Arial" w:hAnsi="Arial" w:cs="Arial"/>
          <w:b/>
          <w:sz w:val="20"/>
          <w:szCs w:val="20"/>
        </w:rPr>
        <w:t>Supplementary Table 1. Calculated % Helicity in PBS or 50% TFE.</w:t>
      </w:r>
    </w:p>
    <w:tbl>
      <w:tblPr>
        <w:tblStyle w:val="5"/>
        <w:tblW w:w="7278" w:type="dxa"/>
        <w:tblInd w:w="10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6"/>
        <w:gridCol w:w="2426"/>
        <w:gridCol w:w="242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single" w:color="auto" w:sz="8" w:space="0"/>
              <w:bottom w:val="single" w:color="auto" w:sz="8" w:space="0"/>
            </w:tcBorders>
            <w:shd w:val="clear" w:color="auto" w:fill="auto"/>
            <w:noWrap/>
            <w:vAlign w:val="bottom"/>
          </w:tcPr>
          <w:p>
            <w:pPr>
              <w:jc w:val="center"/>
              <w:rPr>
                <w:rFonts w:ascii="Arial" w:hAnsi="Arial" w:eastAsia="宋体" w:cs="Arial"/>
                <w:color w:val="000000"/>
                <w:sz w:val="20"/>
                <w:szCs w:val="20"/>
              </w:rPr>
            </w:pPr>
          </w:p>
        </w:tc>
        <w:tc>
          <w:tcPr>
            <w:tcW w:w="2426" w:type="dxa"/>
            <w:tcBorders>
              <w:top w:val="single" w:color="auto" w:sz="8" w:space="0"/>
              <w:bottom w:val="single" w:color="auto" w:sz="8" w:space="0"/>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PBS (190-260nm)</w:t>
            </w:r>
          </w:p>
        </w:tc>
        <w:tc>
          <w:tcPr>
            <w:tcW w:w="2426" w:type="dxa"/>
            <w:tcBorders>
              <w:top w:val="single" w:color="auto" w:sz="8" w:space="0"/>
              <w:bottom w:val="single" w:color="auto" w:sz="8" w:space="0"/>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50% TFE(190-260nm)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single" w:color="auto" w:sz="8" w:space="0"/>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sz w:val="20"/>
                <w:szCs w:val="20"/>
              </w:rPr>
              <w:t>Glucagon</w:t>
            </w:r>
          </w:p>
        </w:tc>
        <w:tc>
          <w:tcPr>
            <w:tcW w:w="2426" w:type="dxa"/>
            <w:tcBorders>
              <w:top w:val="single" w:color="auto" w:sz="8" w:space="0"/>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sz w:val="20"/>
                <w:szCs w:val="20"/>
              </w:rPr>
              <w:t>24.1</w:t>
            </w:r>
          </w:p>
        </w:tc>
        <w:tc>
          <w:tcPr>
            <w:tcW w:w="2426" w:type="dxa"/>
            <w:tcBorders>
              <w:top w:val="single" w:color="auto" w:sz="8" w:space="0"/>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sz w:val="20"/>
                <w:szCs w:val="20"/>
              </w:rPr>
              <w:t>36.1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Semaglutide</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23.7</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Liraglutide</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30.9</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1901</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30.1</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1902</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26.2</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1903</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35.6</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40.9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1904</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26.3</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1905</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22.6</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1906</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25.4</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1907</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29.3</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1908</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29.4</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43.6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1909</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31.7</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48.1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1910</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31.5</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40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1911</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26.8</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1912</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26</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1913</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30.9</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1914</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22.1</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1915</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28.3</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1916</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28.8</w:t>
            </w:r>
          </w:p>
        </w:tc>
        <w:tc>
          <w:tcPr>
            <w:tcW w:w="2426" w:type="dxa"/>
            <w:tcBorders>
              <w:top w:val="nil"/>
              <w:bottom w:val="nil"/>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26" w:type="dxa"/>
            <w:tcBorders>
              <w:top w:val="nil"/>
              <w:bottom w:val="single" w:color="auto" w:sz="8" w:space="0"/>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1917</w:t>
            </w:r>
          </w:p>
        </w:tc>
        <w:tc>
          <w:tcPr>
            <w:tcW w:w="2426" w:type="dxa"/>
            <w:tcBorders>
              <w:top w:val="nil"/>
              <w:bottom w:val="single" w:color="auto" w:sz="8" w:space="0"/>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25.4</w:t>
            </w:r>
          </w:p>
        </w:tc>
        <w:tc>
          <w:tcPr>
            <w:tcW w:w="2426" w:type="dxa"/>
            <w:tcBorders>
              <w:top w:val="nil"/>
              <w:bottom w:val="single" w:color="auto" w:sz="8" w:space="0"/>
            </w:tcBorders>
            <w:shd w:val="clear" w:color="auto" w:fill="auto"/>
            <w:noWrap/>
            <w:vAlign w:val="bottom"/>
          </w:tcPr>
          <w:p>
            <w:pPr>
              <w:widowControl/>
              <w:jc w:val="center"/>
              <w:textAlignment w:val="bottom"/>
              <w:rPr>
                <w:rFonts w:ascii="Arial" w:hAnsi="Arial" w:eastAsia="宋体" w:cs="Arial"/>
                <w:color w:val="000000"/>
                <w:sz w:val="20"/>
                <w:szCs w:val="20"/>
              </w:rPr>
            </w:pPr>
            <w:r>
              <w:rPr>
                <w:rFonts w:ascii="Arial" w:hAnsi="Arial" w:eastAsia="宋体" w:cs="Arial"/>
                <w:color w:val="000000"/>
                <w:kern w:val="0"/>
                <w:sz w:val="20"/>
                <w:szCs w:val="20"/>
                <w:lang w:bidi="ar"/>
              </w:rPr>
              <w:t>38.6</w:t>
            </w:r>
          </w:p>
        </w:tc>
      </w:tr>
    </w:tbl>
    <w:p>
      <w:pPr>
        <w:spacing w:before="156" w:beforeLines="50" w:after="156" w:afterLines="50"/>
        <w:rPr>
          <w:rFonts w:ascii="Arial" w:hAnsi="Arial" w:cs="Arial"/>
        </w:rPr>
      </w:pPr>
      <w:r>
        <w:rPr>
          <w:rFonts w:ascii="Arial" w:hAnsi="Arial" w:cs="Arial"/>
          <w:b/>
          <w:sz w:val="20"/>
          <w:szCs w:val="20"/>
        </w:rPr>
        <w:t>Supplementary Table 2. Glucagon and GLP-1 receptor-mediated cAMP synthesis by chimeric peptide analogs.</w:t>
      </w:r>
    </w:p>
    <w:tbl>
      <w:tblPr>
        <w:tblStyle w:val="5"/>
        <w:tblW w:w="0" w:type="auto"/>
        <w:tblInd w:w="102"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4"/>
        <w:gridCol w:w="1384"/>
        <w:gridCol w:w="1384"/>
        <w:gridCol w:w="1384"/>
        <w:gridCol w:w="1384"/>
        <w:gridCol w:w="1387"/>
      </w:tblGrid>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vMerge w:val="restart"/>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Peptide</w:t>
            </w:r>
          </w:p>
        </w:tc>
        <w:tc>
          <w:tcPr>
            <w:tcW w:w="1384" w:type="dxa"/>
            <w:tcBorders>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GCGR</w:t>
            </w:r>
          </w:p>
        </w:tc>
        <w:tc>
          <w:tcPr>
            <w:tcW w:w="1384" w:type="dxa"/>
            <w:tcBorders>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GLP-1R</w:t>
            </w:r>
          </w:p>
        </w:tc>
        <w:tc>
          <w:tcPr>
            <w:tcW w:w="1384" w:type="dxa"/>
            <w:tcBorders>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GCGR</w:t>
            </w:r>
          </w:p>
        </w:tc>
        <w:tc>
          <w:tcPr>
            <w:tcW w:w="1384" w:type="dxa"/>
            <w:tcBorders>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GLP-1R</w:t>
            </w:r>
          </w:p>
        </w:tc>
        <w:tc>
          <w:tcPr>
            <w:tcW w:w="1387" w:type="dxa"/>
            <w:tcBorders>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Selectivity ratio</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vMerge w:val="continue"/>
            <w:tcBorders>
              <w:bottom w:val="single" w:color="000000" w:sz="8" w:space="0"/>
            </w:tcBorders>
            <w:shd w:val="clear" w:color="auto" w:fill="auto"/>
            <w:vAlign w:val="center"/>
          </w:tcPr>
          <w:p>
            <w:pPr>
              <w:jc w:val="center"/>
              <w:rPr>
                <w:rFonts w:ascii="Arial" w:hAnsi="Arial" w:eastAsia="等线" w:cs="Arial"/>
                <w:color w:val="000000"/>
                <w:sz w:val="20"/>
                <w:szCs w:val="20"/>
              </w:rPr>
            </w:pPr>
          </w:p>
        </w:tc>
        <w:tc>
          <w:tcPr>
            <w:tcW w:w="1384" w:type="dxa"/>
            <w:tcBorders>
              <w:top w:val="single" w:color="000000" w:sz="8" w:space="0"/>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Style w:val="9"/>
                <w:rFonts w:hint="default" w:ascii="Arial" w:hAnsi="Arial" w:cs="Arial"/>
                <w:sz w:val="20"/>
                <w:szCs w:val="20"/>
                <w:lang w:bidi="ar"/>
              </w:rPr>
              <w:t>EC</w:t>
            </w:r>
            <w:r>
              <w:rPr>
                <w:rStyle w:val="10"/>
                <w:rFonts w:hint="default" w:ascii="Arial" w:hAnsi="Arial" w:cs="Arial"/>
                <w:sz w:val="20"/>
                <w:szCs w:val="20"/>
                <w:lang w:bidi="ar"/>
              </w:rPr>
              <w:t>50</w:t>
            </w:r>
            <w:r>
              <w:rPr>
                <w:rStyle w:val="10"/>
                <w:rFonts w:hint="default" w:ascii="Arial" w:hAnsi="Arial" w:cs="Arial"/>
                <w:sz w:val="20"/>
                <w:szCs w:val="20"/>
                <w:vertAlign w:val="baseline"/>
                <w:lang w:bidi="ar"/>
              </w:rPr>
              <w:t xml:space="preserve"> </w:t>
            </w:r>
            <w:r>
              <w:rPr>
                <w:rStyle w:val="9"/>
                <w:rFonts w:hint="default" w:ascii="Arial" w:hAnsi="Arial" w:cs="Arial"/>
                <w:sz w:val="20"/>
                <w:szCs w:val="20"/>
                <w:lang w:bidi="ar"/>
              </w:rPr>
              <w:t>(nM)</w:t>
            </w:r>
          </w:p>
        </w:tc>
        <w:tc>
          <w:tcPr>
            <w:tcW w:w="1384" w:type="dxa"/>
            <w:tcBorders>
              <w:top w:val="single" w:color="000000" w:sz="8" w:space="0"/>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Style w:val="9"/>
                <w:rFonts w:hint="default" w:ascii="Arial" w:hAnsi="Arial" w:cs="Arial"/>
                <w:sz w:val="20"/>
                <w:szCs w:val="20"/>
                <w:lang w:bidi="ar"/>
              </w:rPr>
              <w:t>EC</w:t>
            </w:r>
            <w:r>
              <w:rPr>
                <w:rStyle w:val="10"/>
                <w:rFonts w:hint="default" w:ascii="Arial" w:hAnsi="Arial" w:cs="Arial"/>
                <w:sz w:val="20"/>
                <w:szCs w:val="20"/>
                <w:lang w:bidi="ar"/>
              </w:rPr>
              <w:t>50</w:t>
            </w:r>
            <w:r>
              <w:rPr>
                <w:rStyle w:val="10"/>
                <w:rFonts w:hint="default" w:ascii="Arial" w:hAnsi="Arial" w:cs="Arial"/>
                <w:sz w:val="20"/>
                <w:szCs w:val="20"/>
                <w:vertAlign w:val="baseline"/>
                <w:lang w:bidi="ar"/>
              </w:rPr>
              <w:t xml:space="preserve"> </w:t>
            </w:r>
            <w:r>
              <w:rPr>
                <w:rStyle w:val="9"/>
                <w:rFonts w:hint="default" w:ascii="Arial" w:hAnsi="Arial" w:cs="Arial"/>
                <w:sz w:val="20"/>
                <w:szCs w:val="20"/>
                <w:lang w:bidi="ar"/>
              </w:rPr>
              <w:t>(nM)</w:t>
            </w:r>
          </w:p>
        </w:tc>
        <w:tc>
          <w:tcPr>
            <w:tcW w:w="1384" w:type="dxa"/>
            <w:tcBorders>
              <w:top w:val="single" w:color="000000" w:sz="8" w:space="0"/>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Relative %</w:t>
            </w:r>
          </w:p>
        </w:tc>
        <w:tc>
          <w:tcPr>
            <w:tcW w:w="1384" w:type="dxa"/>
            <w:tcBorders>
              <w:top w:val="single" w:color="000000" w:sz="8" w:space="0"/>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Relative %</w:t>
            </w:r>
          </w:p>
        </w:tc>
        <w:tc>
          <w:tcPr>
            <w:tcW w:w="1387" w:type="dxa"/>
            <w:tcBorders>
              <w:top w:val="single" w:color="000000" w:sz="8" w:space="0"/>
              <w:bottom w:val="single" w:color="000000" w:sz="8" w:space="0"/>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GCGR : GLP-1R</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op w:val="single" w:color="000000" w:sz="8" w:space="0"/>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sz w:val="20"/>
                <w:szCs w:val="20"/>
              </w:rPr>
              <w:t>Gl</w:t>
            </w:r>
            <w:r>
              <w:rPr>
                <w:rFonts w:ascii="Arial" w:hAnsi="Arial" w:cs="Arial"/>
                <w:sz w:val="20"/>
                <w:szCs w:val="20"/>
              </w:rPr>
              <w:t>ucagon</w:t>
            </w:r>
          </w:p>
        </w:tc>
        <w:tc>
          <w:tcPr>
            <w:tcW w:w="1384" w:type="dxa"/>
            <w:tcBorders>
              <w:top w:val="single" w:color="000000" w:sz="8" w:space="0"/>
              <w:tl2br w:val="nil"/>
              <w:tr2bl w:val="nil"/>
            </w:tcBorders>
            <w:shd w:val="clear" w:color="auto" w:fill="auto"/>
          </w:tcPr>
          <w:p>
            <w:pPr>
              <w:jc w:val="center"/>
              <w:rPr>
                <w:rFonts w:ascii="Arial" w:hAnsi="Arial" w:cs="Arial"/>
                <w:sz w:val="20"/>
                <w:szCs w:val="20"/>
              </w:rPr>
            </w:pPr>
            <w:r>
              <w:rPr>
                <w:rFonts w:ascii="Arial" w:hAnsi="Arial" w:cs="Arial"/>
                <w:sz w:val="20"/>
                <w:szCs w:val="20"/>
              </w:rPr>
              <w:t>111.45</w:t>
            </w:r>
          </w:p>
        </w:tc>
        <w:tc>
          <w:tcPr>
            <w:tcW w:w="1384" w:type="dxa"/>
            <w:tcBorders>
              <w:top w:val="single" w:color="000000" w:sz="8" w:space="0"/>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op w:val="single" w:color="000000" w:sz="8" w:space="0"/>
              <w:tl2br w:val="nil"/>
              <w:tr2bl w:val="nil"/>
            </w:tcBorders>
            <w:shd w:val="clear" w:color="auto" w:fill="auto"/>
          </w:tcPr>
          <w:p>
            <w:pPr>
              <w:jc w:val="center"/>
              <w:rPr>
                <w:rFonts w:ascii="Arial" w:hAnsi="Arial" w:cs="Arial"/>
                <w:sz w:val="20"/>
                <w:szCs w:val="20"/>
              </w:rPr>
            </w:pPr>
            <w:r>
              <w:rPr>
                <w:rFonts w:ascii="Arial" w:hAnsi="Arial" w:cs="Arial"/>
                <w:sz w:val="20"/>
                <w:szCs w:val="20"/>
              </w:rPr>
              <w:t>100.00</w:t>
            </w:r>
          </w:p>
        </w:tc>
        <w:tc>
          <w:tcPr>
            <w:tcW w:w="1384" w:type="dxa"/>
            <w:tcBorders>
              <w:top w:val="single" w:color="000000" w:sz="8" w:space="0"/>
              <w:tl2br w:val="nil"/>
              <w:tr2bl w:val="nil"/>
            </w:tcBorders>
            <w:shd w:val="clear" w:color="auto" w:fill="auto"/>
          </w:tcPr>
          <w:p>
            <w:pPr>
              <w:jc w:val="center"/>
              <w:rPr>
                <w:rFonts w:ascii="Arial" w:hAnsi="Arial" w:cs="Arial"/>
                <w:sz w:val="20"/>
                <w:szCs w:val="20"/>
              </w:rPr>
            </w:pPr>
            <w:r>
              <w:rPr>
                <w:rFonts w:ascii="Arial" w:hAnsi="Arial" w:cs="Arial"/>
                <w:sz w:val="20"/>
                <w:szCs w:val="20"/>
              </w:rPr>
              <w:t>&lt;0.1</w:t>
            </w:r>
          </w:p>
        </w:tc>
        <w:tc>
          <w:tcPr>
            <w:tcW w:w="1387" w:type="dxa"/>
            <w:tcBorders>
              <w:top w:val="single" w:color="000000" w:sz="8" w:space="0"/>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Semaglutide</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0.764</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5.23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&lt;0.001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Liraglutide</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0.040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100.00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&lt;0.001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0.037</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108.87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&lt;0.001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1902</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0.134</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29.77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&lt;0.001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1903</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742.99</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0.031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15.00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128.42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0.12</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1904</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974.66</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0.022</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11.43</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179.82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0.06</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1905</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0.008</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481.52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&lt;0.001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1906</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971.53</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0.028</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11.47</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143.20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0.08</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1907</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569.33</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0.002</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19.57</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2053.39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1908</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0.004</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890.67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&lt;0.001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1909</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0.838</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4.77 </w:t>
            </w:r>
          </w:p>
        </w:tc>
        <w:tc>
          <w:tcPr>
            <w:tcW w:w="1387" w:type="dxa"/>
            <w:tcBorders>
              <w:tl2br w:val="nil"/>
              <w:tr2bl w:val="nil"/>
            </w:tcBorders>
            <w:shd w:val="clear" w:color="auto" w:fill="auto"/>
          </w:tcPr>
          <w:p>
            <w:pPr>
              <w:jc w:val="center"/>
              <w:rPr>
                <w:rFonts w:hint="eastAsia" w:ascii="Arial" w:hAnsi="Arial" w:cs="Arial" w:eastAsiaTheme="minorEastAsia"/>
                <w:sz w:val="20"/>
                <w:szCs w:val="20"/>
                <w:lang w:val="en-US" w:eastAsia="zh-CN"/>
              </w:rPr>
            </w:pPr>
            <w:r>
              <w:rPr>
                <w:rFonts w:ascii="Arial" w:hAnsi="Arial" w:cs="Arial"/>
                <w:sz w:val="20"/>
                <w:szCs w:val="20"/>
              </w:rPr>
              <w:t>&lt;0.00</w:t>
            </w:r>
            <w:r>
              <w:rPr>
                <w:rFonts w:hint="eastAsia" w:ascii="Arial" w:hAnsi="Arial" w:cs="Arial"/>
                <w:sz w:val="20"/>
                <w:szCs w:val="20"/>
                <w:lang w:val="en-US" w:eastAsia="zh-CN"/>
              </w:rPr>
              <w:t>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0.041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97.04 </w:t>
            </w:r>
          </w:p>
        </w:tc>
        <w:tc>
          <w:tcPr>
            <w:tcW w:w="1387" w:type="dxa"/>
            <w:tcBorders>
              <w:tl2br w:val="nil"/>
              <w:tr2bl w:val="nil"/>
            </w:tcBorders>
            <w:shd w:val="clear" w:color="auto" w:fill="auto"/>
          </w:tcPr>
          <w:p>
            <w:pPr>
              <w:jc w:val="center"/>
              <w:rPr>
                <w:rFonts w:hint="eastAsia" w:ascii="Arial" w:hAnsi="Arial" w:cs="Arial" w:eastAsiaTheme="minorEastAsia"/>
                <w:sz w:val="20"/>
                <w:szCs w:val="20"/>
                <w:lang w:val="en-US" w:eastAsia="zh-CN"/>
              </w:rPr>
            </w:pPr>
            <w:r>
              <w:rPr>
                <w:rFonts w:ascii="Arial" w:hAnsi="Arial" w:cs="Arial"/>
                <w:sz w:val="20"/>
                <w:szCs w:val="20"/>
              </w:rPr>
              <w:t>&lt;0.00</w:t>
            </w:r>
            <w:r>
              <w:rPr>
                <w:rFonts w:hint="eastAsia" w:ascii="Arial" w:hAnsi="Arial" w:cs="Arial"/>
                <w:sz w:val="20"/>
                <w:szCs w:val="20"/>
                <w:lang w:val="en-US" w:eastAsia="zh-CN"/>
              </w:rPr>
              <w:t>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0.092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43.60 </w:t>
            </w:r>
          </w:p>
        </w:tc>
        <w:tc>
          <w:tcPr>
            <w:tcW w:w="1387" w:type="dxa"/>
            <w:tcBorders>
              <w:tl2br w:val="nil"/>
              <w:tr2bl w:val="nil"/>
            </w:tcBorders>
            <w:shd w:val="clear" w:color="auto" w:fill="auto"/>
          </w:tcPr>
          <w:p>
            <w:pPr>
              <w:jc w:val="center"/>
              <w:rPr>
                <w:rFonts w:hint="eastAsia" w:ascii="Arial" w:hAnsi="Arial" w:cs="Arial" w:eastAsiaTheme="minorEastAsia"/>
                <w:sz w:val="20"/>
                <w:szCs w:val="20"/>
                <w:lang w:val="en-US" w:eastAsia="zh-CN"/>
              </w:rPr>
            </w:pPr>
            <w:r>
              <w:rPr>
                <w:rFonts w:ascii="Arial" w:hAnsi="Arial" w:cs="Arial"/>
                <w:sz w:val="20"/>
                <w:szCs w:val="20"/>
              </w:rPr>
              <w:t>&lt;0.00</w:t>
            </w:r>
            <w:r>
              <w:rPr>
                <w:rFonts w:hint="eastAsia" w:ascii="Arial" w:hAnsi="Arial" w:cs="Arial"/>
                <w:sz w:val="20"/>
                <w:szCs w:val="20"/>
                <w:lang w:val="en-US" w:eastAsia="zh-CN"/>
              </w:rPr>
              <w:t>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1912</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&gt;1000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0.453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&lt;0.01</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8.82 </w:t>
            </w:r>
          </w:p>
        </w:tc>
        <w:tc>
          <w:tcPr>
            <w:tcW w:w="1387" w:type="dxa"/>
            <w:tcBorders>
              <w:tl2br w:val="nil"/>
              <w:tr2bl w:val="nil"/>
            </w:tcBorders>
            <w:shd w:val="clear" w:color="auto" w:fill="auto"/>
          </w:tcPr>
          <w:p>
            <w:pPr>
              <w:jc w:val="center"/>
              <w:rPr>
                <w:rFonts w:hint="eastAsia" w:ascii="Arial" w:hAnsi="Arial" w:cs="Arial" w:eastAsiaTheme="minorEastAsia"/>
                <w:sz w:val="20"/>
                <w:szCs w:val="20"/>
                <w:lang w:val="en-US" w:eastAsia="zh-CN"/>
              </w:rPr>
            </w:pPr>
            <w:r>
              <w:rPr>
                <w:rFonts w:ascii="Arial" w:hAnsi="Arial" w:cs="Arial"/>
                <w:sz w:val="20"/>
                <w:szCs w:val="20"/>
              </w:rPr>
              <w:t>&lt;0.00</w:t>
            </w:r>
            <w:r>
              <w:rPr>
                <w:rFonts w:hint="eastAsia" w:ascii="Arial" w:hAnsi="Arial" w:cs="Arial"/>
                <w:sz w:val="20"/>
                <w:szCs w:val="20"/>
                <w:lang w:val="en-US" w:eastAsia="zh-CN"/>
              </w:rPr>
              <w:t>1</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1913</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132.70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0.029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83.99</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138.60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0.61 </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1914</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113.68</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0.034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98.04</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118.14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0.83 </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1915</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69.66</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0.034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159.99</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119.24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1.34 </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1916</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267.04</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0.029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41.73</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136.60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0.31 </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84" w:type="dxa"/>
            <w:tcBorders>
              <w:tl2br w:val="nil"/>
              <w:tr2bl w:val="nil"/>
            </w:tcBorders>
            <w:shd w:val="clear" w:color="auto" w:fill="auto"/>
            <w:vAlign w:val="center"/>
          </w:tcPr>
          <w:p>
            <w:pPr>
              <w:widowControl/>
              <w:jc w:val="center"/>
              <w:textAlignment w:val="center"/>
              <w:rPr>
                <w:rFonts w:ascii="Arial" w:hAnsi="Arial" w:eastAsia="等线" w:cs="Arial"/>
                <w:color w:val="000000"/>
                <w:sz w:val="20"/>
                <w:szCs w:val="20"/>
              </w:rPr>
            </w:pPr>
            <w:r>
              <w:rPr>
                <w:rFonts w:ascii="Arial" w:hAnsi="Arial" w:eastAsia="等线" w:cs="Arial"/>
                <w:color w:val="000000"/>
                <w:kern w:val="0"/>
                <w:sz w:val="20"/>
                <w:szCs w:val="20"/>
                <w:lang w:bidi="ar"/>
              </w:rPr>
              <w:t>1917</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337.70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0.003 </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33.00</w:t>
            </w:r>
          </w:p>
        </w:tc>
        <w:tc>
          <w:tcPr>
            <w:tcW w:w="1384"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1393.73 </w:t>
            </w:r>
          </w:p>
        </w:tc>
        <w:tc>
          <w:tcPr>
            <w:tcW w:w="1387" w:type="dxa"/>
            <w:tcBorders>
              <w:tl2br w:val="nil"/>
              <w:tr2bl w:val="nil"/>
            </w:tcBorders>
            <w:shd w:val="clear" w:color="auto" w:fill="auto"/>
          </w:tcPr>
          <w:p>
            <w:pPr>
              <w:jc w:val="center"/>
              <w:rPr>
                <w:rFonts w:ascii="Arial" w:hAnsi="Arial" w:cs="Arial"/>
                <w:sz w:val="20"/>
                <w:szCs w:val="20"/>
              </w:rPr>
            </w:pPr>
            <w:r>
              <w:rPr>
                <w:rFonts w:ascii="Arial" w:hAnsi="Arial" w:cs="Arial"/>
                <w:sz w:val="20"/>
                <w:szCs w:val="20"/>
              </w:rPr>
              <w:t xml:space="preserve">0.02 </w:t>
            </w:r>
          </w:p>
        </w:tc>
      </w:tr>
    </w:tbl>
    <w:p>
      <w:pPr>
        <w:spacing w:before="156" w:beforeLines="50" w:after="156" w:afterLines="50"/>
        <w:rPr>
          <w:rFonts w:ascii="Arial" w:hAnsi="Arial" w:cs="Arial"/>
          <w:sz w:val="24"/>
        </w:rPr>
      </w:pPr>
      <w:r>
        <w:rPr>
          <w:rFonts w:ascii="Arial" w:hAnsi="Arial" w:cs="Arial"/>
          <w:b/>
          <w:sz w:val="20"/>
          <w:szCs w:val="20"/>
        </w:rPr>
        <w:t>Supplementary Table 3. Study on body weight of male SD rats.</w:t>
      </w:r>
    </w:p>
    <w:tbl>
      <w:tblPr>
        <w:tblStyle w:val="5"/>
        <w:tblW w:w="8358" w:type="dxa"/>
        <w:jc w:val="center"/>
        <w:tblLayout w:type="fixed"/>
        <w:tblCellMar>
          <w:top w:w="15" w:type="dxa"/>
          <w:left w:w="15" w:type="dxa"/>
          <w:bottom w:w="15" w:type="dxa"/>
          <w:right w:w="15" w:type="dxa"/>
        </w:tblCellMar>
      </w:tblPr>
      <w:tblGrid>
        <w:gridCol w:w="1671"/>
        <w:gridCol w:w="1671"/>
        <w:gridCol w:w="1671"/>
        <w:gridCol w:w="1671"/>
        <w:gridCol w:w="1674"/>
      </w:tblGrid>
      <w:tr>
        <w:tblPrEx>
          <w:tblCellMar>
            <w:top w:w="15" w:type="dxa"/>
            <w:left w:w="15" w:type="dxa"/>
            <w:bottom w:w="15" w:type="dxa"/>
            <w:right w:w="15" w:type="dxa"/>
          </w:tblCellMar>
        </w:tblPrEx>
        <w:trPr>
          <w:trHeight w:val="286" w:hRule="atLeast"/>
          <w:jc w:val="center"/>
        </w:trPr>
        <w:tc>
          <w:tcPr>
            <w:tcW w:w="1671" w:type="dxa"/>
            <w:tcBorders>
              <w:top w:val="single" w:color="000000"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sz w:val="20"/>
                <w:szCs w:val="20"/>
              </w:rPr>
              <w:t>Group</w:t>
            </w:r>
          </w:p>
        </w:tc>
        <w:tc>
          <w:tcPr>
            <w:tcW w:w="1671"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(1.5 mg/kg)</w:t>
            </w:r>
          </w:p>
        </w:tc>
        <w:tc>
          <w:tcPr>
            <w:tcW w:w="1671"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(0.75 mg/kg)</w:t>
            </w:r>
          </w:p>
        </w:tc>
        <w:tc>
          <w:tcPr>
            <w:tcW w:w="1671"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(0.25 mg/kg)</w:t>
            </w:r>
          </w:p>
        </w:tc>
        <w:tc>
          <w:tcPr>
            <w:tcW w:w="1674"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Vehicle</w:t>
            </w:r>
          </w:p>
        </w:tc>
      </w:tr>
      <w:tr>
        <w:tblPrEx>
          <w:tblCellMar>
            <w:top w:w="15" w:type="dxa"/>
            <w:left w:w="15" w:type="dxa"/>
            <w:bottom w:w="15" w:type="dxa"/>
            <w:right w:w="15" w:type="dxa"/>
          </w:tblCellMar>
        </w:tblPrEx>
        <w:trPr>
          <w:trHeight w:val="286" w:hRule="atLeast"/>
          <w:jc w:val="center"/>
        </w:trPr>
        <w:tc>
          <w:tcPr>
            <w:tcW w:w="1671" w:type="dxa"/>
            <w:tcBorders>
              <w:top w:val="nil"/>
              <w:bottom w:val="single" w:color="000000" w:sz="8" w:space="0"/>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Body Weigh (g)</w:t>
            </w:r>
          </w:p>
        </w:tc>
        <w:tc>
          <w:tcPr>
            <w:tcW w:w="1671" w:type="dxa"/>
            <w:vMerge w:val="continue"/>
            <w:tcBorders>
              <w:top w:val="nil"/>
              <w:bottom w:val="single" w:color="000000" w:sz="8" w:space="0"/>
            </w:tcBorders>
            <w:shd w:val="clear" w:color="auto" w:fill="auto"/>
            <w:vAlign w:val="center"/>
          </w:tcPr>
          <w:p>
            <w:pPr>
              <w:jc w:val="center"/>
              <w:rPr>
                <w:rFonts w:ascii="Arial" w:hAnsi="Arial" w:cs="Arial"/>
                <w:color w:val="000000"/>
                <w:sz w:val="20"/>
                <w:szCs w:val="20"/>
              </w:rPr>
            </w:pPr>
          </w:p>
        </w:tc>
        <w:tc>
          <w:tcPr>
            <w:tcW w:w="1671" w:type="dxa"/>
            <w:vMerge w:val="continue"/>
            <w:tcBorders>
              <w:top w:val="nil"/>
              <w:bottom w:val="single" w:color="000000" w:sz="8" w:space="0"/>
            </w:tcBorders>
            <w:shd w:val="clear" w:color="auto" w:fill="auto"/>
            <w:vAlign w:val="center"/>
          </w:tcPr>
          <w:p>
            <w:pPr>
              <w:jc w:val="center"/>
              <w:rPr>
                <w:rFonts w:ascii="Arial" w:hAnsi="Arial" w:cs="Arial"/>
                <w:color w:val="000000"/>
                <w:sz w:val="20"/>
                <w:szCs w:val="20"/>
              </w:rPr>
            </w:pPr>
          </w:p>
        </w:tc>
        <w:tc>
          <w:tcPr>
            <w:tcW w:w="1671" w:type="dxa"/>
            <w:vMerge w:val="continue"/>
            <w:tcBorders>
              <w:top w:val="nil"/>
              <w:bottom w:val="single" w:color="000000" w:sz="8" w:space="0"/>
            </w:tcBorders>
            <w:shd w:val="clear" w:color="auto" w:fill="auto"/>
            <w:vAlign w:val="center"/>
          </w:tcPr>
          <w:p>
            <w:pPr>
              <w:jc w:val="center"/>
              <w:rPr>
                <w:rFonts w:ascii="Arial" w:hAnsi="Arial" w:cs="Arial"/>
                <w:color w:val="000000"/>
                <w:sz w:val="20"/>
                <w:szCs w:val="20"/>
              </w:rPr>
            </w:pPr>
          </w:p>
        </w:tc>
        <w:tc>
          <w:tcPr>
            <w:tcW w:w="1674" w:type="dxa"/>
            <w:vMerge w:val="continue"/>
            <w:tcBorders>
              <w:top w:val="nil"/>
              <w:bottom w:val="single" w:color="000000" w:sz="8" w:space="0"/>
              <w:right w:val="nil"/>
            </w:tcBorders>
            <w:shd w:val="clear" w:color="auto" w:fill="auto"/>
            <w:vAlign w:val="center"/>
          </w:tcPr>
          <w:p>
            <w:pPr>
              <w:jc w:val="center"/>
              <w:rPr>
                <w:rFonts w:ascii="Arial" w:hAnsi="Arial" w:cs="Arial"/>
                <w:color w:val="000000"/>
                <w:sz w:val="20"/>
                <w:szCs w:val="20"/>
              </w:rPr>
            </w:pPr>
          </w:p>
        </w:tc>
      </w:tr>
      <w:tr>
        <w:tblPrEx>
          <w:tblCellMar>
            <w:top w:w="15" w:type="dxa"/>
            <w:left w:w="15" w:type="dxa"/>
            <w:bottom w:w="15" w:type="dxa"/>
            <w:right w:w="15" w:type="dxa"/>
          </w:tblCellMar>
        </w:tblPrEx>
        <w:trPr>
          <w:trHeight w:val="286" w:hRule="atLeast"/>
          <w:jc w:val="center"/>
        </w:trPr>
        <w:tc>
          <w:tcPr>
            <w:tcW w:w="1671" w:type="dxa"/>
            <w:tcBorders>
              <w:top w:val="single" w:color="000000"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Initial</w:t>
            </w:r>
          </w:p>
        </w:tc>
        <w:tc>
          <w:tcPr>
            <w:tcW w:w="1671"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141.6 ± 8.91</w:t>
            </w:r>
          </w:p>
        </w:tc>
        <w:tc>
          <w:tcPr>
            <w:tcW w:w="1671"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143.6 ± 6.23</w:t>
            </w:r>
          </w:p>
        </w:tc>
        <w:tc>
          <w:tcPr>
            <w:tcW w:w="1671"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146.4 ± 12.38</w:t>
            </w:r>
          </w:p>
        </w:tc>
        <w:tc>
          <w:tcPr>
            <w:tcW w:w="1674"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148.8 ± 7.12</w:t>
            </w:r>
          </w:p>
        </w:tc>
      </w:tr>
      <w:tr>
        <w:tblPrEx>
          <w:tblCellMar>
            <w:top w:w="15" w:type="dxa"/>
            <w:left w:w="15" w:type="dxa"/>
            <w:bottom w:w="15" w:type="dxa"/>
            <w:right w:w="15" w:type="dxa"/>
          </w:tblCellMar>
        </w:tblPrEx>
        <w:trPr>
          <w:trHeight w:val="286" w:hRule="atLeast"/>
          <w:jc w:val="center"/>
        </w:trPr>
        <w:tc>
          <w:tcPr>
            <w:tcW w:w="167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 xml:space="preserve">1 week </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184.4 ± 11.08*</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196.4 ± 10.64</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206 ± 16.17</w:t>
            </w:r>
          </w:p>
        </w:tc>
        <w:tc>
          <w:tcPr>
            <w:tcW w:w="167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209.4 ± 8.11</w:t>
            </w:r>
          </w:p>
        </w:tc>
      </w:tr>
      <w:tr>
        <w:tblPrEx>
          <w:tblCellMar>
            <w:top w:w="15" w:type="dxa"/>
            <w:left w:w="15" w:type="dxa"/>
            <w:bottom w:w="15" w:type="dxa"/>
            <w:right w:w="15" w:type="dxa"/>
          </w:tblCellMar>
        </w:tblPrEx>
        <w:trPr>
          <w:trHeight w:val="286" w:hRule="atLeast"/>
          <w:jc w:val="center"/>
        </w:trPr>
        <w:tc>
          <w:tcPr>
            <w:tcW w:w="167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 weeks</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228.4 ± 10.41*</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239 ± 10.15*</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257 ± 15.38</w:t>
            </w:r>
          </w:p>
        </w:tc>
        <w:tc>
          <w:tcPr>
            <w:tcW w:w="167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259 ± 10.98</w:t>
            </w:r>
          </w:p>
        </w:tc>
      </w:tr>
      <w:tr>
        <w:tblPrEx>
          <w:tblCellMar>
            <w:top w:w="15" w:type="dxa"/>
            <w:left w:w="15" w:type="dxa"/>
            <w:bottom w:w="15" w:type="dxa"/>
            <w:right w:w="15" w:type="dxa"/>
          </w:tblCellMar>
        </w:tblPrEx>
        <w:trPr>
          <w:trHeight w:val="286" w:hRule="atLeast"/>
          <w:jc w:val="center"/>
        </w:trPr>
        <w:tc>
          <w:tcPr>
            <w:tcW w:w="167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 weeks</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263 ± 12.75*</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275.2 ± 14.96*</w:t>
            </w:r>
          </w:p>
        </w:tc>
        <w:tc>
          <w:tcPr>
            <w:tcW w:w="167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303 ± 11.9</w:t>
            </w:r>
          </w:p>
        </w:tc>
        <w:tc>
          <w:tcPr>
            <w:tcW w:w="167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299.6 ± 10.43</w:t>
            </w:r>
          </w:p>
        </w:tc>
      </w:tr>
      <w:tr>
        <w:tblPrEx>
          <w:tblCellMar>
            <w:top w:w="15" w:type="dxa"/>
            <w:left w:w="15" w:type="dxa"/>
            <w:bottom w:w="15" w:type="dxa"/>
            <w:right w:w="15" w:type="dxa"/>
          </w:tblCellMar>
        </w:tblPrEx>
        <w:trPr>
          <w:trHeight w:val="286" w:hRule="atLeast"/>
          <w:jc w:val="center"/>
        </w:trPr>
        <w:tc>
          <w:tcPr>
            <w:tcW w:w="1671" w:type="dxa"/>
            <w:tcBorders>
              <w:top w:val="nil"/>
              <w:left w:val="nil"/>
              <w:bottom w:val="single" w:color="000000"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 weeks</w:t>
            </w:r>
          </w:p>
        </w:tc>
        <w:tc>
          <w:tcPr>
            <w:tcW w:w="1671"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292.6 ± 11.72*</w:t>
            </w:r>
          </w:p>
        </w:tc>
        <w:tc>
          <w:tcPr>
            <w:tcW w:w="1671"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314.4 ± 13.33</w:t>
            </w:r>
          </w:p>
        </w:tc>
        <w:tc>
          <w:tcPr>
            <w:tcW w:w="1671"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344.2 ± 14.41</w:t>
            </w:r>
          </w:p>
        </w:tc>
        <w:tc>
          <w:tcPr>
            <w:tcW w:w="1674"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331.2 ± 16.08</w:t>
            </w:r>
          </w:p>
        </w:tc>
      </w:tr>
    </w:tbl>
    <w:p>
      <w:pPr>
        <w:widowControl/>
        <w:jc w:val="left"/>
        <w:textAlignment w:val="center"/>
        <w:rPr>
          <w:rFonts w:ascii="Arial" w:hAnsi="Arial" w:cs="Arial"/>
          <w:color w:val="000000"/>
          <w:kern w:val="0"/>
          <w:sz w:val="20"/>
          <w:szCs w:val="20"/>
        </w:rPr>
      </w:pPr>
      <w:r>
        <w:rPr>
          <w:rFonts w:ascii="Arial" w:hAnsi="Arial" w:cs="Arial"/>
          <w:color w:val="000000"/>
          <w:kern w:val="0"/>
          <w:sz w:val="20"/>
          <w:szCs w:val="20"/>
        </w:rPr>
        <w:t>Values shown are mean ± SD, n=5.</w:t>
      </w:r>
      <w:r>
        <w:rPr>
          <w:rFonts w:ascii="Arial" w:hAnsi="Arial" w:cs="Arial"/>
          <w:sz w:val="20"/>
          <w:szCs w:val="20"/>
        </w:rPr>
        <w:t xml:space="preserve"> </w:t>
      </w:r>
      <w:r>
        <w:rPr>
          <w:rFonts w:ascii="Arial" w:hAnsi="Arial" w:cs="Arial"/>
          <w:color w:val="000000"/>
          <w:kern w:val="0"/>
          <w:sz w:val="20"/>
          <w:szCs w:val="20"/>
        </w:rPr>
        <w:t>*</w:t>
      </w:r>
      <w:r>
        <w:rPr>
          <w:rFonts w:ascii="Arial" w:hAnsi="Arial" w:cs="Arial"/>
          <w:i/>
          <w:color w:val="000000"/>
          <w:kern w:val="0"/>
          <w:sz w:val="20"/>
          <w:szCs w:val="20"/>
        </w:rPr>
        <w:t>P</w:t>
      </w:r>
      <w:r>
        <w:rPr>
          <w:rFonts w:ascii="Arial" w:hAnsi="Arial" w:cs="Arial"/>
          <w:color w:val="000000"/>
          <w:kern w:val="0"/>
          <w:sz w:val="20"/>
          <w:szCs w:val="20"/>
        </w:rPr>
        <w:t xml:space="preserve"> &lt; 0.05 vs. vehicle mice.</w:t>
      </w:r>
    </w:p>
    <w:p>
      <w:pPr>
        <w:spacing w:before="156" w:beforeLines="50" w:after="156" w:afterLines="50"/>
        <w:rPr>
          <w:rFonts w:ascii="Arial" w:hAnsi="Arial" w:cs="Arial"/>
          <w:sz w:val="24"/>
        </w:rPr>
      </w:pPr>
      <w:r>
        <w:rPr>
          <w:rFonts w:ascii="Arial" w:hAnsi="Arial" w:cs="Arial"/>
          <w:b/>
          <w:sz w:val="20"/>
          <w:szCs w:val="20"/>
        </w:rPr>
        <w:t>Supplementary Table 4. Study on body weight of female SD rats.</w:t>
      </w:r>
    </w:p>
    <w:tbl>
      <w:tblPr>
        <w:tblStyle w:val="5"/>
        <w:tblW w:w="8313" w:type="dxa"/>
        <w:jc w:val="center"/>
        <w:tblLayout w:type="fixed"/>
        <w:tblCellMar>
          <w:top w:w="15" w:type="dxa"/>
          <w:left w:w="15" w:type="dxa"/>
          <w:bottom w:w="15" w:type="dxa"/>
          <w:right w:w="15" w:type="dxa"/>
        </w:tblCellMar>
      </w:tblPr>
      <w:tblGrid>
        <w:gridCol w:w="1662"/>
        <w:gridCol w:w="1662"/>
        <w:gridCol w:w="1662"/>
        <w:gridCol w:w="1662"/>
        <w:gridCol w:w="1665"/>
      </w:tblGrid>
      <w:tr>
        <w:tblPrEx>
          <w:tblCellMar>
            <w:top w:w="15" w:type="dxa"/>
            <w:left w:w="15" w:type="dxa"/>
            <w:bottom w:w="15" w:type="dxa"/>
            <w:right w:w="15" w:type="dxa"/>
          </w:tblCellMar>
        </w:tblPrEx>
        <w:trPr>
          <w:trHeight w:val="286" w:hRule="atLeast"/>
          <w:jc w:val="center"/>
        </w:trPr>
        <w:tc>
          <w:tcPr>
            <w:tcW w:w="1662" w:type="dxa"/>
            <w:tcBorders>
              <w:top w:val="single" w:color="000000"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sz w:val="20"/>
                <w:szCs w:val="20"/>
              </w:rPr>
              <w:t>Group</w:t>
            </w:r>
          </w:p>
        </w:tc>
        <w:tc>
          <w:tcPr>
            <w:tcW w:w="1662"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(1.5 mg/kg)</w:t>
            </w:r>
          </w:p>
        </w:tc>
        <w:tc>
          <w:tcPr>
            <w:tcW w:w="1662"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(0.75 mg/kg)</w:t>
            </w:r>
          </w:p>
        </w:tc>
        <w:tc>
          <w:tcPr>
            <w:tcW w:w="1662"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(0.25 mg/kg)</w:t>
            </w:r>
          </w:p>
        </w:tc>
        <w:tc>
          <w:tcPr>
            <w:tcW w:w="1665"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Vehicle</w:t>
            </w:r>
          </w:p>
        </w:tc>
      </w:tr>
      <w:tr>
        <w:tblPrEx>
          <w:tblCellMar>
            <w:top w:w="15" w:type="dxa"/>
            <w:left w:w="15" w:type="dxa"/>
            <w:bottom w:w="15" w:type="dxa"/>
            <w:right w:w="15" w:type="dxa"/>
          </w:tblCellMar>
        </w:tblPrEx>
        <w:trPr>
          <w:trHeight w:val="286" w:hRule="atLeast"/>
          <w:jc w:val="center"/>
        </w:trPr>
        <w:tc>
          <w:tcPr>
            <w:tcW w:w="1662" w:type="dxa"/>
            <w:tcBorders>
              <w:top w:val="nil"/>
              <w:bottom w:val="single" w:color="000000" w:sz="8" w:space="0"/>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Body weight (g)</w:t>
            </w:r>
          </w:p>
        </w:tc>
        <w:tc>
          <w:tcPr>
            <w:tcW w:w="1662" w:type="dxa"/>
            <w:vMerge w:val="continue"/>
            <w:tcBorders>
              <w:top w:val="nil"/>
              <w:bottom w:val="single" w:color="000000" w:sz="8" w:space="0"/>
            </w:tcBorders>
            <w:shd w:val="clear" w:color="auto" w:fill="auto"/>
            <w:vAlign w:val="center"/>
          </w:tcPr>
          <w:p>
            <w:pPr>
              <w:jc w:val="center"/>
              <w:rPr>
                <w:rFonts w:ascii="Arial" w:hAnsi="Arial" w:cs="Arial"/>
                <w:color w:val="000000"/>
                <w:sz w:val="20"/>
                <w:szCs w:val="20"/>
              </w:rPr>
            </w:pPr>
          </w:p>
        </w:tc>
        <w:tc>
          <w:tcPr>
            <w:tcW w:w="1662" w:type="dxa"/>
            <w:vMerge w:val="continue"/>
            <w:tcBorders>
              <w:top w:val="nil"/>
              <w:bottom w:val="single" w:color="000000" w:sz="8" w:space="0"/>
            </w:tcBorders>
            <w:shd w:val="clear" w:color="auto" w:fill="auto"/>
            <w:vAlign w:val="center"/>
          </w:tcPr>
          <w:p>
            <w:pPr>
              <w:jc w:val="center"/>
              <w:rPr>
                <w:rFonts w:ascii="Arial" w:hAnsi="Arial" w:cs="Arial"/>
                <w:color w:val="000000"/>
                <w:sz w:val="20"/>
                <w:szCs w:val="20"/>
              </w:rPr>
            </w:pPr>
          </w:p>
        </w:tc>
        <w:tc>
          <w:tcPr>
            <w:tcW w:w="1662" w:type="dxa"/>
            <w:vMerge w:val="continue"/>
            <w:tcBorders>
              <w:top w:val="nil"/>
              <w:bottom w:val="single" w:color="000000" w:sz="8" w:space="0"/>
            </w:tcBorders>
            <w:shd w:val="clear" w:color="auto" w:fill="auto"/>
            <w:vAlign w:val="center"/>
          </w:tcPr>
          <w:p>
            <w:pPr>
              <w:jc w:val="center"/>
              <w:rPr>
                <w:rFonts w:ascii="Arial" w:hAnsi="Arial" w:cs="Arial"/>
                <w:color w:val="000000"/>
                <w:sz w:val="20"/>
                <w:szCs w:val="20"/>
              </w:rPr>
            </w:pPr>
          </w:p>
        </w:tc>
        <w:tc>
          <w:tcPr>
            <w:tcW w:w="1665" w:type="dxa"/>
            <w:vMerge w:val="continue"/>
            <w:tcBorders>
              <w:top w:val="nil"/>
              <w:bottom w:val="single" w:color="000000" w:sz="8" w:space="0"/>
              <w:right w:val="nil"/>
            </w:tcBorders>
            <w:shd w:val="clear" w:color="auto" w:fill="auto"/>
            <w:vAlign w:val="center"/>
          </w:tcPr>
          <w:p>
            <w:pPr>
              <w:jc w:val="center"/>
              <w:rPr>
                <w:rFonts w:ascii="Arial" w:hAnsi="Arial" w:cs="Arial"/>
                <w:color w:val="000000"/>
                <w:sz w:val="20"/>
                <w:szCs w:val="20"/>
              </w:rPr>
            </w:pPr>
          </w:p>
        </w:tc>
      </w:tr>
      <w:tr>
        <w:tblPrEx>
          <w:tblCellMar>
            <w:top w:w="15" w:type="dxa"/>
            <w:left w:w="15" w:type="dxa"/>
            <w:bottom w:w="15" w:type="dxa"/>
            <w:right w:w="15" w:type="dxa"/>
          </w:tblCellMar>
        </w:tblPrEx>
        <w:trPr>
          <w:trHeight w:val="286" w:hRule="atLeast"/>
          <w:jc w:val="center"/>
        </w:trPr>
        <w:tc>
          <w:tcPr>
            <w:tcW w:w="1662" w:type="dxa"/>
            <w:tcBorders>
              <w:top w:val="single" w:color="000000"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Initial</w:t>
            </w:r>
          </w:p>
        </w:tc>
        <w:tc>
          <w:tcPr>
            <w:tcW w:w="1662"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187.6 ± 3.97</w:t>
            </w:r>
          </w:p>
        </w:tc>
        <w:tc>
          <w:tcPr>
            <w:tcW w:w="1662"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182.2 ± 11.43</w:t>
            </w:r>
          </w:p>
        </w:tc>
        <w:tc>
          <w:tcPr>
            <w:tcW w:w="1662"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186.4 ± 7.44</w:t>
            </w:r>
          </w:p>
        </w:tc>
        <w:tc>
          <w:tcPr>
            <w:tcW w:w="1665"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183.6 ± 15.66</w:t>
            </w:r>
          </w:p>
        </w:tc>
      </w:tr>
      <w:tr>
        <w:tblPrEx>
          <w:tblCellMar>
            <w:top w:w="15" w:type="dxa"/>
            <w:left w:w="15" w:type="dxa"/>
            <w:bottom w:w="15" w:type="dxa"/>
            <w:right w:w="15" w:type="dxa"/>
          </w:tblCellMar>
        </w:tblPrEx>
        <w:trPr>
          <w:trHeight w:val="286" w:hRule="atLeast"/>
          <w:jc w:val="center"/>
        </w:trPr>
        <w:tc>
          <w:tcPr>
            <w:tcW w:w="1662"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 xml:space="preserve">1 week </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196.8 ± 15.16*</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206.2 ± 13.59</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219.2 ± 9.44</w:t>
            </w:r>
          </w:p>
        </w:tc>
        <w:tc>
          <w:tcPr>
            <w:tcW w:w="1665"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220.0 ± 14.90</w:t>
            </w:r>
          </w:p>
        </w:tc>
      </w:tr>
      <w:tr>
        <w:tblPrEx>
          <w:tblCellMar>
            <w:top w:w="15" w:type="dxa"/>
            <w:left w:w="15" w:type="dxa"/>
            <w:bottom w:w="15" w:type="dxa"/>
            <w:right w:w="15" w:type="dxa"/>
          </w:tblCellMar>
        </w:tblPrEx>
        <w:trPr>
          <w:trHeight w:val="286" w:hRule="atLeast"/>
          <w:jc w:val="center"/>
        </w:trPr>
        <w:tc>
          <w:tcPr>
            <w:tcW w:w="1662"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 weeks</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222.6 ± 10.24</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230.4 ± 12.93</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236.6 ± 8.32</w:t>
            </w:r>
          </w:p>
        </w:tc>
        <w:tc>
          <w:tcPr>
            <w:tcW w:w="1665"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237.4 ± 15.34</w:t>
            </w:r>
          </w:p>
        </w:tc>
      </w:tr>
      <w:tr>
        <w:tblPrEx>
          <w:tblCellMar>
            <w:top w:w="15" w:type="dxa"/>
            <w:left w:w="15" w:type="dxa"/>
            <w:bottom w:w="15" w:type="dxa"/>
            <w:right w:w="15" w:type="dxa"/>
          </w:tblCellMar>
        </w:tblPrEx>
        <w:trPr>
          <w:trHeight w:val="286" w:hRule="atLeast"/>
          <w:jc w:val="center"/>
        </w:trPr>
        <w:tc>
          <w:tcPr>
            <w:tcW w:w="1662"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 weeks</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237.0 ± 8.40</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237.6 ± 16.04</w:t>
            </w:r>
          </w:p>
        </w:tc>
        <w:tc>
          <w:tcPr>
            <w:tcW w:w="1662"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249.6 ± 5.46</w:t>
            </w:r>
          </w:p>
        </w:tc>
        <w:tc>
          <w:tcPr>
            <w:tcW w:w="1665"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253.8 ± 18.49</w:t>
            </w:r>
          </w:p>
        </w:tc>
      </w:tr>
      <w:tr>
        <w:tblPrEx>
          <w:tblCellMar>
            <w:top w:w="15" w:type="dxa"/>
            <w:left w:w="15" w:type="dxa"/>
            <w:bottom w:w="15" w:type="dxa"/>
            <w:right w:w="15" w:type="dxa"/>
          </w:tblCellMar>
        </w:tblPrEx>
        <w:trPr>
          <w:trHeight w:val="286" w:hRule="atLeast"/>
          <w:jc w:val="center"/>
        </w:trPr>
        <w:tc>
          <w:tcPr>
            <w:tcW w:w="1662" w:type="dxa"/>
            <w:tcBorders>
              <w:top w:val="nil"/>
              <w:left w:val="nil"/>
              <w:bottom w:val="single" w:color="000000"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 weeks</w:t>
            </w:r>
          </w:p>
        </w:tc>
        <w:tc>
          <w:tcPr>
            <w:tcW w:w="1662"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245.2 ± 13.37</w:t>
            </w:r>
          </w:p>
        </w:tc>
        <w:tc>
          <w:tcPr>
            <w:tcW w:w="1662"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250.8 ± 20.17</w:t>
            </w:r>
          </w:p>
        </w:tc>
        <w:tc>
          <w:tcPr>
            <w:tcW w:w="1662"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266 ± 10.49</w:t>
            </w:r>
          </w:p>
        </w:tc>
        <w:tc>
          <w:tcPr>
            <w:tcW w:w="1665"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269.0 ± 20.09</w:t>
            </w:r>
          </w:p>
        </w:tc>
      </w:tr>
    </w:tbl>
    <w:p>
      <w:pPr>
        <w:widowControl/>
        <w:jc w:val="left"/>
        <w:textAlignment w:val="center"/>
        <w:rPr>
          <w:rFonts w:ascii="Arial" w:hAnsi="Arial" w:cs="Arial"/>
          <w:color w:val="000000"/>
          <w:kern w:val="0"/>
          <w:sz w:val="20"/>
          <w:szCs w:val="20"/>
        </w:rPr>
      </w:pPr>
      <w:r>
        <w:rPr>
          <w:rFonts w:ascii="Arial" w:hAnsi="Arial" w:cs="Arial"/>
          <w:color w:val="000000"/>
          <w:kern w:val="0"/>
          <w:sz w:val="20"/>
          <w:szCs w:val="20"/>
        </w:rPr>
        <w:t>Values shown are mean ± SD, n=5.</w:t>
      </w:r>
      <w:r>
        <w:rPr>
          <w:rFonts w:ascii="Arial" w:hAnsi="Arial" w:cs="Arial"/>
          <w:sz w:val="20"/>
          <w:szCs w:val="20"/>
        </w:rPr>
        <w:t xml:space="preserve"> </w:t>
      </w:r>
      <w:r>
        <w:rPr>
          <w:rFonts w:ascii="Arial" w:hAnsi="Arial" w:cs="Arial"/>
          <w:color w:val="000000"/>
          <w:kern w:val="0"/>
          <w:sz w:val="20"/>
          <w:szCs w:val="20"/>
        </w:rPr>
        <w:t>*</w:t>
      </w:r>
      <w:r>
        <w:rPr>
          <w:rFonts w:ascii="Arial" w:hAnsi="Arial" w:cs="Arial"/>
          <w:i/>
          <w:color w:val="000000"/>
          <w:kern w:val="0"/>
          <w:sz w:val="20"/>
          <w:szCs w:val="20"/>
        </w:rPr>
        <w:t>P</w:t>
      </w:r>
      <w:r>
        <w:rPr>
          <w:rFonts w:ascii="Arial" w:hAnsi="Arial" w:cs="Arial"/>
          <w:color w:val="000000"/>
          <w:kern w:val="0"/>
          <w:sz w:val="20"/>
          <w:szCs w:val="20"/>
        </w:rPr>
        <w:t xml:space="preserve"> &lt; 0.05 vs. vehicle mice.</w:t>
      </w:r>
    </w:p>
    <w:p>
      <w:pPr>
        <w:spacing w:before="156" w:beforeLines="50" w:after="156" w:afterLines="50"/>
        <w:rPr>
          <w:rFonts w:ascii="Arial" w:hAnsi="Arial" w:cs="Arial"/>
          <w:sz w:val="24"/>
        </w:rPr>
      </w:pPr>
      <w:r>
        <w:rPr>
          <w:rFonts w:ascii="Arial" w:hAnsi="Arial" w:cs="Arial"/>
          <w:b/>
          <w:sz w:val="20"/>
          <w:szCs w:val="20"/>
        </w:rPr>
        <w:t>Supplementary Table 5. Study on organ index of male SD rats.</w:t>
      </w:r>
    </w:p>
    <w:tbl>
      <w:tblPr>
        <w:tblStyle w:val="5"/>
        <w:tblW w:w="8289" w:type="dxa"/>
        <w:jc w:val="center"/>
        <w:tblLayout w:type="fixed"/>
        <w:tblCellMar>
          <w:top w:w="15" w:type="dxa"/>
          <w:left w:w="15" w:type="dxa"/>
          <w:bottom w:w="15" w:type="dxa"/>
          <w:right w:w="15" w:type="dxa"/>
        </w:tblCellMar>
      </w:tblPr>
      <w:tblGrid>
        <w:gridCol w:w="1657"/>
        <w:gridCol w:w="1657"/>
        <w:gridCol w:w="1657"/>
        <w:gridCol w:w="1657"/>
        <w:gridCol w:w="1661"/>
      </w:tblGrid>
      <w:tr>
        <w:tblPrEx>
          <w:tblCellMar>
            <w:top w:w="15" w:type="dxa"/>
            <w:left w:w="15" w:type="dxa"/>
            <w:bottom w:w="15" w:type="dxa"/>
            <w:right w:w="15" w:type="dxa"/>
          </w:tblCellMar>
        </w:tblPrEx>
        <w:trPr>
          <w:trHeight w:val="286" w:hRule="atLeast"/>
          <w:jc w:val="center"/>
        </w:trPr>
        <w:tc>
          <w:tcPr>
            <w:tcW w:w="1657" w:type="dxa"/>
            <w:tcBorders>
              <w:top w:val="single" w:color="000000"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sz w:val="20"/>
                <w:szCs w:val="20"/>
              </w:rPr>
              <w:t>Group</w:t>
            </w:r>
          </w:p>
        </w:tc>
        <w:tc>
          <w:tcPr>
            <w:tcW w:w="1657"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(1.5 mg/kg)</w:t>
            </w:r>
          </w:p>
        </w:tc>
        <w:tc>
          <w:tcPr>
            <w:tcW w:w="1657"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(0.75 mg/kg)</w:t>
            </w:r>
          </w:p>
        </w:tc>
        <w:tc>
          <w:tcPr>
            <w:tcW w:w="1657"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(0.25 mg/kg)</w:t>
            </w:r>
          </w:p>
        </w:tc>
        <w:tc>
          <w:tcPr>
            <w:tcW w:w="1661"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Vehicle</w:t>
            </w:r>
          </w:p>
        </w:tc>
      </w:tr>
      <w:tr>
        <w:tblPrEx>
          <w:tblCellMar>
            <w:top w:w="15" w:type="dxa"/>
            <w:left w:w="15" w:type="dxa"/>
            <w:bottom w:w="15" w:type="dxa"/>
            <w:right w:w="15" w:type="dxa"/>
          </w:tblCellMar>
        </w:tblPrEx>
        <w:trPr>
          <w:trHeight w:val="286" w:hRule="atLeast"/>
          <w:jc w:val="center"/>
        </w:trPr>
        <w:tc>
          <w:tcPr>
            <w:tcW w:w="1657" w:type="dxa"/>
            <w:tcBorders>
              <w:top w:val="nil"/>
              <w:bottom w:val="single" w:color="auto" w:sz="8" w:space="0"/>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sz w:val="20"/>
                <w:szCs w:val="20"/>
              </w:rPr>
              <w:t xml:space="preserve">Organ index </w:t>
            </w:r>
            <w:r>
              <w:rPr>
                <w:rFonts w:ascii="Arial" w:hAnsi="Arial" w:cs="Arial"/>
                <w:color w:val="000000"/>
                <w:kern w:val="0"/>
                <w:sz w:val="20"/>
                <w:szCs w:val="20"/>
              </w:rPr>
              <w:t>(mg/g)</w:t>
            </w:r>
          </w:p>
        </w:tc>
        <w:tc>
          <w:tcPr>
            <w:tcW w:w="1657"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57"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57"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61" w:type="dxa"/>
            <w:vMerge w:val="continue"/>
            <w:tcBorders>
              <w:top w:val="nil"/>
              <w:bottom w:val="single" w:color="auto" w:sz="8" w:space="0"/>
              <w:right w:val="nil"/>
            </w:tcBorders>
            <w:shd w:val="clear" w:color="auto" w:fill="auto"/>
            <w:vAlign w:val="center"/>
          </w:tcPr>
          <w:p>
            <w:pPr>
              <w:jc w:val="center"/>
              <w:rPr>
                <w:rFonts w:ascii="Arial" w:hAnsi="Arial" w:cs="Arial"/>
                <w:color w:val="000000"/>
                <w:sz w:val="20"/>
                <w:szCs w:val="20"/>
              </w:rPr>
            </w:pPr>
          </w:p>
        </w:tc>
      </w:tr>
      <w:tr>
        <w:tblPrEx>
          <w:tblCellMar>
            <w:top w:w="15" w:type="dxa"/>
            <w:left w:w="15" w:type="dxa"/>
            <w:bottom w:w="15" w:type="dxa"/>
            <w:right w:w="15" w:type="dxa"/>
          </w:tblCellMar>
        </w:tblPrEx>
        <w:trPr>
          <w:trHeight w:val="286" w:hRule="atLeast"/>
          <w:jc w:val="center"/>
        </w:trPr>
        <w:tc>
          <w:tcPr>
            <w:tcW w:w="1657" w:type="dxa"/>
            <w:tcBorders>
              <w:top w:val="single" w:color="auto"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Heart</w:t>
            </w:r>
          </w:p>
        </w:tc>
        <w:tc>
          <w:tcPr>
            <w:tcW w:w="1657"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3.36 ± 0.43</w:t>
            </w:r>
          </w:p>
        </w:tc>
        <w:tc>
          <w:tcPr>
            <w:tcW w:w="1657"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3.78 ± 0.17*</w:t>
            </w:r>
          </w:p>
        </w:tc>
        <w:tc>
          <w:tcPr>
            <w:tcW w:w="1657"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3.51 ± 0.36</w:t>
            </w:r>
          </w:p>
        </w:tc>
        <w:tc>
          <w:tcPr>
            <w:tcW w:w="1661"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3.12 ± 0.27</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Liver</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35.28 ± 1.87</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33.29 ± 2*</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35.89 ± 2.28</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38.2 ± 2.8</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Spleen</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2.17 ± 0.52</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2.02 ± 0.26</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2.04 ± 0.26</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2.44 ± 0.3</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Lung</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4.53 ± 0.23</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4.13 ± 0.37</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 ± 0.29</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4.45 ± 0.55</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Kidney</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7.87 ± 0.41</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8.01 ± 0.44</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7.61 ± 0.76</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7.34 ± 0.6</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Adrenal glands</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0.15 ± 0.03</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0.14 ± 0.06</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0.15 ± 0.04</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0.14 ± 0.01</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Thymus</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1.63 ± 0.33</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1.38 ± 0.36</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1.55 ± 0.32</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1.58 ± 0.28</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Brain</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6.2 ± 0.62</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5.83 ± 0.31</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5.3 ± 0.23</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5.6 ± 0.36</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Epididymis</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2.39 ± 0.26</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2.35 ± 0.14</w:t>
            </w:r>
          </w:p>
        </w:tc>
        <w:tc>
          <w:tcPr>
            <w:tcW w:w="165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2.04 ± 0.36</w:t>
            </w:r>
          </w:p>
        </w:tc>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2.16 ± 0.08</w:t>
            </w:r>
          </w:p>
        </w:tc>
      </w:tr>
      <w:tr>
        <w:tblPrEx>
          <w:tblCellMar>
            <w:top w:w="15" w:type="dxa"/>
            <w:left w:w="15" w:type="dxa"/>
            <w:bottom w:w="15" w:type="dxa"/>
            <w:right w:w="15" w:type="dxa"/>
          </w:tblCellMar>
        </w:tblPrEx>
        <w:trPr>
          <w:trHeight w:val="286" w:hRule="atLeast"/>
          <w:jc w:val="center"/>
        </w:trPr>
        <w:tc>
          <w:tcPr>
            <w:tcW w:w="1657" w:type="dxa"/>
            <w:tcBorders>
              <w:top w:val="nil"/>
              <w:left w:val="nil"/>
              <w:bottom w:val="single" w:color="auto" w:sz="8" w:space="0"/>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Testis</w:t>
            </w:r>
          </w:p>
        </w:tc>
        <w:tc>
          <w:tcPr>
            <w:tcW w:w="1657"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9.91 ± 0.14</w:t>
            </w:r>
          </w:p>
        </w:tc>
        <w:tc>
          <w:tcPr>
            <w:tcW w:w="1657"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8.89 ± 0.85</w:t>
            </w:r>
          </w:p>
        </w:tc>
        <w:tc>
          <w:tcPr>
            <w:tcW w:w="1657"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8.44 ± 0.37</w:t>
            </w:r>
          </w:p>
        </w:tc>
        <w:tc>
          <w:tcPr>
            <w:tcW w:w="1661"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9.11 ± 0.37</w:t>
            </w:r>
          </w:p>
        </w:tc>
      </w:tr>
    </w:tbl>
    <w:p>
      <w:pPr>
        <w:widowControl/>
        <w:jc w:val="left"/>
        <w:textAlignment w:val="center"/>
        <w:rPr>
          <w:rFonts w:ascii="Arial" w:hAnsi="Arial" w:cs="Arial"/>
          <w:color w:val="000000"/>
          <w:kern w:val="0"/>
          <w:sz w:val="24"/>
        </w:rPr>
      </w:pPr>
      <w:r>
        <w:rPr>
          <w:rFonts w:ascii="Arial" w:hAnsi="Arial" w:cs="Arial"/>
          <w:color w:val="000000"/>
          <w:kern w:val="0"/>
          <w:sz w:val="20"/>
          <w:szCs w:val="20"/>
        </w:rPr>
        <w:t>Values shown are mean ± SD, n=5.</w:t>
      </w:r>
      <w:r>
        <w:rPr>
          <w:rFonts w:ascii="Arial" w:hAnsi="Arial" w:cs="Arial"/>
          <w:sz w:val="20"/>
          <w:szCs w:val="20"/>
        </w:rPr>
        <w:t xml:space="preserve"> </w:t>
      </w:r>
      <w:r>
        <w:rPr>
          <w:rFonts w:ascii="Arial" w:hAnsi="Arial" w:cs="Arial"/>
          <w:color w:val="000000"/>
          <w:kern w:val="0"/>
          <w:sz w:val="20"/>
          <w:szCs w:val="20"/>
        </w:rPr>
        <w:t>*</w:t>
      </w:r>
      <w:r>
        <w:rPr>
          <w:rFonts w:ascii="Arial" w:hAnsi="Arial" w:cs="Arial"/>
          <w:i/>
          <w:color w:val="000000"/>
          <w:kern w:val="0"/>
          <w:sz w:val="20"/>
          <w:szCs w:val="20"/>
        </w:rPr>
        <w:t>P</w:t>
      </w:r>
      <w:r>
        <w:rPr>
          <w:rFonts w:ascii="Arial" w:hAnsi="Arial" w:cs="Arial"/>
          <w:color w:val="000000"/>
          <w:kern w:val="0"/>
          <w:sz w:val="20"/>
          <w:szCs w:val="20"/>
        </w:rPr>
        <w:t xml:space="preserve"> &lt; 0.05 vs. vehicle mice.</w:t>
      </w:r>
    </w:p>
    <w:p>
      <w:pPr>
        <w:spacing w:before="156" w:beforeLines="50" w:after="156" w:afterLines="50"/>
        <w:rPr>
          <w:rFonts w:ascii="Arial" w:hAnsi="Arial" w:cs="Arial"/>
          <w:sz w:val="24"/>
        </w:rPr>
      </w:pPr>
      <w:r>
        <w:rPr>
          <w:rFonts w:ascii="Arial" w:hAnsi="Arial" w:cs="Arial"/>
          <w:b/>
          <w:sz w:val="20"/>
          <w:szCs w:val="20"/>
        </w:rPr>
        <w:t>Supplementary Table 6. Study on organ index of female SD rats.</w:t>
      </w:r>
    </w:p>
    <w:tbl>
      <w:tblPr>
        <w:tblStyle w:val="5"/>
        <w:tblW w:w="8291" w:type="dxa"/>
        <w:jc w:val="center"/>
        <w:tblLayout w:type="fixed"/>
        <w:tblCellMar>
          <w:top w:w="15" w:type="dxa"/>
          <w:left w:w="15" w:type="dxa"/>
          <w:bottom w:w="15" w:type="dxa"/>
          <w:right w:w="15" w:type="dxa"/>
        </w:tblCellMar>
      </w:tblPr>
      <w:tblGrid>
        <w:gridCol w:w="1658"/>
        <w:gridCol w:w="1658"/>
        <w:gridCol w:w="1658"/>
        <w:gridCol w:w="1658"/>
        <w:gridCol w:w="1659"/>
      </w:tblGrid>
      <w:tr>
        <w:tblPrEx>
          <w:tblCellMar>
            <w:top w:w="15" w:type="dxa"/>
            <w:left w:w="15" w:type="dxa"/>
            <w:bottom w:w="15" w:type="dxa"/>
            <w:right w:w="15" w:type="dxa"/>
          </w:tblCellMar>
        </w:tblPrEx>
        <w:trPr>
          <w:trHeight w:val="286" w:hRule="atLeast"/>
          <w:jc w:val="center"/>
        </w:trPr>
        <w:tc>
          <w:tcPr>
            <w:tcW w:w="1658" w:type="dxa"/>
            <w:tcBorders>
              <w:top w:val="single" w:color="000000"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sz w:val="20"/>
                <w:szCs w:val="20"/>
              </w:rPr>
              <w:t>Group</w:t>
            </w:r>
          </w:p>
        </w:tc>
        <w:tc>
          <w:tcPr>
            <w:tcW w:w="1658"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(1.5 mg/kg)</w:t>
            </w:r>
          </w:p>
        </w:tc>
        <w:tc>
          <w:tcPr>
            <w:tcW w:w="1658"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(0.75 mg/kg)</w:t>
            </w:r>
          </w:p>
        </w:tc>
        <w:tc>
          <w:tcPr>
            <w:tcW w:w="1658"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(0.25 mg/kg)</w:t>
            </w:r>
          </w:p>
        </w:tc>
        <w:tc>
          <w:tcPr>
            <w:tcW w:w="1659"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Vehicle</w:t>
            </w:r>
          </w:p>
        </w:tc>
      </w:tr>
      <w:tr>
        <w:tblPrEx>
          <w:tblCellMar>
            <w:top w:w="15" w:type="dxa"/>
            <w:left w:w="15" w:type="dxa"/>
            <w:bottom w:w="15" w:type="dxa"/>
            <w:right w:w="15" w:type="dxa"/>
          </w:tblCellMar>
        </w:tblPrEx>
        <w:trPr>
          <w:trHeight w:val="286" w:hRule="atLeast"/>
          <w:jc w:val="center"/>
        </w:trPr>
        <w:tc>
          <w:tcPr>
            <w:tcW w:w="1658" w:type="dxa"/>
            <w:tcBorders>
              <w:top w:val="nil"/>
              <w:bottom w:val="single" w:color="auto" w:sz="8" w:space="0"/>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sz w:val="20"/>
                <w:szCs w:val="20"/>
              </w:rPr>
              <w:t xml:space="preserve">Organ index </w:t>
            </w:r>
            <w:r>
              <w:rPr>
                <w:rFonts w:ascii="Arial" w:hAnsi="Arial" w:cs="Arial"/>
                <w:color w:val="000000"/>
                <w:kern w:val="0"/>
                <w:sz w:val="20"/>
                <w:szCs w:val="20"/>
              </w:rPr>
              <w:t>(mg/g)</w:t>
            </w:r>
          </w:p>
        </w:tc>
        <w:tc>
          <w:tcPr>
            <w:tcW w:w="1658"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58"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58"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59" w:type="dxa"/>
            <w:vMerge w:val="continue"/>
            <w:tcBorders>
              <w:top w:val="nil"/>
              <w:bottom w:val="single" w:color="auto" w:sz="8" w:space="0"/>
              <w:right w:val="nil"/>
            </w:tcBorders>
            <w:shd w:val="clear" w:color="auto" w:fill="auto"/>
            <w:vAlign w:val="center"/>
          </w:tcPr>
          <w:p>
            <w:pPr>
              <w:jc w:val="center"/>
              <w:rPr>
                <w:rFonts w:ascii="Arial" w:hAnsi="Arial" w:cs="Arial"/>
                <w:color w:val="000000"/>
                <w:sz w:val="20"/>
                <w:szCs w:val="20"/>
              </w:rPr>
            </w:pPr>
          </w:p>
        </w:tc>
      </w:tr>
      <w:tr>
        <w:tblPrEx>
          <w:tblCellMar>
            <w:top w:w="15" w:type="dxa"/>
            <w:left w:w="15" w:type="dxa"/>
            <w:bottom w:w="15" w:type="dxa"/>
            <w:right w:w="15" w:type="dxa"/>
          </w:tblCellMar>
        </w:tblPrEx>
        <w:trPr>
          <w:trHeight w:val="286" w:hRule="atLeast"/>
          <w:jc w:val="center"/>
        </w:trPr>
        <w:tc>
          <w:tcPr>
            <w:tcW w:w="1658" w:type="dxa"/>
            <w:tcBorders>
              <w:top w:val="single" w:color="auto"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Heart</w:t>
            </w:r>
          </w:p>
        </w:tc>
        <w:tc>
          <w:tcPr>
            <w:tcW w:w="1658"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3.34 ± 0.24</w:t>
            </w:r>
          </w:p>
        </w:tc>
        <w:tc>
          <w:tcPr>
            <w:tcW w:w="1658"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3.74 ± 0.39</w:t>
            </w:r>
          </w:p>
        </w:tc>
        <w:tc>
          <w:tcPr>
            <w:tcW w:w="1658"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3.55 ± 0.27</w:t>
            </w:r>
          </w:p>
        </w:tc>
        <w:tc>
          <w:tcPr>
            <w:tcW w:w="1659"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3.45 ± 0.32</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Liver</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35.32 ± 1.58</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35.95 ± 1.77</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34.99 ± 3.86</w:t>
            </w:r>
          </w:p>
        </w:tc>
        <w:tc>
          <w:tcPr>
            <w:tcW w:w="1659"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34.3 ± 3.28</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Spleen</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2.48 ± 0.29</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2.37 ± 0.15</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2.16 ± 0.39</w:t>
            </w:r>
          </w:p>
        </w:tc>
        <w:tc>
          <w:tcPr>
            <w:tcW w:w="1659"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2.52 ± 0.25</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Lung</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4.79 ± 0.21</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4.9 ± 0.77</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4.8 ± 0.53</w:t>
            </w:r>
          </w:p>
        </w:tc>
        <w:tc>
          <w:tcPr>
            <w:tcW w:w="1659"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4.74 ± 0.56</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Kidney</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7.55 ± 0.43</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7.96 ± 0.58*</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7.52 ± 0.69</w:t>
            </w:r>
          </w:p>
        </w:tc>
        <w:tc>
          <w:tcPr>
            <w:tcW w:w="1659"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7.04 ± 0.21</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Adrenal glands</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0.25 ± 0.02</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0.26 ± 0.03</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0.23 ± 0.05</w:t>
            </w:r>
          </w:p>
        </w:tc>
        <w:tc>
          <w:tcPr>
            <w:tcW w:w="1659"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0.3 ± 0.05</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Thymus</w:t>
            </w:r>
          </w:p>
        </w:tc>
        <w:tc>
          <w:tcPr>
            <w:tcW w:w="1658"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 ± 0.57</w:t>
            </w:r>
          </w:p>
        </w:tc>
        <w:tc>
          <w:tcPr>
            <w:tcW w:w="1658"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2.16 ± 0.3</w:t>
            </w:r>
          </w:p>
        </w:tc>
        <w:tc>
          <w:tcPr>
            <w:tcW w:w="1658"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2.29 ± 0.52</w:t>
            </w:r>
          </w:p>
        </w:tc>
        <w:tc>
          <w:tcPr>
            <w:tcW w:w="1659"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1.93 ± 0.33</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Brain</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7.41 ± 0.59</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7.1 ± 0.62</w:t>
            </w:r>
          </w:p>
        </w:tc>
        <w:tc>
          <w:tcPr>
            <w:tcW w:w="1658"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6.81 ± 0.58</w:t>
            </w:r>
          </w:p>
        </w:tc>
        <w:tc>
          <w:tcPr>
            <w:tcW w:w="1659"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6.78 ± 0.65</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Ovary</w:t>
            </w:r>
          </w:p>
        </w:tc>
        <w:tc>
          <w:tcPr>
            <w:tcW w:w="1658"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0.61 ± 0.05</w:t>
            </w:r>
          </w:p>
        </w:tc>
        <w:tc>
          <w:tcPr>
            <w:tcW w:w="1658"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0.58 ± 0.1</w:t>
            </w:r>
          </w:p>
        </w:tc>
        <w:tc>
          <w:tcPr>
            <w:tcW w:w="1658"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0.53 ± 0.08</w:t>
            </w:r>
          </w:p>
        </w:tc>
        <w:tc>
          <w:tcPr>
            <w:tcW w:w="1659"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0.55 ± 0.05</w:t>
            </w:r>
          </w:p>
        </w:tc>
      </w:tr>
      <w:tr>
        <w:tblPrEx>
          <w:tblCellMar>
            <w:top w:w="15" w:type="dxa"/>
            <w:left w:w="15" w:type="dxa"/>
            <w:bottom w:w="15" w:type="dxa"/>
            <w:right w:w="15" w:type="dxa"/>
          </w:tblCellMar>
        </w:tblPrEx>
        <w:trPr>
          <w:trHeight w:val="286" w:hRule="atLeast"/>
          <w:jc w:val="center"/>
        </w:trPr>
        <w:tc>
          <w:tcPr>
            <w:tcW w:w="1658" w:type="dxa"/>
            <w:tcBorders>
              <w:top w:val="nil"/>
              <w:left w:val="nil"/>
              <w:bottom w:val="single" w:color="auto" w:sz="8" w:space="0"/>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Uterus</w:t>
            </w:r>
          </w:p>
        </w:tc>
        <w:tc>
          <w:tcPr>
            <w:tcW w:w="1658"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1.41 ± 0.16</w:t>
            </w:r>
          </w:p>
        </w:tc>
        <w:tc>
          <w:tcPr>
            <w:tcW w:w="1658"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1.42 ± 0.31</w:t>
            </w:r>
          </w:p>
        </w:tc>
        <w:tc>
          <w:tcPr>
            <w:tcW w:w="1658"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1.91 ± 0.75</w:t>
            </w:r>
          </w:p>
        </w:tc>
        <w:tc>
          <w:tcPr>
            <w:tcW w:w="1659"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 ± 0.64</w:t>
            </w:r>
          </w:p>
        </w:tc>
      </w:tr>
    </w:tbl>
    <w:p>
      <w:pPr>
        <w:widowControl/>
        <w:jc w:val="left"/>
        <w:textAlignment w:val="center"/>
        <w:rPr>
          <w:rFonts w:ascii="Arial" w:hAnsi="Arial" w:cs="Arial"/>
          <w:color w:val="000000"/>
          <w:kern w:val="0"/>
          <w:sz w:val="20"/>
          <w:szCs w:val="20"/>
        </w:rPr>
      </w:pPr>
      <w:r>
        <w:rPr>
          <w:rFonts w:ascii="Arial" w:hAnsi="Arial" w:cs="Arial"/>
          <w:color w:val="000000"/>
          <w:kern w:val="0"/>
          <w:sz w:val="20"/>
          <w:szCs w:val="20"/>
        </w:rPr>
        <w:t>Values shown are mean ± SD, n=5.</w:t>
      </w:r>
      <w:r>
        <w:rPr>
          <w:rFonts w:ascii="Arial" w:hAnsi="Arial" w:cs="Arial"/>
          <w:sz w:val="20"/>
          <w:szCs w:val="20"/>
        </w:rPr>
        <w:t xml:space="preserve"> </w:t>
      </w:r>
      <w:r>
        <w:rPr>
          <w:rFonts w:ascii="Arial" w:hAnsi="Arial" w:cs="Arial"/>
          <w:color w:val="000000"/>
          <w:kern w:val="0"/>
          <w:sz w:val="20"/>
          <w:szCs w:val="20"/>
        </w:rPr>
        <w:t>*</w:t>
      </w:r>
      <w:r>
        <w:rPr>
          <w:rFonts w:ascii="Arial" w:hAnsi="Arial" w:cs="Arial"/>
          <w:i/>
          <w:color w:val="000000"/>
          <w:kern w:val="0"/>
          <w:sz w:val="20"/>
          <w:szCs w:val="20"/>
        </w:rPr>
        <w:t>P</w:t>
      </w:r>
      <w:r>
        <w:rPr>
          <w:rFonts w:ascii="Arial" w:hAnsi="Arial" w:cs="Arial"/>
          <w:color w:val="000000"/>
          <w:kern w:val="0"/>
          <w:sz w:val="20"/>
          <w:szCs w:val="20"/>
        </w:rPr>
        <w:t xml:space="preserve"> &lt; 0.05 vs. vehicle mice.</w:t>
      </w:r>
    </w:p>
    <w:p>
      <w:pPr>
        <w:spacing w:before="156" w:beforeLines="50" w:after="156" w:afterLines="50"/>
        <w:rPr>
          <w:rFonts w:ascii="Arial" w:hAnsi="Arial" w:cs="Arial"/>
          <w:sz w:val="24"/>
        </w:rPr>
      </w:pPr>
      <w:r>
        <w:rPr>
          <w:rFonts w:ascii="Arial" w:hAnsi="Arial" w:cs="Arial"/>
          <w:b/>
          <w:sz w:val="20"/>
          <w:szCs w:val="20"/>
        </w:rPr>
        <w:t>Supplementary Table 7. Study on hematological index of male SD rats.</w:t>
      </w:r>
    </w:p>
    <w:tbl>
      <w:tblPr>
        <w:tblStyle w:val="5"/>
        <w:tblW w:w="8309" w:type="dxa"/>
        <w:jc w:val="center"/>
        <w:tblLayout w:type="fixed"/>
        <w:tblCellMar>
          <w:top w:w="15" w:type="dxa"/>
          <w:left w:w="15" w:type="dxa"/>
          <w:bottom w:w="15" w:type="dxa"/>
          <w:right w:w="15" w:type="dxa"/>
        </w:tblCellMar>
      </w:tblPr>
      <w:tblGrid>
        <w:gridCol w:w="1661"/>
        <w:gridCol w:w="1661"/>
        <w:gridCol w:w="1661"/>
        <w:gridCol w:w="1661"/>
        <w:gridCol w:w="1665"/>
      </w:tblGrid>
      <w:tr>
        <w:tblPrEx>
          <w:tblCellMar>
            <w:top w:w="15" w:type="dxa"/>
            <w:left w:w="15" w:type="dxa"/>
            <w:bottom w:w="15" w:type="dxa"/>
            <w:right w:w="15" w:type="dxa"/>
          </w:tblCellMar>
        </w:tblPrEx>
        <w:trPr>
          <w:trHeight w:val="286" w:hRule="atLeast"/>
          <w:jc w:val="center"/>
        </w:trPr>
        <w:tc>
          <w:tcPr>
            <w:tcW w:w="1661" w:type="dxa"/>
            <w:tcBorders>
              <w:top w:val="single" w:color="000000"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 xml:space="preserve"> Group</w:t>
            </w:r>
          </w:p>
        </w:tc>
        <w:tc>
          <w:tcPr>
            <w:tcW w:w="1661"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(1.5 mg/kg)</w:t>
            </w:r>
          </w:p>
        </w:tc>
        <w:tc>
          <w:tcPr>
            <w:tcW w:w="1661"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(0.75 mg/kg)</w:t>
            </w:r>
          </w:p>
        </w:tc>
        <w:tc>
          <w:tcPr>
            <w:tcW w:w="1661"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(0.25 mg/kg)</w:t>
            </w:r>
          </w:p>
        </w:tc>
        <w:tc>
          <w:tcPr>
            <w:tcW w:w="1665"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Vehicle</w:t>
            </w:r>
          </w:p>
        </w:tc>
      </w:tr>
      <w:tr>
        <w:tblPrEx>
          <w:tblCellMar>
            <w:top w:w="15" w:type="dxa"/>
            <w:left w:w="15" w:type="dxa"/>
            <w:bottom w:w="15" w:type="dxa"/>
            <w:right w:w="15" w:type="dxa"/>
          </w:tblCellMar>
        </w:tblPrEx>
        <w:trPr>
          <w:trHeight w:val="286" w:hRule="atLeast"/>
          <w:jc w:val="center"/>
        </w:trPr>
        <w:tc>
          <w:tcPr>
            <w:tcW w:w="1661" w:type="dxa"/>
            <w:tcBorders>
              <w:top w:val="nil"/>
              <w:bottom w:val="single" w:color="auto" w:sz="8" w:space="0"/>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Hematological index</w:t>
            </w:r>
          </w:p>
        </w:tc>
        <w:tc>
          <w:tcPr>
            <w:tcW w:w="1661"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61"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61" w:type="dxa"/>
            <w:vMerge w:val="continue"/>
            <w:tcBorders>
              <w:top w:val="nil"/>
              <w:bottom w:val="single" w:color="auto" w:sz="8" w:space="0"/>
            </w:tcBorders>
            <w:shd w:val="clear" w:color="auto" w:fill="auto"/>
            <w:vAlign w:val="center"/>
          </w:tcPr>
          <w:p>
            <w:pPr>
              <w:jc w:val="center"/>
              <w:rPr>
                <w:rFonts w:ascii="Arial" w:hAnsi="Arial" w:cs="Arial"/>
                <w:color w:val="000000"/>
                <w:sz w:val="20"/>
                <w:szCs w:val="20"/>
              </w:rPr>
            </w:pPr>
          </w:p>
        </w:tc>
        <w:tc>
          <w:tcPr>
            <w:tcW w:w="1665" w:type="dxa"/>
            <w:vMerge w:val="continue"/>
            <w:tcBorders>
              <w:top w:val="nil"/>
              <w:bottom w:val="single" w:color="auto" w:sz="8" w:space="0"/>
              <w:right w:val="nil"/>
            </w:tcBorders>
            <w:shd w:val="clear" w:color="auto" w:fill="auto"/>
            <w:vAlign w:val="center"/>
          </w:tcPr>
          <w:p>
            <w:pPr>
              <w:jc w:val="center"/>
              <w:rPr>
                <w:rFonts w:ascii="Arial" w:hAnsi="Arial" w:cs="Arial"/>
                <w:color w:val="000000"/>
                <w:sz w:val="20"/>
                <w:szCs w:val="20"/>
              </w:rPr>
            </w:pPr>
          </w:p>
        </w:tc>
      </w:tr>
      <w:tr>
        <w:tblPrEx>
          <w:tblCellMar>
            <w:top w:w="15" w:type="dxa"/>
            <w:left w:w="15" w:type="dxa"/>
            <w:bottom w:w="15" w:type="dxa"/>
            <w:right w:w="15" w:type="dxa"/>
          </w:tblCellMar>
        </w:tblPrEx>
        <w:trPr>
          <w:trHeight w:val="286" w:hRule="atLeast"/>
          <w:jc w:val="center"/>
        </w:trPr>
        <w:tc>
          <w:tcPr>
            <w:tcW w:w="1661" w:type="dxa"/>
            <w:tcBorders>
              <w:top w:val="single" w:color="auto"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WBC (10^9/L)</w:t>
            </w:r>
          </w:p>
        </w:tc>
        <w:tc>
          <w:tcPr>
            <w:tcW w:w="1661" w:type="dxa"/>
            <w:tcBorders>
              <w:top w:val="single" w:color="auto"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10.18 ± 1.79*</w:t>
            </w:r>
          </w:p>
        </w:tc>
        <w:tc>
          <w:tcPr>
            <w:tcW w:w="1661" w:type="dxa"/>
            <w:tcBorders>
              <w:top w:val="single" w:color="auto"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7.78 ± 1.82</w:t>
            </w:r>
          </w:p>
        </w:tc>
        <w:tc>
          <w:tcPr>
            <w:tcW w:w="1661" w:type="dxa"/>
            <w:tcBorders>
              <w:top w:val="single" w:color="auto"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5.39 ± 0.44</w:t>
            </w:r>
          </w:p>
        </w:tc>
        <w:tc>
          <w:tcPr>
            <w:tcW w:w="1665" w:type="dxa"/>
            <w:tcBorders>
              <w:top w:val="single" w:color="auto"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5.7 ± 1.27</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RBC (10^12/L)</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7.38 ± 0.24*</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7.75 ± 0.57</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7.84 ± 0.25</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8.03 ± 0.21</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HGB (g/L)</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142 ± 4.24*</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148 ± 4.3*</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153.8 ± 5.31</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156.6 ± 4.93</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HCT (%)</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44.94 ± 1.18*</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47.16 ± 1.7</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48.48 ± 1.75</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50.04 ± 2.41</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MCV (fL)</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60.96 ± 2.06</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61.02 ± 2.51</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61.8 ± 0.7</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62.32 ± 2.84</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MCH (pg)</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19.28 ± 0.66</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19.18 ± 1.01</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19.6 ± 0.51</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19.5 ± 0.69</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MCHC (g/L)</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316 ± 1.58</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314 ± 6.82</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317 ± 5.29</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313.2 ± 6.26</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NEUT (%)</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14.14 ± 4.61*</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16.58 ± 3.68</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18.4 ± 3.33</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22.82 ± 4.72</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LYMPH (%)</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81.76 ± 4.72*</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78.58 ± 4.94*</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76.2 ± 2.82</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71.2 ± 3.58</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MONO (%)</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2.46 ± 1.71</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2.76 ± 1.66</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3.14 ± 1.82</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3.92 ± 3.27</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EO (%)</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1.48 ± 0.32</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 ± 0.77</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2.1 ± 0.54</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1.84 ± 0.3</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BASO (%)</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0.16 ± 0.05</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0.08 ± 0.08</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0.16 ± 0.09</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0.22 ± 0.15</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RDW-SD (fL)</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27.18 ± 1.68</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26.96 ± 1.67</w:t>
            </w:r>
          </w:p>
        </w:tc>
        <w:tc>
          <w:tcPr>
            <w:tcW w:w="1661"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26.34 ± 2.39</w:t>
            </w:r>
          </w:p>
        </w:tc>
        <w:tc>
          <w:tcPr>
            <w:tcW w:w="1665"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26.78 ± 1.52</w:t>
            </w:r>
          </w:p>
        </w:tc>
      </w:tr>
      <w:tr>
        <w:tblPrEx>
          <w:tblCellMar>
            <w:top w:w="15" w:type="dxa"/>
            <w:left w:w="15" w:type="dxa"/>
            <w:bottom w:w="15" w:type="dxa"/>
            <w:right w:w="15" w:type="dxa"/>
          </w:tblCellMar>
        </w:tblPrEx>
        <w:trPr>
          <w:trHeight w:val="286" w:hRule="atLeast"/>
          <w:jc w:val="center"/>
        </w:trPr>
        <w:tc>
          <w:tcPr>
            <w:tcW w:w="1661" w:type="dxa"/>
            <w:tcBorders>
              <w:top w:val="nil"/>
              <w:left w:val="nil"/>
              <w:bottom w:val="single" w:color="auto"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RDW-CV (%)</w:t>
            </w:r>
          </w:p>
        </w:tc>
        <w:tc>
          <w:tcPr>
            <w:tcW w:w="1661" w:type="dxa"/>
            <w:tcBorders>
              <w:top w:val="nil"/>
              <w:left w:val="nil"/>
              <w:bottom w:val="single" w:color="auto"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14.22 ± 1.23</w:t>
            </w:r>
          </w:p>
        </w:tc>
        <w:tc>
          <w:tcPr>
            <w:tcW w:w="1661" w:type="dxa"/>
            <w:tcBorders>
              <w:top w:val="nil"/>
              <w:left w:val="nil"/>
              <w:bottom w:val="single" w:color="auto"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14.5 ± 1.32</w:t>
            </w:r>
          </w:p>
        </w:tc>
        <w:tc>
          <w:tcPr>
            <w:tcW w:w="1661" w:type="dxa"/>
            <w:tcBorders>
              <w:top w:val="nil"/>
              <w:left w:val="nil"/>
              <w:bottom w:val="single" w:color="auto"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13.84 ± 1.33</w:t>
            </w:r>
          </w:p>
        </w:tc>
        <w:tc>
          <w:tcPr>
            <w:tcW w:w="1665" w:type="dxa"/>
            <w:tcBorders>
              <w:top w:val="nil"/>
              <w:left w:val="nil"/>
              <w:bottom w:val="single" w:color="auto"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14.16 ± 0.46</w:t>
            </w:r>
          </w:p>
        </w:tc>
      </w:tr>
    </w:tbl>
    <w:p>
      <w:pPr>
        <w:widowControl/>
        <w:jc w:val="left"/>
        <w:textAlignment w:val="center"/>
        <w:rPr>
          <w:rFonts w:ascii="Arial" w:hAnsi="Arial" w:cs="Arial"/>
          <w:color w:val="000000"/>
          <w:kern w:val="0"/>
          <w:sz w:val="20"/>
          <w:szCs w:val="20"/>
        </w:rPr>
      </w:pPr>
      <w:r>
        <w:rPr>
          <w:rFonts w:ascii="Arial" w:hAnsi="Arial" w:cs="Arial"/>
          <w:color w:val="000000"/>
          <w:kern w:val="0"/>
          <w:sz w:val="20"/>
          <w:szCs w:val="20"/>
        </w:rPr>
        <w:t>Values shown are mean ± SD, n=5.</w:t>
      </w:r>
      <w:r>
        <w:rPr>
          <w:rFonts w:ascii="Arial" w:hAnsi="Arial" w:cs="Arial"/>
          <w:sz w:val="20"/>
          <w:szCs w:val="20"/>
        </w:rPr>
        <w:t xml:space="preserve"> </w:t>
      </w:r>
      <w:r>
        <w:rPr>
          <w:rFonts w:ascii="Arial" w:hAnsi="Arial" w:cs="Arial"/>
          <w:color w:val="000000"/>
          <w:kern w:val="0"/>
          <w:sz w:val="20"/>
          <w:szCs w:val="20"/>
        </w:rPr>
        <w:t>*</w:t>
      </w:r>
      <w:r>
        <w:rPr>
          <w:rFonts w:ascii="Arial" w:hAnsi="Arial" w:cs="Arial"/>
          <w:i/>
          <w:color w:val="000000"/>
          <w:kern w:val="0"/>
          <w:sz w:val="20"/>
          <w:szCs w:val="20"/>
        </w:rPr>
        <w:t>P</w:t>
      </w:r>
      <w:r>
        <w:rPr>
          <w:rFonts w:ascii="Arial" w:hAnsi="Arial" w:cs="Arial"/>
          <w:color w:val="000000"/>
          <w:kern w:val="0"/>
          <w:sz w:val="20"/>
          <w:szCs w:val="20"/>
        </w:rPr>
        <w:t xml:space="preserve"> &lt; 0.05 vs. vehicle mice.</w:t>
      </w:r>
    </w:p>
    <w:p>
      <w:pPr>
        <w:spacing w:before="156" w:beforeLines="50" w:after="156" w:afterLines="50"/>
        <w:rPr>
          <w:rFonts w:ascii="Arial" w:hAnsi="Arial" w:cs="Arial"/>
          <w:b/>
          <w:sz w:val="20"/>
          <w:szCs w:val="20"/>
        </w:rPr>
      </w:pPr>
    </w:p>
    <w:p>
      <w:pPr>
        <w:spacing w:before="156" w:beforeLines="50" w:after="156" w:afterLines="50"/>
        <w:rPr>
          <w:rFonts w:ascii="Arial" w:hAnsi="Arial" w:cs="Arial"/>
          <w:b/>
          <w:sz w:val="20"/>
          <w:szCs w:val="20"/>
        </w:rPr>
      </w:pPr>
    </w:p>
    <w:p>
      <w:pPr>
        <w:spacing w:before="156" w:beforeLines="50" w:after="156" w:afterLines="50"/>
        <w:rPr>
          <w:rFonts w:ascii="Arial" w:hAnsi="Arial" w:cs="Arial"/>
          <w:b/>
          <w:sz w:val="20"/>
          <w:szCs w:val="20"/>
        </w:rPr>
      </w:pPr>
    </w:p>
    <w:p>
      <w:pPr>
        <w:spacing w:before="156" w:beforeLines="50" w:after="156" w:afterLines="50"/>
        <w:rPr>
          <w:rFonts w:ascii="Arial" w:hAnsi="Arial" w:cs="Arial"/>
          <w:b/>
          <w:sz w:val="20"/>
          <w:szCs w:val="20"/>
        </w:rPr>
      </w:pPr>
      <w:r>
        <w:rPr>
          <w:rFonts w:ascii="Arial" w:hAnsi="Arial" w:cs="Arial"/>
          <w:b/>
          <w:sz w:val="20"/>
          <w:szCs w:val="20"/>
        </w:rPr>
        <w:t>Supplementary Table 8. Study on hematological index of female SD rats.</w:t>
      </w:r>
    </w:p>
    <w:tbl>
      <w:tblPr>
        <w:tblStyle w:val="5"/>
        <w:tblW w:w="8323" w:type="dxa"/>
        <w:jc w:val="center"/>
        <w:tblLayout w:type="fixed"/>
        <w:tblCellMar>
          <w:top w:w="15" w:type="dxa"/>
          <w:left w:w="15" w:type="dxa"/>
          <w:bottom w:w="15" w:type="dxa"/>
          <w:right w:w="15" w:type="dxa"/>
        </w:tblCellMar>
      </w:tblPr>
      <w:tblGrid>
        <w:gridCol w:w="1664"/>
        <w:gridCol w:w="1664"/>
        <w:gridCol w:w="1664"/>
        <w:gridCol w:w="1664"/>
        <w:gridCol w:w="1667"/>
      </w:tblGrid>
      <w:tr>
        <w:tblPrEx>
          <w:tblCellMar>
            <w:top w:w="15" w:type="dxa"/>
            <w:left w:w="15" w:type="dxa"/>
            <w:bottom w:w="15" w:type="dxa"/>
            <w:right w:w="15" w:type="dxa"/>
          </w:tblCellMar>
        </w:tblPrEx>
        <w:trPr>
          <w:trHeight w:val="286" w:hRule="atLeast"/>
          <w:jc w:val="center"/>
        </w:trPr>
        <w:tc>
          <w:tcPr>
            <w:tcW w:w="1664" w:type="dxa"/>
            <w:tcBorders>
              <w:top w:val="single" w:color="000000" w:sz="8" w:space="0"/>
              <w:left w:val="nil"/>
              <w:bottom w:val="nil"/>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Group</w:t>
            </w:r>
          </w:p>
        </w:tc>
        <w:tc>
          <w:tcPr>
            <w:tcW w:w="1664"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(1.5 mg/kg)</w:t>
            </w:r>
          </w:p>
        </w:tc>
        <w:tc>
          <w:tcPr>
            <w:tcW w:w="1664"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(0.75 mg/kg)</w:t>
            </w:r>
          </w:p>
        </w:tc>
        <w:tc>
          <w:tcPr>
            <w:tcW w:w="1664"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sz w:val="20"/>
                <w:szCs w:val="20"/>
              </w:rPr>
            </w:pPr>
            <w:r>
              <w:rPr>
                <w:rFonts w:ascii="Arial" w:hAnsi="Arial" w:cs="Arial"/>
                <w:color w:val="000000"/>
                <w:kern w:val="0"/>
                <w:sz w:val="20"/>
                <w:szCs w:val="20"/>
              </w:rPr>
              <w:t>1907-B (0.25 mg/kg)</w:t>
            </w:r>
          </w:p>
        </w:tc>
        <w:tc>
          <w:tcPr>
            <w:tcW w:w="1667" w:type="dxa"/>
            <w:vMerge w:val="restart"/>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Vehicle</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single" w:color="000000" w:sz="8" w:space="0"/>
              <w:right w:val="nil"/>
            </w:tcBorders>
            <w:shd w:val="clear" w:color="auto" w:fill="auto"/>
            <w:vAlign w:val="bottom"/>
          </w:tcPr>
          <w:p>
            <w:pPr>
              <w:widowControl/>
              <w:jc w:val="center"/>
              <w:textAlignment w:val="bottom"/>
              <w:rPr>
                <w:rFonts w:ascii="Arial" w:hAnsi="Arial" w:cs="Arial"/>
                <w:color w:val="000000"/>
                <w:sz w:val="20"/>
                <w:szCs w:val="20"/>
              </w:rPr>
            </w:pPr>
            <w:r>
              <w:rPr>
                <w:rFonts w:ascii="Arial" w:hAnsi="Arial" w:cs="Arial"/>
                <w:color w:val="000000"/>
                <w:kern w:val="0"/>
                <w:sz w:val="20"/>
                <w:szCs w:val="20"/>
              </w:rPr>
              <w:t>Hematological index</w:t>
            </w:r>
          </w:p>
        </w:tc>
        <w:tc>
          <w:tcPr>
            <w:tcW w:w="1664" w:type="dxa"/>
            <w:vMerge w:val="continue"/>
            <w:tcBorders>
              <w:top w:val="nil"/>
              <w:left w:val="nil"/>
              <w:bottom w:val="single" w:color="000000" w:sz="8" w:space="0"/>
              <w:right w:val="nil"/>
            </w:tcBorders>
            <w:shd w:val="clear" w:color="auto" w:fill="auto"/>
            <w:vAlign w:val="center"/>
          </w:tcPr>
          <w:p>
            <w:pPr>
              <w:jc w:val="center"/>
              <w:rPr>
                <w:rFonts w:ascii="Arial" w:hAnsi="Arial" w:cs="Arial"/>
                <w:color w:val="000000"/>
                <w:sz w:val="20"/>
                <w:szCs w:val="20"/>
              </w:rPr>
            </w:pPr>
          </w:p>
        </w:tc>
        <w:tc>
          <w:tcPr>
            <w:tcW w:w="1664" w:type="dxa"/>
            <w:vMerge w:val="continue"/>
            <w:tcBorders>
              <w:top w:val="nil"/>
              <w:left w:val="nil"/>
              <w:bottom w:val="single" w:color="000000" w:sz="8" w:space="0"/>
              <w:right w:val="nil"/>
            </w:tcBorders>
            <w:shd w:val="clear" w:color="auto" w:fill="auto"/>
            <w:vAlign w:val="center"/>
          </w:tcPr>
          <w:p>
            <w:pPr>
              <w:jc w:val="center"/>
              <w:rPr>
                <w:rFonts w:ascii="Arial" w:hAnsi="Arial" w:cs="Arial"/>
                <w:color w:val="000000"/>
                <w:sz w:val="20"/>
                <w:szCs w:val="20"/>
              </w:rPr>
            </w:pPr>
          </w:p>
        </w:tc>
        <w:tc>
          <w:tcPr>
            <w:tcW w:w="1664" w:type="dxa"/>
            <w:vMerge w:val="continue"/>
            <w:tcBorders>
              <w:top w:val="nil"/>
              <w:left w:val="nil"/>
              <w:bottom w:val="single" w:color="000000" w:sz="8" w:space="0"/>
              <w:right w:val="nil"/>
            </w:tcBorders>
            <w:shd w:val="clear" w:color="auto" w:fill="auto"/>
            <w:vAlign w:val="center"/>
          </w:tcPr>
          <w:p>
            <w:pPr>
              <w:jc w:val="center"/>
              <w:rPr>
                <w:rFonts w:ascii="Arial" w:hAnsi="Arial" w:cs="Arial"/>
                <w:color w:val="000000"/>
                <w:sz w:val="20"/>
                <w:szCs w:val="20"/>
              </w:rPr>
            </w:pPr>
          </w:p>
        </w:tc>
        <w:tc>
          <w:tcPr>
            <w:tcW w:w="1667" w:type="dxa"/>
            <w:vMerge w:val="continue"/>
            <w:tcBorders>
              <w:top w:val="nil"/>
              <w:left w:val="nil"/>
              <w:bottom w:val="single" w:color="000000" w:sz="8" w:space="0"/>
              <w:right w:val="nil"/>
            </w:tcBorders>
            <w:shd w:val="clear" w:color="auto" w:fill="auto"/>
            <w:vAlign w:val="center"/>
          </w:tcPr>
          <w:p>
            <w:pPr>
              <w:jc w:val="center"/>
              <w:rPr>
                <w:rFonts w:ascii="Arial" w:hAnsi="Arial" w:cs="Arial"/>
                <w:color w:val="000000"/>
                <w:sz w:val="20"/>
                <w:szCs w:val="20"/>
              </w:rPr>
            </w:pPr>
          </w:p>
        </w:tc>
      </w:tr>
      <w:tr>
        <w:tblPrEx>
          <w:tblCellMar>
            <w:top w:w="15" w:type="dxa"/>
            <w:left w:w="15" w:type="dxa"/>
            <w:bottom w:w="15" w:type="dxa"/>
            <w:right w:w="15" w:type="dxa"/>
          </w:tblCellMar>
        </w:tblPrEx>
        <w:trPr>
          <w:trHeight w:val="286" w:hRule="atLeast"/>
          <w:jc w:val="center"/>
        </w:trPr>
        <w:tc>
          <w:tcPr>
            <w:tcW w:w="1664" w:type="dxa"/>
            <w:tcBorders>
              <w:top w:val="single" w:color="000000" w:sz="8" w:space="0"/>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WBC (10^9/L)</w:t>
            </w:r>
          </w:p>
        </w:tc>
        <w:tc>
          <w:tcPr>
            <w:tcW w:w="1664" w:type="dxa"/>
            <w:tcBorders>
              <w:top w:val="single" w:color="000000"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12.31 ± 2.51</w:t>
            </w:r>
          </w:p>
        </w:tc>
        <w:tc>
          <w:tcPr>
            <w:tcW w:w="1664" w:type="dxa"/>
            <w:tcBorders>
              <w:top w:val="single" w:color="000000"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11.72 ± 3.44</w:t>
            </w:r>
          </w:p>
        </w:tc>
        <w:tc>
          <w:tcPr>
            <w:tcW w:w="1664" w:type="dxa"/>
            <w:tcBorders>
              <w:top w:val="single" w:color="000000"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13.11 ± 2.67</w:t>
            </w:r>
          </w:p>
        </w:tc>
        <w:tc>
          <w:tcPr>
            <w:tcW w:w="1667" w:type="dxa"/>
            <w:tcBorders>
              <w:top w:val="single" w:color="000000" w:sz="8" w:space="0"/>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10.36 ± 4.87</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RBC (10^12/L)</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7.13 ± 0.28*</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7.4 ± 0.17</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7.3 ± 0.26*</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7.82 ± 0.45</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HGB (g/L)</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138.2 ± 2.28</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144.2 ± 5.63</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142.6 ± 4.45</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147 ± 8.04</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HCT (%)</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42.54 ± 0.99*</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44.14 ± 1.53</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43.8 ± 1.26</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46.2 ± 2.26</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MCV (fL)</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59.7 ± 1</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59.62 ± 1.28</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60.06 ± 1.55</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59.15 ± 1.07</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MCH (pg)</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19.42 ± 0.64</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19.46 ± 0.51</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19.56 ± 0.44</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18.83 ± 0.46</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MCHC (g/L)</w:t>
            </w:r>
          </w:p>
        </w:tc>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325 ± 6.89</w:t>
            </w:r>
          </w:p>
        </w:tc>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326.6 ± 3.65*</w:t>
            </w:r>
          </w:p>
        </w:tc>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325.6 ± 3.58</w:t>
            </w:r>
          </w:p>
        </w:tc>
        <w:tc>
          <w:tcPr>
            <w:tcW w:w="1667"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318 ± 2.83</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NEUT (%)</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9.34 ± 3.56</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8.58 ± 2.45</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11 ± 3.75</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9.5 ± 1.52</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LYMPH (%)</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88.1 ± 4.36</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89.46 ± 2.74</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85.22 ± 2.88</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88.38 ± 1.82</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MONO (%)</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1.22 ± 0.84</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0.7 ± 0.23</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 ± 1.77</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0.95 ± 0.34</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EO (%)</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1.22 ± 0.44</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1.14 ± 0.42</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1.38 ± 0.62</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1.1 ± 0.61</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BASO (%)</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0.12 ± 0.04</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0.12 ± 0.04</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0.1 ± 0</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0.08 ± 0.05</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nil"/>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RDW-SD (fL)</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23.72 ± 1.07</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24.08 ± 0.69</w:t>
            </w:r>
          </w:p>
        </w:tc>
        <w:tc>
          <w:tcPr>
            <w:tcW w:w="1664"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22.92 ± 0.77</w:t>
            </w:r>
          </w:p>
        </w:tc>
        <w:tc>
          <w:tcPr>
            <w:tcW w:w="1667" w:type="dxa"/>
            <w:tcBorders>
              <w:top w:val="nil"/>
              <w:left w:val="nil"/>
              <w:bottom w:val="nil"/>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23.33 ± 0.62</w:t>
            </w:r>
          </w:p>
        </w:tc>
      </w:tr>
      <w:tr>
        <w:tblPrEx>
          <w:tblCellMar>
            <w:top w:w="15" w:type="dxa"/>
            <w:left w:w="15" w:type="dxa"/>
            <w:bottom w:w="15" w:type="dxa"/>
            <w:right w:w="15" w:type="dxa"/>
          </w:tblCellMar>
        </w:tblPrEx>
        <w:trPr>
          <w:trHeight w:val="286" w:hRule="atLeast"/>
          <w:jc w:val="center"/>
        </w:trPr>
        <w:tc>
          <w:tcPr>
            <w:tcW w:w="1664" w:type="dxa"/>
            <w:tcBorders>
              <w:top w:val="nil"/>
              <w:left w:val="nil"/>
              <w:bottom w:val="single" w:color="000000" w:sz="8" w:space="0"/>
              <w:right w:val="nil"/>
            </w:tcBorders>
            <w:shd w:val="clear" w:color="auto" w:fill="auto"/>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RDW-CV (%)</w:t>
            </w:r>
          </w:p>
        </w:tc>
        <w:tc>
          <w:tcPr>
            <w:tcW w:w="1664" w:type="dxa"/>
            <w:tcBorders>
              <w:top w:val="nil"/>
              <w:left w:val="nil"/>
              <w:bottom w:val="single" w:color="000000"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12.1 ± 0.64</w:t>
            </w:r>
          </w:p>
        </w:tc>
        <w:tc>
          <w:tcPr>
            <w:tcW w:w="1664" w:type="dxa"/>
            <w:tcBorders>
              <w:top w:val="nil"/>
              <w:left w:val="nil"/>
              <w:bottom w:val="single" w:color="000000"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12.68 ± 0.51</w:t>
            </w:r>
          </w:p>
        </w:tc>
        <w:tc>
          <w:tcPr>
            <w:tcW w:w="1664" w:type="dxa"/>
            <w:tcBorders>
              <w:top w:val="nil"/>
              <w:left w:val="nil"/>
              <w:bottom w:val="single" w:color="000000"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11.7 ± 0.39*</w:t>
            </w:r>
          </w:p>
        </w:tc>
        <w:tc>
          <w:tcPr>
            <w:tcW w:w="1667" w:type="dxa"/>
            <w:tcBorders>
              <w:top w:val="nil"/>
              <w:left w:val="nil"/>
              <w:bottom w:val="single" w:color="000000" w:sz="8" w:space="0"/>
              <w:right w:val="nil"/>
            </w:tcBorders>
            <w:shd w:val="clear" w:color="auto" w:fill="auto"/>
            <w:vAlign w:val="bottom"/>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12.88 ± 0.59</w:t>
            </w:r>
          </w:p>
        </w:tc>
      </w:tr>
    </w:tbl>
    <w:p>
      <w:pPr>
        <w:widowControl/>
        <w:jc w:val="left"/>
        <w:textAlignment w:val="center"/>
        <w:rPr>
          <w:rFonts w:ascii="Arial" w:hAnsi="Arial" w:cs="Arial"/>
          <w:color w:val="000000"/>
          <w:kern w:val="0"/>
          <w:sz w:val="20"/>
          <w:szCs w:val="20"/>
        </w:rPr>
      </w:pPr>
      <w:r>
        <w:rPr>
          <w:rFonts w:ascii="Arial" w:hAnsi="Arial" w:cs="Arial"/>
          <w:color w:val="000000"/>
          <w:kern w:val="0"/>
          <w:sz w:val="20"/>
          <w:szCs w:val="20"/>
        </w:rPr>
        <w:t>Values shown are mean ± SD, n=5.</w:t>
      </w:r>
      <w:r>
        <w:rPr>
          <w:rFonts w:ascii="Arial" w:hAnsi="Arial" w:cs="Arial"/>
          <w:sz w:val="20"/>
          <w:szCs w:val="20"/>
        </w:rPr>
        <w:t xml:space="preserve"> </w:t>
      </w:r>
      <w:r>
        <w:rPr>
          <w:rFonts w:ascii="Arial" w:hAnsi="Arial" w:cs="Arial"/>
          <w:color w:val="000000"/>
          <w:kern w:val="0"/>
          <w:sz w:val="20"/>
          <w:szCs w:val="20"/>
        </w:rPr>
        <w:t>*</w:t>
      </w:r>
      <w:r>
        <w:rPr>
          <w:rFonts w:ascii="Arial" w:hAnsi="Arial" w:cs="Arial"/>
          <w:i/>
          <w:color w:val="000000"/>
          <w:kern w:val="0"/>
          <w:sz w:val="20"/>
          <w:szCs w:val="20"/>
        </w:rPr>
        <w:t>P</w:t>
      </w:r>
      <w:r>
        <w:rPr>
          <w:rFonts w:ascii="Arial" w:hAnsi="Arial" w:cs="Arial"/>
          <w:color w:val="000000"/>
          <w:kern w:val="0"/>
          <w:sz w:val="20"/>
          <w:szCs w:val="20"/>
        </w:rPr>
        <w:t xml:space="preserve"> &lt; 0.05 vs. vehicle mice.</w:t>
      </w:r>
    </w:p>
    <w:p>
      <w:pPr>
        <w:widowControl/>
        <w:jc w:val="left"/>
        <w:textAlignment w:val="center"/>
        <w:rPr>
          <w:rFonts w:ascii="Arial" w:hAnsi="Arial" w:cs="Arial"/>
          <w:color w:val="000000"/>
          <w:kern w:val="0"/>
          <w:sz w:val="20"/>
          <w:szCs w:val="20"/>
        </w:rPr>
      </w:pPr>
    </w:p>
    <w:p>
      <w:pPr>
        <w:spacing w:before="156" w:beforeLines="50" w:after="156" w:afterLines="50"/>
        <w:rPr>
          <w:rFonts w:ascii="Arial" w:hAnsi="Arial" w:cs="Arial"/>
        </w:rPr>
      </w:pPr>
      <w:r>
        <w:rPr>
          <w:rFonts w:ascii="Arial" w:hAnsi="Arial" w:cs="Arial"/>
          <w:b/>
          <w:sz w:val="20"/>
          <w:szCs w:val="20"/>
        </w:rPr>
        <w:t>Supplementary Table 9. Target sequences for AAV9-RNAi mediated GLP-1R and GCGR knockdown.</w:t>
      </w:r>
    </w:p>
    <w:tbl>
      <w:tblPr>
        <w:tblStyle w:val="6"/>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85"/>
        <w:gridCol w:w="5387"/>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5"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sz w:val="20"/>
                <w:szCs w:val="20"/>
              </w:rPr>
              <w:t>AAV9-RNAi</w:t>
            </w:r>
          </w:p>
        </w:tc>
        <w:tc>
          <w:tcPr>
            <w:tcW w:w="5387"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Target sequence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5"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AAV9-Control-shRNA</w:t>
            </w:r>
          </w:p>
        </w:tc>
        <w:tc>
          <w:tcPr>
            <w:tcW w:w="5387"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CGCTGAGTACTTCGAAATGTC</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AAV9-GLP-1R-shRNA</w:t>
            </w:r>
          </w:p>
        </w:tc>
        <w:tc>
          <w:tcPr>
            <w:tcW w:w="538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CAGCGCATCTTCAAGCTGTAT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AAV9-GCGR-shRNA</w:t>
            </w:r>
          </w:p>
        </w:tc>
        <w:tc>
          <w:tcPr>
            <w:tcW w:w="538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TCCCAACACCACTGCCAACAT</w:t>
            </w:r>
          </w:p>
        </w:tc>
      </w:tr>
    </w:tbl>
    <w:p>
      <w:pPr>
        <w:widowControl/>
        <w:jc w:val="left"/>
        <w:textAlignment w:val="center"/>
        <w:rPr>
          <w:rFonts w:ascii="Arial" w:hAnsi="Arial" w:cs="Arial"/>
          <w:color w:val="000000"/>
          <w:kern w:val="0"/>
          <w:sz w:val="20"/>
          <w:szCs w:val="20"/>
        </w:rPr>
      </w:pPr>
    </w:p>
    <w:p>
      <w:pPr>
        <w:spacing w:before="156" w:beforeLines="50" w:after="156" w:afterLines="50"/>
        <w:rPr>
          <w:rFonts w:ascii="Arial" w:hAnsi="Arial" w:cs="Arial"/>
        </w:rPr>
      </w:pPr>
      <w:r>
        <w:rPr>
          <w:rFonts w:ascii="Arial" w:hAnsi="Arial" w:cs="Arial"/>
          <w:b/>
          <w:sz w:val="20"/>
          <w:szCs w:val="20"/>
        </w:rPr>
        <w:t>Supplementary Table 10. Antibodies information for immunohistochemistry staining, immunofluorescent staining or western blotting.</w:t>
      </w:r>
    </w:p>
    <w:tbl>
      <w:tblPr>
        <w:tblStyle w:val="6"/>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35"/>
        <w:gridCol w:w="1842"/>
        <w:gridCol w:w="1418"/>
        <w:gridCol w:w="3027"/>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sz w:val="20"/>
                <w:szCs w:val="20"/>
              </w:rPr>
              <w:t>Antibody</w:t>
            </w:r>
          </w:p>
        </w:tc>
        <w:tc>
          <w:tcPr>
            <w:tcW w:w="1842"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Manufacturer</w:t>
            </w:r>
          </w:p>
        </w:tc>
        <w:tc>
          <w:tcPr>
            <w:tcW w:w="1418"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Product code</w:t>
            </w:r>
          </w:p>
        </w:tc>
        <w:tc>
          <w:tcPr>
            <w:tcW w:w="3027"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Dilution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 Hydroxynonenal</w:t>
            </w:r>
          </w:p>
        </w:tc>
        <w:tc>
          <w:tcPr>
            <w:tcW w:w="1842"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Abcam</w:t>
            </w:r>
          </w:p>
        </w:tc>
        <w:tc>
          <w:tcPr>
            <w:tcW w:w="1418"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ab46545</w:t>
            </w:r>
          </w:p>
        </w:tc>
        <w:tc>
          <w:tcPr>
            <w:tcW w:w="3027"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GCGR</w:t>
            </w:r>
          </w:p>
        </w:tc>
        <w:tc>
          <w:tcPr>
            <w:tcW w:w="1842"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Abcam</w:t>
            </w:r>
          </w:p>
        </w:tc>
        <w:tc>
          <w:tcPr>
            <w:tcW w:w="1418"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ab75240</w:t>
            </w:r>
          </w:p>
        </w:tc>
        <w:tc>
          <w:tcPr>
            <w:tcW w:w="3027"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Glucagon</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Abcam</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ab92517</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IKBα</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Abcam</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ab32518</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Insulin</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Abcam</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ab181547</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TGF-β1</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Abcam</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ab92486</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PGC-1α</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Abcam</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ab54481</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GLP-1R (Human)</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Affinity</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DF7750</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PGC-1β</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Bioss</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BS-7534R</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CD68</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Boster</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BA3638</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 WB: 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Fibronectin</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Boster</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BA1772</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 WB: 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NOX4</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Boster</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A00403</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 WB: 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α-SMA</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CST</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19245S</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1:200; 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Collagen I</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CST</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72026</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1:100; 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P65</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CST</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4764S</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p-IKBα</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CST</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2859S</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p-P65</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CST</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3039S</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p-Smad 2/3</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CST</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8828S</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GLP-1R (Mouse)</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Santa Cruz</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SC-390774</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IHC: 1:50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IL-1β</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Santa Cruz</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SC-12742</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Smad 2/3</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Santa Cruz</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SC-133098</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TNF-α</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Santa Cruz</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SC-52746</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β-actin</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TransGen Biotech</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HC201</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GAPDH</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TransGen Biotech</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HC301</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1:1500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HRP-labeled Goat Anti-Rabbit IgG(H+L)</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ZSGB-BIO</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ZB-2301</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HRP-labeled Goat Anti-Mouse IgG(H+L)</w:t>
            </w:r>
          </w:p>
        </w:tc>
        <w:tc>
          <w:tcPr>
            <w:tcW w:w="1842"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ZSGB-BIO</w:t>
            </w:r>
          </w:p>
        </w:tc>
        <w:tc>
          <w:tcPr>
            <w:tcW w:w="1418"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ZB-2305</w:t>
            </w:r>
          </w:p>
        </w:tc>
        <w:tc>
          <w:tcPr>
            <w:tcW w:w="3027"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WB: 1:10000</w:t>
            </w:r>
          </w:p>
        </w:tc>
      </w:tr>
    </w:tbl>
    <w:p>
      <w:pPr>
        <w:widowControl/>
        <w:jc w:val="left"/>
        <w:textAlignment w:val="center"/>
        <w:rPr>
          <w:rFonts w:ascii="Arial" w:hAnsi="Arial" w:cs="Arial"/>
          <w:color w:val="000000"/>
          <w:kern w:val="0"/>
          <w:sz w:val="20"/>
          <w:szCs w:val="20"/>
        </w:rPr>
      </w:pPr>
    </w:p>
    <w:p>
      <w:pPr>
        <w:spacing w:before="156" w:beforeLines="50" w:after="156" w:afterLines="50"/>
        <w:rPr>
          <w:rFonts w:ascii="Arial" w:hAnsi="Arial" w:cs="Arial"/>
        </w:rPr>
      </w:pPr>
      <w:r>
        <w:rPr>
          <w:rFonts w:ascii="Arial" w:hAnsi="Arial" w:cs="Arial"/>
          <w:b/>
          <w:sz w:val="20"/>
          <w:szCs w:val="20"/>
        </w:rPr>
        <w:t>Supplementary Table 11. Primers sequences for qRT-PCR.</w:t>
      </w:r>
    </w:p>
    <w:tbl>
      <w:tblPr>
        <w:tblStyle w:val="6"/>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1"/>
        <w:gridCol w:w="3685"/>
        <w:gridCol w:w="3686"/>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color w:val="000000"/>
                <w:sz w:val="20"/>
                <w:szCs w:val="20"/>
              </w:rPr>
              <w:t>Mouse Gene</w:t>
            </w:r>
          </w:p>
        </w:tc>
        <w:tc>
          <w:tcPr>
            <w:tcW w:w="3685"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Forward Primer</w:t>
            </w:r>
          </w:p>
        </w:tc>
        <w:tc>
          <w:tcPr>
            <w:tcW w:w="3686" w:type="dxa"/>
            <w:tcBorders>
              <w:bottom w:val="single" w:color="auto" w:sz="4" w:space="0"/>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Reverse Primer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β-actin</w:t>
            </w:r>
          </w:p>
        </w:tc>
        <w:tc>
          <w:tcPr>
            <w:tcW w:w="3685"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CTGAGAGGGAAATCGTGCGT</w:t>
            </w:r>
          </w:p>
        </w:tc>
        <w:tc>
          <w:tcPr>
            <w:tcW w:w="3686" w:type="dxa"/>
            <w:tcBorders>
              <w:top w:val="single" w:color="auto" w:sz="4" w:space="0"/>
              <w:bottom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 xml:space="preserve">TGTTGGCATAGAGGTCTTTACGG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CAT</w:t>
            </w:r>
          </w:p>
        </w:tc>
        <w:tc>
          <w:tcPr>
            <w:tcW w:w="3685"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AGCGACCAGATGAAGCAGTG</w:t>
            </w:r>
          </w:p>
        </w:tc>
        <w:tc>
          <w:tcPr>
            <w:tcW w:w="3686"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TCCGCTCTCTGTCAAAGTGTG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CCL2</w:t>
            </w:r>
          </w:p>
        </w:tc>
        <w:tc>
          <w:tcPr>
            <w:tcW w:w="3685"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TTAAAAACCTGGATCGGAACCAA</w:t>
            </w:r>
          </w:p>
        </w:tc>
        <w:tc>
          <w:tcPr>
            <w:tcW w:w="3686" w:type="dxa"/>
            <w:tcBorders>
              <w:top w:val="nil"/>
            </w:tcBorders>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GCATTAGCTTCAGATTTACGGGT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CCL4</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TTCCTGCTGTTTCTCTTACACCT</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CTGTCTGCCTCTTTTGGTCAG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Desmin</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CTCGGAAGTTGAGAGCAGAGA</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GTGAAGATGGCCTTGGATGT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F4/80</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CCCCAGTGTCCTTACAGAGTG</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GTGCCCAGAGTGGATGTCT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GCGR</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TGGGTGGTGGTCAAGTGTCT</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CCAGCCGGAACTTATAGTCAG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GLP-1R</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GAAGGATGCAAACAGGTTCAG</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CTCTGGCTACATAAGGACAACTC</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GPX1</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AGTCCACCGTGTATGCCTTCT</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GAGACGCGACATTCTCAATGA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HO-1</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AAGCCGAGAATGCTGAGTTCA</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GCCGTGTAGATATGGTACAAGGA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iNOS</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TGCGCCTTTGCTCATGACATCGA</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ATGGATGCTGCTGAGGGCTCTGTT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IL-1β</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GCAACTGTTCCTGAACTCAACT</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ATCTTTTGGGGTCCGTCAACT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IL-6</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TAGTCCTTCCTACCCCAATTTCC</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TTGGTCCTTAGCCACTCCTTC</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MMP3</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AGCCTTGGCTGAGTGGTAGA</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CGATGATGAACGATGGACAG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MMP8</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AGACCGGAATTGATTGCTTG</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CCCAGTACCTGAACACCTGGA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MMP9</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GCGCCACCACAGCCAACTATG</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TGGATGCCGTCTATGTCGTCTTTA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PAI-1</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TTCAGCCCTTGCTTGCCTC</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ACACTTTTACTCCGAAGTCGGT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PGC-1α</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TATGGAGTGACATAGAGTGTGCT</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CCACTTCAATCCACCCAGAAAG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PGC-1β</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TCCTGTAAAAGCCCGGAGTAT</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GCTCTGGTAGGGGCAGTGA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SOD1</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AACCAGTTGTGTTGTCAGGAC</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CCACCATGTTTCTTAGAGTGAGG</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SOD2</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CAGACCTGCCTTACGACTATGG</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CTCGGTGGCGTTGAGATTGTT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1"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UQCRC1</w:t>
            </w:r>
          </w:p>
        </w:tc>
        <w:tc>
          <w:tcPr>
            <w:tcW w:w="3685"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AGACCCAGGTCAGCATCTTG</w:t>
            </w:r>
          </w:p>
        </w:tc>
        <w:tc>
          <w:tcPr>
            <w:tcW w:w="3686" w:type="dxa"/>
            <w:vAlign w:val="center"/>
          </w:tcPr>
          <w:p>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GCCGATTCTTTGTTCCCTTGA</w:t>
            </w:r>
          </w:p>
        </w:tc>
      </w:tr>
    </w:tbl>
    <w:p>
      <w:pPr>
        <w:widowControl/>
        <w:jc w:val="left"/>
        <w:textAlignment w:val="center"/>
        <w:rPr>
          <w:rFonts w:ascii="Arial" w:hAnsi="Arial" w:cs="Arial"/>
          <w:color w:val="000000"/>
          <w:kern w:val="0"/>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FD9"/>
    <w:rsid w:val="0005568C"/>
    <w:rsid w:val="00057121"/>
    <w:rsid w:val="000778BB"/>
    <w:rsid w:val="000A1038"/>
    <w:rsid w:val="000A728D"/>
    <w:rsid w:val="000E0514"/>
    <w:rsid w:val="0010378C"/>
    <w:rsid w:val="001464DE"/>
    <w:rsid w:val="0015128E"/>
    <w:rsid w:val="00167B1F"/>
    <w:rsid w:val="001A5AB0"/>
    <w:rsid w:val="001A6725"/>
    <w:rsid w:val="001C17E9"/>
    <w:rsid w:val="001E082C"/>
    <w:rsid w:val="002D4222"/>
    <w:rsid w:val="00306644"/>
    <w:rsid w:val="003429CF"/>
    <w:rsid w:val="003431F4"/>
    <w:rsid w:val="0036450C"/>
    <w:rsid w:val="003B7786"/>
    <w:rsid w:val="003C47C6"/>
    <w:rsid w:val="003D0224"/>
    <w:rsid w:val="003E6A1E"/>
    <w:rsid w:val="00406AC2"/>
    <w:rsid w:val="004112B4"/>
    <w:rsid w:val="00433C81"/>
    <w:rsid w:val="004469B5"/>
    <w:rsid w:val="004F39AE"/>
    <w:rsid w:val="00505ABB"/>
    <w:rsid w:val="0059359E"/>
    <w:rsid w:val="005D6093"/>
    <w:rsid w:val="006448E9"/>
    <w:rsid w:val="0065470A"/>
    <w:rsid w:val="00661B4C"/>
    <w:rsid w:val="006E0712"/>
    <w:rsid w:val="006E0997"/>
    <w:rsid w:val="00714D72"/>
    <w:rsid w:val="0074112A"/>
    <w:rsid w:val="00754E0D"/>
    <w:rsid w:val="007961F2"/>
    <w:rsid w:val="007A6D48"/>
    <w:rsid w:val="007D0762"/>
    <w:rsid w:val="007E040D"/>
    <w:rsid w:val="00802166"/>
    <w:rsid w:val="00813424"/>
    <w:rsid w:val="00841856"/>
    <w:rsid w:val="00854FD9"/>
    <w:rsid w:val="00866C98"/>
    <w:rsid w:val="008E7EB3"/>
    <w:rsid w:val="009761FC"/>
    <w:rsid w:val="009A1235"/>
    <w:rsid w:val="009E6949"/>
    <w:rsid w:val="00A1230C"/>
    <w:rsid w:val="00A26CE1"/>
    <w:rsid w:val="00A27C5F"/>
    <w:rsid w:val="00A35752"/>
    <w:rsid w:val="00A50860"/>
    <w:rsid w:val="00A716A6"/>
    <w:rsid w:val="00AC14C9"/>
    <w:rsid w:val="00AD1E92"/>
    <w:rsid w:val="00B86340"/>
    <w:rsid w:val="00BC1240"/>
    <w:rsid w:val="00BD5790"/>
    <w:rsid w:val="00C30D2C"/>
    <w:rsid w:val="00C3256B"/>
    <w:rsid w:val="00C427B3"/>
    <w:rsid w:val="00C46172"/>
    <w:rsid w:val="00C814A8"/>
    <w:rsid w:val="00C94CF1"/>
    <w:rsid w:val="00CA559D"/>
    <w:rsid w:val="00CD2E59"/>
    <w:rsid w:val="00D10A8D"/>
    <w:rsid w:val="00D67B96"/>
    <w:rsid w:val="00D807D0"/>
    <w:rsid w:val="00D8728A"/>
    <w:rsid w:val="00DA7058"/>
    <w:rsid w:val="00DB462D"/>
    <w:rsid w:val="00DD2BE3"/>
    <w:rsid w:val="00DD4179"/>
    <w:rsid w:val="00E2153A"/>
    <w:rsid w:val="00E3670B"/>
    <w:rsid w:val="00E97F87"/>
    <w:rsid w:val="00ED1C13"/>
    <w:rsid w:val="00F03E31"/>
    <w:rsid w:val="00F76E94"/>
    <w:rsid w:val="00FA4998"/>
    <w:rsid w:val="00FE138E"/>
    <w:rsid w:val="03123066"/>
    <w:rsid w:val="06D14611"/>
    <w:rsid w:val="0C87209F"/>
    <w:rsid w:val="0F2A39DA"/>
    <w:rsid w:val="0FB541C7"/>
    <w:rsid w:val="116C11B8"/>
    <w:rsid w:val="12070C55"/>
    <w:rsid w:val="12B9112D"/>
    <w:rsid w:val="19B047CB"/>
    <w:rsid w:val="1BAF37EE"/>
    <w:rsid w:val="1D53167A"/>
    <w:rsid w:val="1F0E65E9"/>
    <w:rsid w:val="215F2C89"/>
    <w:rsid w:val="26050E7A"/>
    <w:rsid w:val="2BB7756B"/>
    <w:rsid w:val="2D5F3F22"/>
    <w:rsid w:val="308E13DF"/>
    <w:rsid w:val="3E35137E"/>
    <w:rsid w:val="44536BA9"/>
    <w:rsid w:val="456B3705"/>
    <w:rsid w:val="45C0042E"/>
    <w:rsid w:val="578F672D"/>
    <w:rsid w:val="587B316F"/>
    <w:rsid w:val="59A25867"/>
    <w:rsid w:val="5C7F7071"/>
    <w:rsid w:val="61A9069F"/>
    <w:rsid w:val="6207799C"/>
    <w:rsid w:val="6272178F"/>
    <w:rsid w:val="68E97800"/>
    <w:rsid w:val="6C013294"/>
    <w:rsid w:val="76E861FD"/>
    <w:rsid w:val="794805AF"/>
    <w:rsid w:val="7A017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customStyle="1" w:styleId="9">
    <w:name w:val="font11"/>
    <w:basedOn w:val="7"/>
    <w:qFormat/>
    <w:uiPriority w:val="0"/>
    <w:rPr>
      <w:rFonts w:hint="eastAsia" w:ascii="等线" w:hAnsi="等线" w:eastAsia="等线" w:cs="等线"/>
      <w:color w:val="000000"/>
      <w:sz w:val="24"/>
      <w:szCs w:val="24"/>
      <w:u w:val="none"/>
    </w:rPr>
  </w:style>
  <w:style w:type="character" w:customStyle="1" w:styleId="10">
    <w:name w:val="font01"/>
    <w:basedOn w:val="7"/>
    <w:qFormat/>
    <w:uiPriority w:val="0"/>
    <w:rPr>
      <w:rFonts w:hint="eastAsia" w:ascii="等线" w:hAnsi="等线" w:eastAsia="等线" w:cs="等线"/>
      <w:color w:val="000000"/>
      <w:sz w:val="24"/>
      <w:szCs w:val="24"/>
      <w:u w:val="none"/>
      <w:vertAlign w:val="subscript"/>
    </w:rPr>
  </w:style>
  <w:style w:type="character" w:customStyle="1" w:styleId="11">
    <w:name w:val="页眉 字符"/>
    <w:basedOn w:val="7"/>
    <w:link w:val="4"/>
    <w:qFormat/>
    <w:uiPriority w:val="0"/>
    <w:rPr>
      <w:rFonts w:asciiTheme="minorHAnsi" w:hAnsiTheme="minorHAnsi" w:eastAsiaTheme="minorEastAsia" w:cstheme="minorBidi"/>
      <w:kern w:val="2"/>
      <w:sz w:val="18"/>
      <w:szCs w:val="18"/>
    </w:rPr>
  </w:style>
  <w:style w:type="character" w:customStyle="1" w:styleId="12">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customXml" Target="../customXml/item1.xml"/><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theme" Target="theme/theme1.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1B2525-E686-4520-BCA4-DE1062B1DAEB}">
  <ds:schemaRefs/>
</ds:datastoreItem>
</file>

<file path=docProps/app.xml><?xml version="1.0" encoding="utf-8"?>
<Properties xmlns="http://schemas.openxmlformats.org/officeDocument/2006/extended-properties" xmlns:vt="http://schemas.openxmlformats.org/officeDocument/2006/docPropsVTypes">
  <Template>Normal</Template>
  <Company>中山大学</Company>
  <Pages>33</Pages>
  <Words>4864</Words>
  <Characters>27727</Characters>
  <Lines>231</Lines>
  <Paragraphs>65</Paragraphs>
  <TotalTime>22</TotalTime>
  <ScaleCrop>false</ScaleCrop>
  <LinksUpToDate>false</LinksUpToDate>
  <CharactersWithSpaces>32526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2021-05-30T02:01:00Z</dcterms:created>
  <dc:creator>HUAWEI</dc:creator>
  <cp:lastModifiedBy>WPS_赵倩</cp:lastModifiedBy>
  <dcterms:modified xsi:type="dcterms:W3CDTF">2022-01-14T07:06:26Z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19789AB0D6C748D49773C93ACCBDB924</vt:lpwstr>
  </property>
</Properties>
</file>