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75D85" w14:textId="77777777" w:rsidR="00173F9A" w:rsidRPr="00173F9A" w:rsidRDefault="00173F9A" w:rsidP="00173F9A">
      <w:pPr>
        <w:pStyle w:val="mNormalnoindent"/>
        <w:spacing w:line="360" w:lineRule="auto"/>
        <w:jc w:val="both"/>
        <w:rPr>
          <w:rFonts w:eastAsia="標楷體"/>
          <w:b/>
          <w:szCs w:val="24"/>
        </w:rPr>
      </w:pPr>
      <w:r w:rsidRPr="00173F9A">
        <w:rPr>
          <w:rFonts w:eastAsia="標楷體"/>
          <w:b/>
          <w:szCs w:val="24"/>
        </w:rPr>
        <w:t>Supplementary Materials and Methods</w:t>
      </w:r>
    </w:p>
    <w:p w14:paraId="2537ED49" w14:textId="77777777" w:rsidR="00173F9A" w:rsidRPr="008C5ACF" w:rsidRDefault="00173F9A" w:rsidP="00173F9A">
      <w:pPr>
        <w:spacing w:line="360" w:lineRule="auto"/>
        <w:jc w:val="both"/>
        <w:rPr>
          <w:rFonts w:ascii="Times New Roman" w:eastAsia="標楷體" w:hAnsi="Times New Roman"/>
          <w:bCs/>
          <w:i/>
          <w:iCs/>
          <w:szCs w:val="24"/>
        </w:rPr>
      </w:pPr>
      <w:r w:rsidRPr="008C5ACF">
        <w:rPr>
          <w:rFonts w:ascii="Times New Roman" w:eastAsia="標楷體" w:hAnsi="Times New Roman"/>
          <w:bCs/>
          <w:i/>
          <w:iCs/>
          <w:szCs w:val="24"/>
        </w:rPr>
        <w:t xml:space="preserve">Sample processing and Ion </w:t>
      </w:r>
      <w:proofErr w:type="spellStart"/>
      <w:r w:rsidRPr="008C5ACF">
        <w:rPr>
          <w:rFonts w:ascii="Times New Roman" w:eastAsia="標楷體" w:hAnsi="Times New Roman"/>
          <w:bCs/>
          <w:i/>
          <w:iCs/>
          <w:szCs w:val="24"/>
        </w:rPr>
        <w:t>AmpliSeq</w:t>
      </w:r>
      <w:proofErr w:type="spellEnd"/>
      <w:r w:rsidRPr="008C5ACF">
        <w:rPr>
          <w:rFonts w:ascii="Times New Roman" w:eastAsia="標楷體" w:hAnsi="Times New Roman"/>
          <w:bCs/>
          <w:i/>
          <w:iCs/>
          <w:szCs w:val="24"/>
        </w:rPr>
        <w:t xml:space="preserve"> Comprehensive Cancer Panel (IACCP)</w:t>
      </w:r>
    </w:p>
    <w:p w14:paraId="4E4A23DE" w14:textId="2382D69C" w:rsidR="00173F9A" w:rsidRPr="003F13EF" w:rsidRDefault="00173F9A" w:rsidP="00173F9A">
      <w:pPr>
        <w:autoSpaceDE w:val="0"/>
        <w:autoSpaceDN w:val="0"/>
        <w:adjustRightInd w:val="0"/>
        <w:spacing w:line="360" w:lineRule="auto"/>
        <w:ind w:firstLineChars="200" w:firstLine="480"/>
        <w:jc w:val="both"/>
        <w:rPr>
          <w:rFonts w:ascii="Times New Roman" w:hAnsi="Times New Roman"/>
          <w:kern w:val="0"/>
          <w:szCs w:val="24"/>
          <w:lang w:bidi="en-US"/>
        </w:rPr>
      </w:pPr>
      <w:r w:rsidRPr="00005AE4">
        <w:rPr>
          <w:rFonts w:ascii="Times New Roman" w:hAnsi="Times New Roman"/>
          <w:kern w:val="0"/>
          <w:szCs w:val="24"/>
          <w:lang w:bidi="en-US"/>
        </w:rPr>
        <w:t>The obtained reads were mapped against the human genome sequence hg19 reference genome.</w:t>
      </w:r>
      <w:r w:rsidRPr="00AD0420">
        <w:rPr>
          <w:rFonts w:ascii="Times New Roman" w:hAnsi="Times New Roman"/>
          <w:kern w:val="0"/>
          <w:szCs w:val="24"/>
          <w:lang w:bidi="en-US"/>
        </w:rPr>
        <w:t xml:space="preserve"> Single nucleotide variants (SNVs) and short insertions/deletions (INDELs) were identified and analyzed using Ion Torrent Suite Server (version 5.0) and Torrent Suite Variant Caller plug-in, version 5.0. Variants with coverage ≥ 25x, variant allele frequency (VAF) ≥ 5%, and hotspot variants with VAF ≥ 2% were retained and considered as mutations. Variants with a minor allele frequency (MAF) of &lt; 1% in the 1000 Genomes Project Phase 3 were considered as single nucleotide poly</w:t>
      </w:r>
      <w:r w:rsidRPr="003F13EF">
        <w:rPr>
          <w:rFonts w:ascii="Times New Roman" w:hAnsi="Times New Roman"/>
          <w:kern w:val="0"/>
          <w:szCs w:val="24"/>
          <w:lang w:bidi="en-US"/>
        </w:rPr>
        <w:t>morphisms (SNPs). Sequencing data of peripheral blood mononuclear cells (PBMCs) from two patients were used to filter out putative germline mutations. For three FFPE tissues with low tumor percentages and without</w:t>
      </w:r>
      <w:r w:rsidRPr="003F13EF">
        <w:rPr>
          <w:rFonts w:ascii="Times New Roman" w:hAnsi="Times New Roman"/>
        </w:rPr>
        <w:t xml:space="preserve"> </w:t>
      </w:r>
      <w:r w:rsidRPr="003F13EF">
        <w:rPr>
          <w:rFonts w:ascii="Times New Roman" w:hAnsi="Times New Roman"/>
          <w:kern w:val="0"/>
          <w:szCs w:val="24"/>
          <w:lang w:bidi="en-US"/>
        </w:rPr>
        <w:t xml:space="preserve">matched normal samples, a stringent VAF cut-off of </w:t>
      </w:r>
      <w:r w:rsidRPr="003F13EF">
        <w:rPr>
          <w:rFonts w:ascii="Times New Roman" w:hAnsi="Times New Roman"/>
          <w:kern w:val="0"/>
          <w:szCs w:val="24"/>
          <w:u w:val="single"/>
          <w:lang w:bidi="en-US"/>
        </w:rPr>
        <w:t>&lt;</w:t>
      </w:r>
      <w:r w:rsidRPr="003F13EF">
        <w:rPr>
          <w:rFonts w:ascii="Times New Roman" w:hAnsi="Times New Roman"/>
          <w:kern w:val="0"/>
          <w:szCs w:val="24"/>
          <w:lang w:bidi="en-US"/>
        </w:rPr>
        <w:t xml:space="preserve"> 10% and somatic mutation databases, including COSMIC and My Cancer Genome, were used to capture somatic mutations.</w:t>
      </w:r>
    </w:p>
    <w:p w14:paraId="6D6FE121" w14:textId="781CB39C" w:rsidR="00173F9A" w:rsidRPr="003F13EF" w:rsidRDefault="00173F9A" w:rsidP="00173F9A">
      <w:pPr>
        <w:autoSpaceDE w:val="0"/>
        <w:autoSpaceDN w:val="0"/>
        <w:adjustRightInd w:val="0"/>
        <w:spacing w:line="360" w:lineRule="auto"/>
        <w:jc w:val="both"/>
        <w:rPr>
          <w:rFonts w:ascii="Times New Roman" w:hAnsi="Times New Roman"/>
          <w:kern w:val="0"/>
          <w:szCs w:val="24"/>
          <w:lang w:bidi="en-US"/>
        </w:rPr>
      </w:pPr>
    </w:p>
    <w:p w14:paraId="66806EB6" w14:textId="77777777" w:rsidR="00173F9A" w:rsidRPr="003F13EF" w:rsidRDefault="00173F9A" w:rsidP="00173F9A">
      <w:pPr>
        <w:autoSpaceDE w:val="0"/>
        <w:autoSpaceDN w:val="0"/>
        <w:adjustRightInd w:val="0"/>
        <w:spacing w:line="360" w:lineRule="auto"/>
        <w:jc w:val="both"/>
        <w:rPr>
          <w:rFonts w:ascii="Times New Roman" w:eastAsia="AdvP4DF60E" w:hAnsi="Times New Roman"/>
          <w:bCs/>
          <w:i/>
          <w:iCs/>
          <w:kern w:val="0"/>
          <w:szCs w:val="24"/>
        </w:rPr>
      </w:pPr>
      <w:r w:rsidRPr="003F13EF">
        <w:rPr>
          <w:rFonts w:ascii="Times New Roman" w:eastAsia="AdvP4DF60E" w:hAnsi="Times New Roman"/>
          <w:bCs/>
          <w:i/>
          <w:iCs/>
          <w:kern w:val="0"/>
          <w:szCs w:val="24"/>
        </w:rPr>
        <w:t xml:space="preserve">RNA extraction, </w:t>
      </w:r>
      <w:proofErr w:type="spellStart"/>
      <w:r w:rsidRPr="003F13EF">
        <w:rPr>
          <w:rFonts w:ascii="Times New Roman" w:eastAsia="AdvP4DF60E" w:hAnsi="Times New Roman"/>
          <w:bCs/>
          <w:i/>
          <w:iCs/>
          <w:kern w:val="0"/>
          <w:szCs w:val="24"/>
        </w:rPr>
        <w:t>nCounter</w:t>
      </w:r>
      <w:proofErr w:type="spellEnd"/>
      <w:r w:rsidRPr="003F13EF">
        <w:rPr>
          <w:rFonts w:ascii="Times New Roman" w:eastAsia="AdvP4DF60E" w:hAnsi="Times New Roman"/>
          <w:bCs/>
          <w:i/>
          <w:iCs/>
          <w:kern w:val="0"/>
          <w:szCs w:val="24"/>
        </w:rPr>
        <w:t xml:space="preserve">® </w:t>
      </w:r>
      <w:proofErr w:type="spellStart"/>
      <w:r w:rsidRPr="003F13EF">
        <w:rPr>
          <w:rFonts w:ascii="Times New Roman" w:eastAsia="AdvP4DF60E" w:hAnsi="Times New Roman"/>
          <w:bCs/>
          <w:i/>
          <w:iCs/>
          <w:kern w:val="0"/>
          <w:szCs w:val="24"/>
        </w:rPr>
        <w:t>PanCancer</w:t>
      </w:r>
      <w:proofErr w:type="spellEnd"/>
      <w:r w:rsidRPr="003F13EF">
        <w:rPr>
          <w:rFonts w:ascii="Times New Roman" w:eastAsia="AdvP4DF60E" w:hAnsi="Times New Roman"/>
          <w:bCs/>
          <w:i/>
          <w:iCs/>
          <w:kern w:val="0"/>
          <w:szCs w:val="24"/>
        </w:rPr>
        <w:t xml:space="preserve"> Immune Profiling Panel (PIPP), and quantitative real time polymerase chain reaction (qPCR)</w:t>
      </w:r>
    </w:p>
    <w:p w14:paraId="68241F2C" w14:textId="758B7B17" w:rsidR="00173F9A" w:rsidRPr="003F13EF" w:rsidRDefault="00173F9A" w:rsidP="00173F9A">
      <w:pPr>
        <w:autoSpaceDE w:val="0"/>
        <w:autoSpaceDN w:val="0"/>
        <w:adjustRightInd w:val="0"/>
        <w:spacing w:line="360" w:lineRule="auto"/>
        <w:ind w:firstLineChars="200" w:firstLine="480"/>
        <w:jc w:val="both"/>
        <w:rPr>
          <w:rFonts w:ascii="Times New Roman" w:hAnsi="Times New Roman"/>
          <w:kern w:val="0"/>
          <w:szCs w:val="24"/>
          <w:lang w:bidi="en-US"/>
        </w:rPr>
      </w:pPr>
      <w:r w:rsidRPr="003F13EF">
        <w:rPr>
          <w:rFonts w:ascii="Times New Roman" w:hAnsi="Times New Roman"/>
          <w:kern w:val="0"/>
          <w:szCs w:val="24"/>
          <w:lang w:bidi="en-US"/>
        </w:rPr>
        <w:t>RNA purity and concentration were assessed using</w:t>
      </w:r>
      <w:r w:rsidRPr="003F13EF">
        <w:rPr>
          <w:rFonts w:ascii="Times New Roman" w:hAnsi="Times New Roman"/>
          <w:kern w:val="0"/>
          <w:szCs w:val="24"/>
        </w:rPr>
        <w:t xml:space="preserve"> </w:t>
      </w:r>
      <w:proofErr w:type="spellStart"/>
      <w:r w:rsidRPr="003F13EF">
        <w:rPr>
          <w:rFonts w:ascii="Times New Roman" w:hAnsi="Times New Roman"/>
          <w:kern w:val="0"/>
          <w:szCs w:val="24"/>
          <w:lang w:bidi="en-US"/>
        </w:rPr>
        <w:t>NanoDrop</w:t>
      </w:r>
      <w:proofErr w:type="spellEnd"/>
      <w:r w:rsidRPr="003F13EF">
        <w:rPr>
          <w:rFonts w:ascii="Times New Roman" w:hAnsi="Times New Roman"/>
          <w:kern w:val="0"/>
          <w:szCs w:val="24"/>
          <w:lang w:bidi="en-US"/>
        </w:rPr>
        <w:t xml:space="preserve"> 2000 (Thermo Fisher Scientific), and RNA quality was assessed using</w:t>
      </w:r>
      <w:r w:rsidRPr="003F13EF">
        <w:rPr>
          <w:rFonts w:ascii="Times New Roman" w:hAnsi="Times New Roman"/>
          <w:kern w:val="0"/>
          <w:szCs w:val="24"/>
        </w:rPr>
        <w:t xml:space="preserve"> Agilent 2100 Bioanalyzer (Agilent Technologies, Germany) in all samples. RNA was input directly into the </w:t>
      </w:r>
      <w:proofErr w:type="spellStart"/>
      <w:r w:rsidRPr="003F13EF">
        <w:rPr>
          <w:rFonts w:ascii="Times New Roman" w:hAnsi="Times New Roman"/>
          <w:kern w:val="0"/>
          <w:szCs w:val="24"/>
          <w:lang w:bidi="en-US"/>
        </w:rPr>
        <w:t>nCounter</w:t>
      </w:r>
      <w:proofErr w:type="spellEnd"/>
      <w:r w:rsidRPr="003F13EF">
        <w:rPr>
          <w:rFonts w:ascii="Times New Roman" w:hAnsi="Times New Roman"/>
          <w:kern w:val="0"/>
          <w:szCs w:val="24"/>
          <w:lang w:bidi="en-US"/>
        </w:rPr>
        <w:t xml:space="preserve"> platform (</w:t>
      </w:r>
      <w:proofErr w:type="spellStart"/>
      <w:r w:rsidRPr="003F13EF">
        <w:rPr>
          <w:rFonts w:ascii="Times New Roman" w:hAnsi="Times New Roman"/>
          <w:kern w:val="0"/>
          <w:szCs w:val="24"/>
          <w:lang w:bidi="en-US"/>
        </w:rPr>
        <w:t>NanoString</w:t>
      </w:r>
      <w:proofErr w:type="spellEnd"/>
      <w:r w:rsidRPr="003F13EF">
        <w:rPr>
          <w:rFonts w:ascii="Times New Roman" w:hAnsi="Times New Roman"/>
          <w:kern w:val="0"/>
          <w:szCs w:val="24"/>
          <w:lang w:bidi="en-US"/>
        </w:rPr>
        <w:t xml:space="preserve"> Technologies, Seattle, WA) for hybridization reactions containing color-coded molecular barcodes representing 770 genes for 18 h at 65 °C. The data were quality controlled and normalized using </w:t>
      </w:r>
      <w:proofErr w:type="spellStart"/>
      <w:r w:rsidRPr="003F13EF">
        <w:rPr>
          <w:rFonts w:ascii="Times New Roman" w:hAnsi="Times New Roman"/>
          <w:kern w:val="0"/>
          <w:szCs w:val="24"/>
          <w:lang w:bidi="en-US"/>
        </w:rPr>
        <w:t>nSolver</w:t>
      </w:r>
      <w:proofErr w:type="spellEnd"/>
      <w:r w:rsidRPr="003F13EF">
        <w:rPr>
          <w:rFonts w:ascii="Times New Roman" w:hAnsi="Times New Roman"/>
          <w:kern w:val="0"/>
          <w:szCs w:val="24"/>
          <w:lang w:bidi="en-US"/>
        </w:rPr>
        <w:t xml:space="preserve"> Analysis Software (V.4.0.70, </w:t>
      </w:r>
      <w:proofErr w:type="spellStart"/>
      <w:r w:rsidRPr="003F13EF">
        <w:rPr>
          <w:rFonts w:ascii="Times New Roman" w:hAnsi="Times New Roman"/>
          <w:kern w:val="0"/>
          <w:szCs w:val="24"/>
          <w:lang w:bidi="en-US"/>
        </w:rPr>
        <w:t>NanoString</w:t>
      </w:r>
      <w:proofErr w:type="spellEnd"/>
      <w:r w:rsidRPr="003F13EF">
        <w:rPr>
          <w:rFonts w:ascii="Times New Roman" w:hAnsi="Times New Roman"/>
          <w:kern w:val="0"/>
          <w:szCs w:val="24"/>
          <w:lang w:bidi="en-US"/>
        </w:rPr>
        <w:t xml:space="preserve"> Technologies).</w:t>
      </w:r>
    </w:p>
    <w:p w14:paraId="4CCCC828" w14:textId="192DD532" w:rsidR="00173F9A" w:rsidRPr="003F13EF" w:rsidRDefault="00173F9A" w:rsidP="007A1BBC">
      <w:pPr>
        <w:autoSpaceDE w:val="0"/>
        <w:autoSpaceDN w:val="0"/>
        <w:adjustRightInd w:val="0"/>
        <w:spacing w:line="360" w:lineRule="auto"/>
        <w:ind w:firstLineChars="200" w:firstLine="480"/>
        <w:jc w:val="both"/>
        <w:rPr>
          <w:rFonts w:ascii="Times New Roman" w:eastAsia="標楷體" w:hAnsi="Times New Roman"/>
          <w:szCs w:val="24"/>
        </w:rPr>
      </w:pPr>
      <w:r w:rsidRPr="003F13EF">
        <w:rPr>
          <w:rFonts w:ascii="Times New Roman" w:hAnsi="Times New Roman"/>
          <w:shd w:val="clear" w:color="auto" w:fill="FFFFFF"/>
        </w:rPr>
        <w:t>For</w:t>
      </w:r>
      <w:r w:rsidRPr="003F13EF">
        <w:rPr>
          <w:rFonts w:ascii="Times New Roman" w:hAnsi="Times New Roman"/>
        </w:rPr>
        <w:t xml:space="preserve"> qPCR assay, 1 </w:t>
      </w:r>
      <w:proofErr w:type="spellStart"/>
      <w:r w:rsidRPr="003F13EF">
        <w:rPr>
          <w:rFonts w:ascii="Times New Roman" w:hAnsi="Times New Roman"/>
        </w:rPr>
        <w:t>μg</w:t>
      </w:r>
      <w:proofErr w:type="spellEnd"/>
      <w:r w:rsidRPr="003F13EF">
        <w:rPr>
          <w:rFonts w:ascii="Times New Roman" w:hAnsi="Times New Roman"/>
        </w:rPr>
        <w:t xml:space="preserve"> of total RNA was reverse transcribed for each cDNA. </w:t>
      </w:r>
      <w:r w:rsidRPr="003F13EF">
        <w:rPr>
          <w:rFonts w:ascii="Times New Roman" w:eastAsia="標楷體" w:hAnsi="Times New Roman"/>
          <w:szCs w:val="24"/>
        </w:rPr>
        <w:t xml:space="preserve">A 1/20 volume of the cDNA mixture was subjected to qPCR using </w:t>
      </w:r>
      <w:proofErr w:type="spellStart"/>
      <w:r w:rsidRPr="003F13EF">
        <w:rPr>
          <w:rFonts w:ascii="Times New Roman" w:eastAsia="標楷體" w:hAnsi="Times New Roman"/>
          <w:szCs w:val="24"/>
        </w:rPr>
        <w:t>GoTaq</w:t>
      </w:r>
      <w:proofErr w:type="spellEnd"/>
      <w:r w:rsidRPr="003F13EF">
        <w:rPr>
          <w:rFonts w:ascii="Times New Roman" w:eastAsia="標楷體" w:hAnsi="Times New Roman"/>
          <w:szCs w:val="24"/>
        </w:rPr>
        <w:t xml:space="preserve"> real-time PCR system (Promega). </w:t>
      </w:r>
      <w:r w:rsidRPr="003F13EF">
        <w:rPr>
          <w:rFonts w:ascii="Times New Roman" w:hAnsi="Times New Roman"/>
          <w:szCs w:val="24"/>
        </w:rPr>
        <w:t>The sequences of qPCR primers were as follows:</w:t>
      </w:r>
      <w:r w:rsidRPr="003F13EF">
        <w:rPr>
          <w:rFonts w:ascii="Times New Roman" w:eastAsia="標楷體" w:hAnsi="Times New Roman"/>
          <w:szCs w:val="24"/>
        </w:rPr>
        <w:t xml:space="preserve"> PDCD1 sense primer, 5’-</w:t>
      </w:r>
      <w:r w:rsidRPr="003F13EF">
        <w:rPr>
          <w:rFonts w:ascii="Times New Roman" w:hAnsi="Times New Roman"/>
          <w:kern w:val="24"/>
          <w:sz w:val="20"/>
          <w:szCs w:val="20"/>
        </w:rPr>
        <w:t xml:space="preserve"> </w:t>
      </w:r>
      <w:r w:rsidRPr="003F13EF">
        <w:rPr>
          <w:rFonts w:ascii="Times New Roman" w:eastAsia="標楷體" w:hAnsi="Times New Roman"/>
          <w:szCs w:val="24"/>
        </w:rPr>
        <w:t>CGTGGCCTATCCATCCTCA-3’, PDCD1 antisense primer, 5’-</w:t>
      </w:r>
      <w:r w:rsidRPr="003F13EF">
        <w:rPr>
          <w:rFonts w:ascii="Times New Roman" w:hAnsi="Times New Roman"/>
          <w:kern w:val="24"/>
          <w:sz w:val="20"/>
          <w:szCs w:val="20"/>
        </w:rPr>
        <w:t xml:space="preserve"> </w:t>
      </w:r>
      <w:r w:rsidRPr="003F13EF">
        <w:rPr>
          <w:rFonts w:ascii="Times New Roman" w:eastAsia="標楷體" w:hAnsi="Times New Roman"/>
          <w:szCs w:val="24"/>
        </w:rPr>
        <w:lastRenderedPageBreak/>
        <w:t>ATCCCTTGTCCCAGCCACTC-3’, CD274 sense primer, 5’-</w:t>
      </w:r>
      <w:r w:rsidRPr="003F13EF">
        <w:rPr>
          <w:rFonts w:ascii="Times New Roman" w:hAnsi="Times New Roman"/>
          <w:kern w:val="24"/>
          <w:sz w:val="20"/>
          <w:szCs w:val="20"/>
        </w:rPr>
        <w:t xml:space="preserve"> </w:t>
      </w:r>
      <w:r w:rsidRPr="003F13EF">
        <w:rPr>
          <w:rFonts w:ascii="Times New Roman" w:eastAsia="標楷體" w:hAnsi="Times New Roman"/>
          <w:szCs w:val="24"/>
        </w:rPr>
        <w:t>GCATGGAGAGGAAGACCTGA’, CD274 antisense primer, 5’-</w:t>
      </w:r>
      <w:r w:rsidRPr="003F13EF">
        <w:rPr>
          <w:rFonts w:ascii="Times New Roman" w:hAnsi="Times New Roman"/>
          <w:kern w:val="24"/>
          <w:sz w:val="20"/>
          <w:szCs w:val="20"/>
        </w:rPr>
        <w:t xml:space="preserve"> </w:t>
      </w:r>
      <w:r w:rsidRPr="003F13EF">
        <w:rPr>
          <w:rFonts w:ascii="Times New Roman" w:eastAsia="標楷體" w:hAnsi="Times New Roman"/>
          <w:szCs w:val="24"/>
        </w:rPr>
        <w:t>TTGTAGTCGGCACCACCATA-3’, GAPDH sense primer, 5’-</w:t>
      </w:r>
      <w:r w:rsidRPr="003F13EF">
        <w:rPr>
          <w:rFonts w:ascii="Times New Roman" w:hAnsi="Times New Roman"/>
          <w:noProof/>
          <w:szCs w:val="24"/>
        </w:rPr>
        <w:t xml:space="preserve">GGGGCTCTCCAGAACATCAT-3’, and </w:t>
      </w:r>
      <w:r w:rsidRPr="003F13EF">
        <w:rPr>
          <w:rFonts w:ascii="Times New Roman" w:eastAsia="標楷體" w:hAnsi="Times New Roman"/>
          <w:szCs w:val="24"/>
        </w:rPr>
        <w:t>GAPDH antisense primer, 5’-</w:t>
      </w:r>
      <w:r w:rsidRPr="003F13EF">
        <w:rPr>
          <w:rFonts w:ascii="Times New Roman" w:hAnsi="Times New Roman"/>
          <w:noProof/>
          <w:szCs w:val="24"/>
        </w:rPr>
        <w:t>GTCGTTGAGGGCAATGCCAG-3’.</w:t>
      </w:r>
      <w:r w:rsidRPr="003F13EF">
        <w:rPr>
          <w:rFonts w:ascii="Times New Roman" w:eastAsia="標楷體" w:hAnsi="Times New Roman"/>
          <w:szCs w:val="24"/>
        </w:rPr>
        <w:t xml:space="preserve"> </w:t>
      </w:r>
      <w:r w:rsidRPr="003F13EF">
        <w:rPr>
          <w:rFonts w:ascii="Times New Roman" w:hAnsi="Times New Roman"/>
          <w:noProof/>
          <w:szCs w:val="24"/>
        </w:rPr>
        <w:t xml:space="preserve">The reaction </w:t>
      </w:r>
      <w:r w:rsidRPr="003F13EF">
        <w:rPr>
          <w:rFonts w:ascii="Times New Roman" w:hAnsi="Times New Roman"/>
          <w:noProof/>
        </w:rPr>
        <w:t xml:space="preserve">was performed using </w:t>
      </w:r>
      <w:proofErr w:type="spellStart"/>
      <w:r w:rsidRPr="003F13EF">
        <w:rPr>
          <w:rFonts w:ascii="Times New Roman" w:eastAsia="標楷體" w:hAnsi="Times New Roman"/>
          <w:szCs w:val="24"/>
        </w:rPr>
        <w:t>StepOne</w:t>
      </w:r>
      <w:r w:rsidRPr="003F13EF">
        <w:rPr>
          <w:rFonts w:ascii="Times New Roman" w:eastAsia="標楷體" w:hAnsi="Times New Roman"/>
          <w:szCs w:val="24"/>
          <w:vertAlign w:val="superscript"/>
        </w:rPr>
        <w:t>TM</w:t>
      </w:r>
      <w:proofErr w:type="spellEnd"/>
      <w:r w:rsidRPr="003F13EF">
        <w:rPr>
          <w:rFonts w:ascii="Times New Roman" w:eastAsia="標楷體" w:hAnsi="Times New Roman"/>
          <w:szCs w:val="24"/>
        </w:rPr>
        <w:t xml:space="preserve"> Real-Time PCR system (Applied Biosystems), and the </w:t>
      </w:r>
      <w:r w:rsidRPr="003F13EF">
        <w:rPr>
          <w:rFonts w:ascii="Times New Roman" w:hAnsi="Times New Roman"/>
          <w:noProof/>
          <w:szCs w:val="24"/>
        </w:rPr>
        <w:t>protocol was set as follows:</w:t>
      </w:r>
      <w:r w:rsidRPr="003F13EF">
        <w:rPr>
          <w:rFonts w:ascii="Times New Roman" w:eastAsia="標楷體" w:hAnsi="Times New Roman"/>
          <w:szCs w:val="24"/>
        </w:rPr>
        <w:t xml:space="preserve"> an initial denaturation at 95 °C for 5 min, followed by 40 cycles of denaturation at 95 °C for 10 s, annealing at 60 °C for 10 s, and extension at 72 °C for 10 s.</w:t>
      </w:r>
    </w:p>
    <w:p w14:paraId="672772F5" w14:textId="77777777" w:rsidR="00173F9A" w:rsidRPr="003F13EF" w:rsidRDefault="00173F9A" w:rsidP="00173F9A">
      <w:pPr>
        <w:autoSpaceDE w:val="0"/>
        <w:autoSpaceDN w:val="0"/>
        <w:adjustRightInd w:val="0"/>
        <w:spacing w:line="360" w:lineRule="auto"/>
        <w:jc w:val="both"/>
        <w:rPr>
          <w:rFonts w:ascii="Times New Roman" w:eastAsia="AdvP4DF60E" w:hAnsi="Times New Roman"/>
          <w:b/>
          <w:kern w:val="0"/>
          <w:szCs w:val="24"/>
        </w:rPr>
      </w:pPr>
    </w:p>
    <w:p w14:paraId="0E2C08B8" w14:textId="3AEE9DCD" w:rsidR="007A1BBC" w:rsidRPr="003F13EF" w:rsidRDefault="007A1BBC" w:rsidP="007A1BBC">
      <w:pPr>
        <w:autoSpaceDE w:val="0"/>
        <w:autoSpaceDN w:val="0"/>
        <w:adjustRightInd w:val="0"/>
        <w:spacing w:line="360" w:lineRule="auto"/>
        <w:jc w:val="both"/>
        <w:rPr>
          <w:rFonts w:ascii="Times New Roman" w:eastAsia="AdvP4DF60E" w:hAnsi="Times New Roman"/>
          <w:bCs/>
          <w:i/>
          <w:iCs/>
          <w:kern w:val="0"/>
          <w:szCs w:val="24"/>
        </w:rPr>
      </w:pPr>
      <w:r w:rsidRPr="003F13EF">
        <w:rPr>
          <w:rFonts w:ascii="Times New Roman" w:eastAsia="AdvP4DF60E" w:hAnsi="Times New Roman"/>
          <w:bCs/>
          <w:i/>
          <w:iCs/>
          <w:kern w:val="0"/>
          <w:szCs w:val="24"/>
        </w:rPr>
        <w:t>I</w:t>
      </w:r>
      <w:r w:rsidRPr="003F13EF">
        <w:rPr>
          <w:rFonts w:ascii="Times New Roman" w:eastAsia="AdvP4DF60E" w:hAnsi="Times New Roman"/>
          <w:bCs/>
          <w:i/>
          <w:iCs/>
          <w:kern w:val="0"/>
          <w:szCs w:val="24"/>
        </w:rPr>
        <w:t>mmunohistochemistry (IHC) staining</w:t>
      </w:r>
    </w:p>
    <w:p w14:paraId="3B8CB66F" w14:textId="7777B635" w:rsidR="00952743" w:rsidRPr="00173F9A" w:rsidRDefault="007A1BBC" w:rsidP="003F13EF">
      <w:pPr>
        <w:pStyle w:val="mNormalnoindent"/>
        <w:spacing w:line="360" w:lineRule="auto"/>
        <w:ind w:firstLineChars="200" w:firstLine="480"/>
        <w:jc w:val="both"/>
      </w:pPr>
      <w:r w:rsidRPr="003F13EF">
        <w:rPr>
          <w:szCs w:val="28"/>
        </w:rPr>
        <w:t xml:space="preserve">Mouse anti-human PD-L1 monoclonal antibody, clone 22C3 </w:t>
      </w:r>
      <w:proofErr w:type="spellStart"/>
      <w:r w:rsidRPr="003F13EF">
        <w:rPr>
          <w:szCs w:val="28"/>
        </w:rPr>
        <w:t>pharmDx</w:t>
      </w:r>
      <w:proofErr w:type="spellEnd"/>
      <w:r w:rsidRPr="003F13EF">
        <w:rPr>
          <w:szCs w:val="28"/>
        </w:rPr>
        <w:t xml:space="preserve"> kit (</w:t>
      </w:r>
      <w:proofErr w:type="spellStart"/>
      <w:r w:rsidRPr="003F13EF">
        <w:rPr>
          <w:szCs w:val="28"/>
        </w:rPr>
        <w:t>Dako</w:t>
      </w:r>
      <w:proofErr w:type="spellEnd"/>
      <w:r w:rsidRPr="003F13EF">
        <w:rPr>
          <w:szCs w:val="28"/>
        </w:rPr>
        <w:t>, Carpinteria, CA, USA), rabbit anti-human cytokeratin 7 (CK7) polyclonal antibody (</w:t>
      </w:r>
      <w:proofErr w:type="spellStart"/>
      <w:r w:rsidRPr="003F13EF">
        <w:rPr>
          <w:szCs w:val="28"/>
        </w:rPr>
        <w:t>GeneTex</w:t>
      </w:r>
      <w:proofErr w:type="spellEnd"/>
      <w:r w:rsidRPr="003F13EF">
        <w:rPr>
          <w:szCs w:val="28"/>
        </w:rPr>
        <w:t>, GTX109723; 1:100 dilution), mouse anti-human CD20 monoclonal antibody (Abcam, ab9475; 1:50 dilution), rabbit anti-human CD56 polyclonal antibody (</w:t>
      </w:r>
      <w:proofErr w:type="spellStart"/>
      <w:r w:rsidRPr="003F13EF">
        <w:rPr>
          <w:szCs w:val="28"/>
        </w:rPr>
        <w:t>GeneTex</w:t>
      </w:r>
      <w:proofErr w:type="spellEnd"/>
      <w:r w:rsidRPr="003F13EF">
        <w:rPr>
          <w:szCs w:val="28"/>
        </w:rPr>
        <w:t xml:space="preserve">, GTX64346; 1:100 dilution), mouse anti-human CD68 monoclonal antibody (Leica, </w:t>
      </w:r>
      <w:r w:rsidRPr="003F13EF">
        <w:t xml:space="preserve">NCL-L-CD68; </w:t>
      </w:r>
      <w:r w:rsidRPr="003F13EF">
        <w:rPr>
          <w:szCs w:val="28"/>
        </w:rPr>
        <w:t>1:100 dilution), rabbit anti-human CD3 monoclonal antibody (</w:t>
      </w:r>
      <w:proofErr w:type="spellStart"/>
      <w:r w:rsidRPr="003F13EF">
        <w:rPr>
          <w:szCs w:val="28"/>
        </w:rPr>
        <w:t>GeneTex</w:t>
      </w:r>
      <w:proofErr w:type="spellEnd"/>
      <w:r w:rsidRPr="003F13EF">
        <w:rPr>
          <w:szCs w:val="28"/>
        </w:rPr>
        <w:t>, GTX16669; 1:50 dilution), rabbit anti-human CD4 monoclonal antibody (Abcam, ab133616; 1:500 dilution), and mouse anti-human CD8 monoclonal antibody (Santa Cruz, sc-53212; 1:50 dilution) were used as primary antibodies. The procedures were performed using Bond-Max Automated IHC Stainer (Leica Biosystems Newcastle Ltd, Australia) according to the following protocol: Tissues were deparaffinized with xylene and pre-treated with Epitope Retrieval Solution 2 (EDTA buffer, pH 9.0) at 100 °C for 20 min, followed by incubation with primary antibodies at room temperature (20–25°C). for 30 min. Subsequently, tissues were incubated with polymer at room temperature for 8 min using Bond Polymer Reﬁne Detection Kit (Leica Biosystems Newcastle Ltd, United Kingdom) and then developed with 3,3’- diaminobenzidine chromogen for 10 min. Counter staining was performed using hematoxylin.</w:t>
      </w:r>
    </w:p>
    <w:sectPr w:rsidR="00952743" w:rsidRPr="00173F9A" w:rsidSect="003F13EF">
      <w:pgSz w:w="11906" w:h="16838"/>
      <w:pgMar w:top="1418" w:right="1418" w:bottom="1418"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dvP4DF60E">
    <w:altName w:val="微軟正黑體"/>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9A"/>
    <w:rsid w:val="00023453"/>
    <w:rsid w:val="00173F9A"/>
    <w:rsid w:val="00291DC3"/>
    <w:rsid w:val="003F13EF"/>
    <w:rsid w:val="00477AB4"/>
    <w:rsid w:val="007A1BBC"/>
    <w:rsid w:val="008539E9"/>
    <w:rsid w:val="00DC184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BA52D"/>
  <w15:chartTrackingRefBased/>
  <w15:docId w15:val="{CDB49E52-3F45-4D3C-85C0-2A135D0C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Normalnoindent">
    <w:name w:val="mNormal noindent"/>
    <w:basedOn w:val="a"/>
    <w:link w:val="mNormalnoindentChar"/>
    <w:qFormat/>
    <w:rsid w:val="00173F9A"/>
    <w:pPr>
      <w:spacing w:line="480" w:lineRule="auto"/>
    </w:pPr>
    <w:rPr>
      <w:rFonts w:ascii="Times New Roman" w:eastAsia="新細明體" w:hAnsi="Times New Roman" w:cs="Times New Roman"/>
      <w:szCs w:val="20"/>
    </w:rPr>
  </w:style>
  <w:style w:type="character" w:customStyle="1" w:styleId="mNormalnoindentChar">
    <w:name w:val="mNormal noindent Char"/>
    <w:link w:val="mNormalnoindent"/>
    <w:rsid w:val="00173F9A"/>
    <w:rPr>
      <w:rFonts w:ascii="Times New Roman" w:eastAsia="新細明體"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Ya-Chin Hou</dc:creator>
  <cp:keywords/>
  <dc:description/>
  <cp:lastModifiedBy>Ya-Chin Hou</cp:lastModifiedBy>
  <cp:revision>1</cp:revision>
  <dcterms:created xsi:type="dcterms:W3CDTF">2022-01-12T02:49:00Z</dcterms:created>
  <dcterms:modified xsi:type="dcterms:W3CDTF">2022-01-12T03:56:00Z</dcterms:modified>
</cp:coreProperties>
</file>