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A37B" w14:textId="77777777" w:rsidR="003438CF" w:rsidRPr="00CB4E49" w:rsidRDefault="003438CF" w:rsidP="003438CF">
      <w:pPr>
        <w:widowControl w:val="0"/>
        <w:spacing w:after="0" w:line="360" w:lineRule="auto"/>
        <w:rPr>
          <w:b/>
        </w:rPr>
      </w:pPr>
      <w:r w:rsidRPr="00CB4E49">
        <w:rPr>
          <w:b/>
        </w:rPr>
        <w:t>Supplementary Figures</w:t>
      </w:r>
    </w:p>
    <w:p w14:paraId="113A9BA0" w14:textId="77777777" w:rsidR="003438CF" w:rsidRDefault="003438CF" w:rsidP="003438CF">
      <w:pPr>
        <w:widowControl w:val="0"/>
        <w:spacing w:after="0" w:line="360" w:lineRule="auto"/>
      </w:pPr>
    </w:p>
    <w:p w14:paraId="1070F8DC" w14:textId="77777777" w:rsidR="003438CF" w:rsidRDefault="003438CF" w:rsidP="003438CF">
      <w:pPr>
        <w:widowControl w:val="0"/>
        <w:spacing w:after="0" w:line="360" w:lineRule="auto"/>
        <w:jc w:val="center"/>
      </w:pPr>
      <w:r w:rsidRPr="00BE3E9F">
        <w:rPr>
          <w:noProof/>
        </w:rPr>
        <w:drawing>
          <wp:inline distT="0" distB="0" distL="0" distR="0" wp14:anchorId="1C721369" wp14:editId="5F5F52F2">
            <wp:extent cx="3291840" cy="32004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7B815" w14:textId="77777777" w:rsidR="003438CF" w:rsidRDefault="003438CF" w:rsidP="003438CF">
      <w:pPr>
        <w:spacing w:after="0" w:line="360" w:lineRule="auto"/>
        <w:rPr>
          <w:bCs/>
        </w:rPr>
      </w:pPr>
      <w:r>
        <w:rPr>
          <w:b/>
        </w:rPr>
        <w:t xml:space="preserve">Figure S1. </w:t>
      </w:r>
      <w:r w:rsidRPr="00FC0829">
        <w:rPr>
          <w:b/>
        </w:rPr>
        <w:t xml:space="preserve">Relationship between spherical equivalent refractive error (SER) with axial length (AL)/corneal curvature radius (CC) radio in adults. </w:t>
      </w:r>
      <w:r w:rsidRPr="00FC0829">
        <w:rPr>
          <w:bCs/>
        </w:rPr>
        <w:t>Subjects were 17 to 87 years of age (mean age = 36.3 ± 14.9 years, 45% female, 55% male). Refractive error was read from each subject</w:t>
      </w:r>
      <w:r>
        <w:rPr>
          <w:bCs/>
        </w:rPr>
        <w:t>'</w:t>
      </w:r>
      <w:r w:rsidRPr="00FC0829">
        <w:rPr>
          <w:bCs/>
        </w:rPr>
        <w:t>s most recent eye exam (within 6 months) and converted to spherical equivalent refraction (SER = spherical correction + ½ cylindrical correction). Subjects were stratified into four refractive error groups</w:t>
      </w:r>
      <w:r>
        <w:rPr>
          <w:bCs/>
        </w:rPr>
        <w:t xml:space="preserve">:  </w:t>
      </w:r>
      <w:r w:rsidRPr="00FC0829">
        <w:rPr>
          <w:bCs/>
        </w:rPr>
        <w:t>hyperopes (positive SER, triangles, n = 3</w:t>
      </w:r>
      <w:r>
        <w:rPr>
          <w:bCs/>
        </w:rPr>
        <w:t>3), emmetropes (self-reported zero</w:t>
      </w:r>
      <w:r w:rsidRPr="00FC0829">
        <w:rPr>
          <w:bCs/>
        </w:rPr>
        <w:t xml:space="preserve"> refractive error, </w:t>
      </w:r>
      <w:r>
        <w:rPr>
          <w:bCs/>
        </w:rPr>
        <w:t xml:space="preserve">black </w:t>
      </w:r>
      <w:r w:rsidRPr="00FC0829">
        <w:rPr>
          <w:bCs/>
        </w:rPr>
        <w:t xml:space="preserve">diamonds, n = 152), low to moderate myopes (&gt; -6 D, circles, n = 155), high myopes (≤ -6 D, squares, n = 33). </w:t>
      </w:r>
      <w:r>
        <w:rPr>
          <w:bCs/>
        </w:rPr>
        <w:t>Pearson'</w:t>
      </w:r>
      <w:r w:rsidRPr="00FC0829">
        <w:rPr>
          <w:bCs/>
        </w:rPr>
        <w:t>s correlation (R</w:t>
      </w:r>
      <w:r w:rsidRPr="00FC0829">
        <w:rPr>
          <w:bCs/>
          <w:vertAlign w:val="superscript"/>
        </w:rPr>
        <w:t>2</w:t>
      </w:r>
      <w:r w:rsidRPr="00FC0829">
        <w:rPr>
          <w:bCs/>
        </w:rPr>
        <w:t>) for the relationship between SER and AL/CC was 0.9.  A multiple regression analysis was performed to develop a regression equation for SER. The equation is SER = -(2.03 * AL + 0.94 * CC) + 88.58.  The coef</w:t>
      </w:r>
      <w:r>
        <w:rPr>
          <w:bCs/>
        </w:rPr>
        <w:t>ficient of determination for</w:t>
      </w:r>
      <w:r w:rsidRPr="00FC0829">
        <w:rPr>
          <w:bCs/>
        </w:rPr>
        <w:t xml:space="preserve"> </w:t>
      </w:r>
      <w:r>
        <w:rPr>
          <w:bCs/>
        </w:rPr>
        <w:t>comparing</w:t>
      </w:r>
      <w:r w:rsidRPr="00FC0829">
        <w:rPr>
          <w:bCs/>
        </w:rPr>
        <w:t xml:space="preserve"> SER </w:t>
      </w:r>
      <w:r>
        <w:rPr>
          <w:bCs/>
        </w:rPr>
        <w:t>versus</w:t>
      </w:r>
      <w:r w:rsidRPr="00FC0829">
        <w:rPr>
          <w:bCs/>
        </w:rPr>
        <w:t xml:space="preserve"> SER predicted by the equation was 0.8644, indicating that the equation accounts for more than 86% of </w:t>
      </w:r>
      <w:r>
        <w:rPr>
          <w:bCs/>
        </w:rPr>
        <w:t xml:space="preserve">the </w:t>
      </w:r>
      <w:r w:rsidRPr="00FC0829">
        <w:rPr>
          <w:bCs/>
        </w:rPr>
        <w:t>variation in SER in the adult population.</w:t>
      </w:r>
    </w:p>
    <w:p w14:paraId="182DE542" w14:textId="77777777" w:rsidR="003438CF" w:rsidRDefault="003438CF" w:rsidP="003438CF">
      <w:pPr>
        <w:widowControl w:val="0"/>
        <w:spacing w:after="0" w:line="360" w:lineRule="auto"/>
      </w:pPr>
    </w:p>
    <w:p w14:paraId="33C0D078" w14:textId="77777777" w:rsidR="003438CF" w:rsidRDefault="003438CF" w:rsidP="003438CF">
      <w:pPr>
        <w:widowControl w:val="0"/>
        <w:spacing w:after="0" w:line="360" w:lineRule="auto"/>
      </w:pPr>
      <w:r w:rsidRPr="00F74A9B">
        <w:rPr>
          <w:noProof/>
        </w:rPr>
        <w:lastRenderedPageBreak/>
        <w:drawing>
          <wp:inline distT="0" distB="0" distL="0" distR="0" wp14:anchorId="66FE09C5" wp14:editId="3AC9AE12">
            <wp:extent cx="2976880" cy="31597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6DFA" w14:textId="77777777" w:rsidR="003438CF" w:rsidRPr="00FC0829" w:rsidRDefault="003438CF" w:rsidP="003438CF">
      <w:pPr>
        <w:spacing w:line="360" w:lineRule="auto"/>
        <w:contextualSpacing/>
      </w:pPr>
      <w:r w:rsidRPr="00FC0829">
        <w:rPr>
          <w:b/>
        </w:rPr>
        <w:t xml:space="preserve">Figure </w:t>
      </w:r>
      <w:r>
        <w:rPr>
          <w:b/>
        </w:rPr>
        <w:t>S2</w:t>
      </w:r>
      <w:r w:rsidRPr="00FC0829">
        <w:t xml:space="preserve">. Spherical equivalent refraction versus </w:t>
      </w:r>
      <w:r w:rsidRPr="00FC0829">
        <w:rPr>
          <w:i/>
          <w:iCs/>
        </w:rPr>
        <w:t xml:space="preserve">OPN1LW </w:t>
      </w:r>
      <w:r w:rsidRPr="00FC0829">
        <w:t>gene haplotype ranks.  The X</w:t>
      </w:r>
      <w:r>
        <w:t>-</w:t>
      </w:r>
      <w:r w:rsidRPr="00FC0829">
        <w:t xml:space="preserve">axis shows the haplotype ranks plotted against </w:t>
      </w:r>
      <w:r>
        <w:t>each group's mean spherical equivalent refraction</w:t>
      </w:r>
      <w:r w:rsidRPr="00FC0829">
        <w:t xml:space="preserve"> from the split halves analysis. The correlation coefficient (R</w:t>
      </w:r>
      <w:r w:rsidRPr="00FC0829">
        <w:rPr>
          <w:vertAlign w:val="superscript"/>
        </w:rPr>
        <w:t>2</w:t>
      </w:r>
      <w:proofErr w:type="gramStart"/>
      <w:r w:rsidRPr="00FC0829">
        <w:t>)  for</w:t>
      </w:r>
      <w:proofErr w:type="gramEnd"/>
      <w:r w:rsidRPr="00FC0829">
        <w:t xml:space="preserve"> the association between haplotype rank and refractive error was 0.98</w:t>
      </w:r>
      <w:r>
        <w:t>,</w:t>
      </w:r>
      <w:r w:rsidRPr="00FC0829">
        <w:t xml:space="preserve"> and the probability of this association occurring by chance was p = 4.51 x 10</w:t>
      </w:r>
      <w:r w:rsidRPr="00FC0829">
        <w:rPr>
          <w:vertAlign w:val="superscript"/>
        </w:rPr>
        <w:t>-9</w:t>
      </w:r>
      <w:r w:rsidRPr="00FC0829">
        <w:t xml:space="preserve">. </w:t>
      </w:r>
      <w:r>
        <w:t xml:space="preserve">Table 1 lists the </w:t>
      </w:r>
      <w:r w:rsidRPr="00FC0829">
        <w:t>h</w:t>
      </w:r>
      <w:r>
        <w:t>aplotypes for each rank plotted.</w:t>
      </w:r>
    </w:p>
    <w:p w14:paraId="3629D641" w14:textId="77777777" w:rsidR="003438CF" w:rsidRDefault="003438CF" w:rsidP="003438CF">
      <w:pPr>
        <w:widowControl w:val="0"/>
        <w:spacing w:after="0" w:line="360" w:lineRule="auto"/>
      </w:pPr>
    </w:p>
    <w:p w14:paraId="7E0D4B8F" w14:textId="77777777" w:rsidR="003438CF" w:rsidRDefault="003438CF" w:rsidP="003438CF">
      <w:pPr>
        <w:widowControl w:val="0"/>
        <w:spacing w:after="0" w:line="360" w:lineRule="auto"/>
      </w:pPr>
    </w:p>
    <w:p w14:paraId="5F18A5E2" w14:textId="77777777" w:rsidR="003438CF" w:rsidRDefault="003438CF" w:rsidP="003438CF">
      <w:pPr>
        <w:widowControl w:val="0"/>
        <w:spacing w:after="0" w:line="360" w:lineRule="auto"/>
      </w:pPr>
    </w:p>
    <w:p w14:paraId="4FA0AF89" w14:textId="77777777" w:rsidR="003438CF" w:rsidRDefault="003438CF" w:rsidP="003438CF">
      <w:pPr>
        <w:widowControl w:val="0"/>
        <w:spacing w:after="0" w:line="360" w:lineRule="auto"/>
      </w:pPr>
    </w:p>
    <w:p w14:paraId="627AEBD7" w14:textId="77777777" w:rsidR="003438CF" w:rsidRDefault="003438CF" w:rsidP="003438CF">
      <w:pPr>
        <w:widowControl w:val="0"/>
        <w:spacing w:after="0" w:line="360" w:lineRule="auto"/>
      </w:pPr>
    </w:p>
    <w:p w14:paraId="20B6857A" w14:textId="77777777" w:rsidR="003438CF" w:rsidRDefault="003438CF" w:rsidP="003438CF">
      <w:pPr>
        <w:widowControl w:val="0"/>
        <w:spacing w:after="0" w:line="360" w:lineRule="auto"/>
      </w:pPr>
    </w:p>
    <w:p w14:paraId="152B6227" w14:textId="77777777" w:rsidR="003438CF" w:rsidRDefault="003438CF" w:rsidP="003438CF">
      <w:pPr>
        <w:widowControl w:val="0"/>
        <w:spacing w:after="0" w:line="360" w:lineRule="auto"/>
      </w:pPr>
    </w:p>
    <w:p w14:paraId="3C613AED" w14:textId="77777777" w:rsidR="003438CF" w:rsidRDefault="003438CF" w:rsidP="003438CF">
      <w:pPr>
        <w:widowControl w:val="0"/>
        <w:spacing w:after="0" w:line="360" w:lineRule="auto"/>
      </w:pPr>
    </w:p>
    <w:p w14:paraId="791E57E2" w14:textId="77777777" w:rsidR="003438CF" w:rsidRDefault="003438CF" w:rsidP="003438CF">
      <w:pPr>
        <w:widowControl w:val="0"/>
        <w:spacing w:after="0" w:line="360" w:lineRule="auto"/>
      </w:pPr>
    </w:p>
    <w:p w14:paraId="1C1E6560" w14:textId="77777777" w:rsidR="003438CF" w:rsidRDefault="003438CF" w:rsidP="003438CF">
      <w:pPr>
        <w:widowControl w:val="0"/>
        <w:spacing w:after="0" w:line="360" w:lineRule="auto"/>
      </w:pPr>
    </w:p>
    <w:p w14:paraId="5523D97B" w14:textId="77777777" w:rsidR="003438CF" w:rsidRDefault="003438CF" w:rsidP="003438CF">
      <w:pPr>
        <w:widowControl w:val="0"/>
        <w:spacing w:after="0" w:line="360" w:lineRule="auto"/>
      </w:pPr>
    </w:p>
    <w:p w14:paraId="5B5B3A12" w14:textId="77777777" w:rsidR="003438CF" w:rsidRDefault="003438CF" w:rsidP="003438CF">
      <w:pPr>
        <w:widowControl w:val="0"/>
        <w:spacing w:after="0" w:line="360" w:lineRule="auto"/>
      </w:pPr>
    </w:p>
    <w:p w14:paraId="55CF9E14" w14:textId="77777777" w:rsidR="003438CF" w:rsidRDefault="003438CF" w:rsidP="003438CF">
      <w:pPr>
        <w:widowControl w:val="0"/>
        <w:spacing w:after="0" w:line="360" w:lineRule="auto"/>
      </w:pPr>
    </w:p>
    <w:p w14:paraId="18F0416E" w14:textId="77777777" w:rsidR="003438CF" w:rsidRDefault="003438CF" w:rsidP="003438CF">
      <w:pPr>
        <w:widowControl w:val="0"/>
        <w:spacing w:after="0" w:line="360" w:lineRule="auto"/>
      </w:pPr>
    </w:p>
    <w:p w14:paraId="540ADC78" w14:textId="77777777" w:rsidR="003438CF" w:rsidRDefault="003438CF" w:rsidP="003438CF">
      <w:pPr>
        <w:widowControl w:val="0"/>
        <w:spacing w:after="0" w:line="360" w:lineRule="auto"/>
      </w:pPr>
    </w:p>
    <w:p w14:paraId="3FB8DAAF" w14:textId="77777777" w:rsidR="003438CF" w:rsidRDefault="003438CF" w:rsidP="003438CF">
      <w:pPr>
        <w:widowControl w:val="0"/>
        <w:spacing w:after="0" w:line="360" w:lineRule="auto"/>
      </w:pPr>
    </w:p>
    <w:sectPr w:rsidR="00343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2szS3MLcwNDS0MDRV0lEKTi0uzszPAykwqgUA1CpoFCwAAAA="/>
  </w:docVars>
  <w:rsids>
    <w:rsidRoot w:val="003438CF"/>
    <w:rsid w:val="003438CF"/>
    <w:rsid w:val="005D5906"/>
    <w:rsid w:val="007F4143"/>
    <w:rsid w:val="00CA1366"/>
    <w:rsid w:val="00CB4E49"/>
    <w:rsid w:val="00D12AD3"/>
    <w:rsid w:val="00D5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AC66E"/>
  <w15:chartTrackingRefBased/>
  <w15:docId w15:val="{BF02DFE2-0B96-480A-8465-50CBF6E1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C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438C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38CF"/>
    <w:rPr>
      <w:rFonts w:ascii="Arial" w:hAnsi="Arial" w:cs="Arial"/>
      <w:noProof/>
    </w:rPr>
  </w:style>
  <w:style w:type="paragraph" w:customStyle="1" w:styleId="jovTable">
    <w:name w:val="jovTable"/>
    <w:basedOn w:val="Normal"/>
    <w:rsid w:val="003438CF"/>
    <w:pPr>
      <w:keepNext/>
      <w:keepLines/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Neitz</dc:creator>
  <cp:keywords/>
  <dc:description/>
  <cp:lastModifiedBy>mneitz</cp:lastModifiedBy>
  <cp:revision>3</cp:revision>
  <dcterms:created xsi:type="dcterms:W3CDTF">2022-01-23T00:04:00Z</dcterms:created>
  <dcterms:modified xsi:type="dcterms:W3CDTF">2022-01-23T00:11:00Z</dcterms:modified>
</cp:coreProperties>
</file>