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FE8" w:rsidRDefault="00231974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eastAsia="ＭＳ ゴシック" w:hAnsi="Times New Roman" w:cs="Times New Roman"/>
          <w:color w:val="000000" w:themeColor="text1"/>
          <w:sz w:val="24"/>
          <w:szCs w:val="24"/>
        </w:rPr>
        <w:t>Supplemental Table 1. Characteristics of the study participants, according to lower limb amputation status</w:t>
      </w:r>
    </w:p>
    <w:tbl>
      <w:tblPr>
        <w:tblW w:w="8177" w:type="dxa"/>
        <w:tblInd w:w="1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9"/>
        <w:gridCol w:w="2256"/>
        <w:gridCol w:w="1973"/>
        <w:gridCol w:w="1269"/>
      </w:tblGrid>
      <w:tr w:rsidR="00A77FE8">
        <w:trPr>
          <w:trHeight w:hRule="exact" w:val="858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A77FE8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ゴシック" w:hAnsi="Times New Roman" w:cs="Times New Roman"/>
                <w:color w:val="000000" w:themeColor="text1"/>
                <w:sz w:val="24"/>
                <w:szCs w:val="24"/>
              </w:rPr>
              <w:t>Lower limb amputation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A77FE8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(−)</w:t>
            </w:r>
          </w:p>
        </w:tc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(+)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A77FE8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77FE8">
        <w:trPr>
          <w:trHeight w:val="235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A77FE8">
            <w:pPr>
              <w:spacing w:line="480" w:lineRule="auto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= 17272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= 16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77FE8" w:rsidRDefault="00A77FE8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2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50 ± 8</w:t>
            </w:r>
          </w:p>
        </w:tc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54 ± 10</w:t>
            </w: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0.025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Sex (men, %)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14,322 (83)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14 (88)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0.630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BMI (kg/m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26.1 ± 4.6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25.7 ± 5.4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0.768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SBP (mmHg)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130 ± 17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134 ± 25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0.556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DBP (mmHg)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80 ± 11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75 ± 14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0.050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HbA1c (%)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7.2 ± 1.4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8.3 ± 2.1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0.054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HbA1c IFCC (mmol/mol)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55± 16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67± 23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0.054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LDL-cholesterol (mmol/L)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3.3 ± 0.9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3.6 ± 1.5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0.449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HDL-cholesterol (mmol/L)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1.4±0.4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1.4±0.4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0.546</w:t>
            </w:r>
          </w:p>
        </w:tc>
      </w:tr>
      <w:tr w:rsidR="00A77FE8">
        <w:trPr>
          <w:trHeight w:val="222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Current smoking (%)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6498 (38)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A77FE8" w:rsidRDefault="00231974">
            <w:pPr>
              <w:pStyle w:val="Web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7 (44)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0.613</w:t>
            </w:r>
          </w:p>
        </w:tc>
      </w:tr>
    </w:tbl>
    <w:p w:rsidR="00A77FE8" w:rsidRDefault="00231974">
      <w:pPr>
        <w:widowControl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Data are presented as n (%), mean ± SD. BMI: body mass index; HbA1c IFCC: glycated hemoglobin, International Federation of Clinical Chemistry and Laboratory </w:t>
      </w:r>
      <w:r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lastRenderedPageBreak/>
        <w:t>Medicine units; SBP: systolic blood pressure; DBP: diastolic blood pressure; LDL-C: low-density lipoprotein-cholesterol; HDL-C: high-density lipoprotein-cholesterol.</w:t>
      </w:r>
    </w:p>
    <w:p w:rsidR="00A77FE8" w:rsidRDefault="00A77FE8">
      <w:pPr>
        <w:tabs>
          <w:tab w:val="left" w:pos="3686"/>
        </w:tabs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:rsidR="00A77FE8" w:rsidRDefault="00231974">
      <w:pPr>
        <w:widowControl/>
        <w:jc w:val="left"/>
        <w:rPr>
          <w:rFonts w:ascii="Times New Roman" w:eastAsia="ＭＳ ゴシック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ＭＳ ゴシック" w:hAnsi="Times New Roman" w:cs="Times New Roman"/>
          <w:color w:val="000000" w:themeColor="text1"/>
          <w:sz w:val="24"/>
          <w:szCs w:val="24"/>
        </w:rPr>
        <w:br w:type="page"/>
      </w:r>
    </w:p>
    <w:p w:rsidR="00A77FE8" w:rsidRDefault="00231974">
      <w:pPr>
        <w:widowControl/>
        <w:spacing w:line="480" w:lineRule="auto"/>
        <w:jc w:val="left"/>
        <w:rPr>
          <w:rFonts w:ascii="Times New Roman" w:eastAsia="ＭＳ ゴシック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ＭＳ ゴシック" w:hAnsi="Times New Roman" w:cs="Times New Roman"/>
          <w:color w:val="000000" w:themeColor="text1"/>
          <w:sz w:val="24"/>
          <w:szCs w:val="24"/>
        </w:rPr>
        <w:lastRenderedPageBreak/>
        <w:t>Supplemental Table 2. Cox regression analysis of variables for lower limb amputation, according to the presence of diabetes</w:t>
      </w:r>
    </w:p>
    <w:p w:rsidR="00A77FE8" w:rsidRDefault="00A77FE8">
      <w:pPr>
        <w:widowControl/>
        <w:spacing w:line="480" w:lineRule="auto"/>
        <w:jc w:val="left"/>
        <w:rPr>
          <w:rFonts w:ascii="Times New Roman" w:eastAsia="ＭＳ ゴシック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6539" w:type="dxa"/>
        <w:tblLook w:val="04A0" w:firstRow="1" w:lastRow="0" w:firstColumn="1" w:lastColumn="0" w:noHBand="0" w:noVBand="1"/>
      </w:tblPr>
      <w:tblGrid>
        <w:gridCol w:w="3279"/>
        <w:gridCol w:w="2268"/>
        <w:gridCol w:w="992"/>
      </w:tblGrid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A77FE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HR (95% CI)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(years)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 (1.01–1.16)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&lt;0.01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Sex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3.37 (0.65–17.5)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BMI 1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kg/m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increase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1.04 (0.91–1.18)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0.57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SBP 10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mmHg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increase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1.65 (1.19–2.29)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&lt;0.01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LDL-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cholesterol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m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mol/L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increase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1.42 (0.84–2.41)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HDL-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cholesterol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m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mol/L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increase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0.75 (0.17–3.41)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Current smoking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1.07 (0.37–3.08)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  <w:t>0.91</w:t>
            </w:r>
          </w:p>
        </w:tc>
      </w:tr>
      <w:tr w:rsidR="00A77FE8">
        <w:trPr>
          <w:trHeight w:val="258"/>
        </w:trPr>
        <w:tc>
          <w:tcPr>
            <w:tcW w:w="3279" w:type="dxa"/>
            <w:noWrap/>
          </w:tcPr>
          <w:p w:rsidR="00A77FE8" w:rsidRDefault="00231974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HbA1c (%)</w:t>
            </w:r>
          </w:p>
        </w:tc>
        <w:tc>
          <w:tcPr>
            <w:tcW w:w="2268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1.43 (1.12–1.82)</w:t>
            </w:r>
          </w:p>
        </w:tc>
        <w:tc>
          <w:tcPr>
            <w:tcW w:w="992" w:type="dxa"/>
            <w:noWrap/>
          </w:tcPr>
          <w:p w:rsidR="00A77FE8" w:rsidRDefault="00231974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&lt;0.01</w:t>
            </w:r>
          </w:p>
        </w:tc>
      </w:tr>
    </w:tbl>
    <w:p w:rsidR="00A77FE8" w:rsidRDefault="00231974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HelveticaLTStd-Roman" w:hAnsi="Times New Roman" w:cs="Times New Roman"/>
          <w:color w:val="000000" w:themeColor="text1"/>
          <w:kern w:val="0"/>
          <w:sz w:val="24"/>
          <w:szCs w:val="24"/>
        </w:rPr>
        <w:t>BMI, body mass index;</w:t>
      </w:r>
      <w:r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 SBP, systolic blood pressure;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HR, hazard ratio</w:t>
      </w:r>
      <w:r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; CI: confidence interval; LDL: low-density lipoprotein; HDL: high-density lipoprotein; HbA1c: glycated hemoglobin.</w:t>
      </w:r>
    </w:p>
    <w:sectPr w:rsidR="00A77FE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425" w:rsidRDefault="00636425">
      <w:r>
        <w:separator/>
      </w:r>
    </w:p>
  </w:endnote>
  <w:endnote w:type="continuationSeparator" w:id="0">
    <w:p w:rsidR="00636425" w:rsidRDefault="00636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LTStd-Roman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游ゴシック Light">
    <w:altName w:val="Yu Gothic Light"/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425" w:rsidRDefault="00636425">
      <w:r>
        <w:separator/>
      </w:r>
    </w:p>
  </w:footnote>
  <w:footnote w:type="continuationSeparator" w:id="0">
    <w:p w:rsidR="00636425" w:rsidRDefault="006364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FE8"/>
    <w:rsid w:val="00231974"/>
    <w:rsid w:val="004B3115"/>
    <w:rsid w:val="00636425"/>
    <w:rsid w:val="006E1B3C"/>
    <w:rsid w:val="00A7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6DDBAF5-FEC9-485F-961D-CCD4AEE72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  <w:style w:type="paragraph" w:styleId="a8">
    <w:name w:val="Balloon Text"/>
    <w:basedOn w:val="a"/>
    <w:link w:val="a9"/>
    <w:uiPriority w:val="99"/>
    <w:semiHidden/>
    <w:unhideWhenUsed/>
    <w:rPr>
      <w:rFonts w:ascii="Calibri" w:eastAsia="ＭＳ 明朝" w:hAnsi="Calibri" w:cs="Calibr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="Calibri" w:eastAsia="ＭＳ 明朝" w:hAnsi="Calibri" w:cs="Calibr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pPr>
      <w:snapToGrid w:val="0"/>
      <w:jc w:val="left"/>
    </w:pPr>
    <w:rPr>
      <w:rFonts w:ascii="Calibri" w:eastAsia="ＭＳ 明朝" w:hAnsi="Calibri" w:cs="Calibri"/>
      <w:sz w:val="24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Pr>
      <w:rFonts w:ascii="Calibri" w:eastAsia="ＭＳ 明朝" w:hAnsi="Calibri" w:cs="Calibri"/>
      <w:sz w:val="24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Pr>
      <w:rFonts w:ascii="Calibri" w:eastAsia="ＭＳ 明朝" w:hAnsi="Calibri" w:cs="Calibri"/>
      <w:b/>
      <w:b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</Words>
  <Characters>1340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正儀 金子</dc:creator>
  <cp:keywords/>
  <dc:description/>
  <cp:lastModifiedBy>Microsoft アカウント</cp:lastModifiedBy>
  <cp:revision>2</cp:revision>
  <dcterms:created xsi:type="dcterms:W3CDTF">2020-12-04T01:22:00Z</dcterms:created>
  <dcterms:modified xsi:type="dcterms:W3CDTF">2020-12-04T01:22:00Z</dcterms:modified>
</cp:coreProperties>
</file>