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AFCC" w14:textId="6E5F8968" w:rsidR="00846F64" w:rsidRPr="00846F64" w:rsidRDefault="00846F64" w:rsidP="00846F64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6F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Molecular diagnosis of inversions resulting from intron 22 rearrangement of </w:t>
      </w:r>
      <w:r w:rsidRPr="002C1ECC">
        <w:rPr>
          <w:rFonts w:ascii="Times New Roman" w:eastAsia="Calibri" w:hAnsi="Times New Roman" w:cs="Times New Roman"/>
          <w:b/>
          <w:bCs/>
          <w:sz w:val="28"/>
          <w:szCs w:val="28"/>
        </w:rPr>
        <w:t>F8</w:t>
      </w:r>
      <w:r w:rsidRPr="00846F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C1E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gene </w:t>
      </w:r>
      <w:r w:rsidRPr="00846F64">
        <w:rPr>
          <w:rFonts w:ascii="Times New Roman" w:eastAsia="Calibri" w:hAnsi="Times New Roman" w:cs="Times New Roman"/>
          <w:b/>
          <w:bCs/>
          <w:sz w:val="28"/>
          <w:szCs w:val="28"/>
        </w:rPr>
        <w:t>in a patient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s</w:t>
      </w:r>
      <w:r w:rsidRPr="00846F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with hemophilia A and their families and genotype-phenotype association analysis</w:t>
      </w:r>
    </w:p>
    <w:p w14:paraId="507BFCDA" w14:textId="77777777" w:rsidR="00846F64" w:rsidRPr="00846F64" w:rsidRDefault="00846F64" w:rsidP="00846F6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6F64">
        <w:rPr>
          <w:rFonts w:ascii="Times New Roman" w:eastAsia="Calibri" w:hAnsi="Times New Roman" w:cs="Times New Roman"/>
          <w:sz w:val="24"/>
          <w:szCs w:val="24"/>
        </w:rPr>
        <w:t>Howra Bahrulolum</w:t>
      </w:r>
      <w:r w:rsidRPr="00846F64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46F64">
        <w:rPr>
          <w:rFonts w:ascii="Times New Roman" w:eastAsia="Calibri" w:hAnsi="Times New Roman" w:cs="Times New Roman"/>
          <w:sz w:val="24"/>
          <w:szCs w:val="24"/>
        </w:rPr>
        <w:t>*, Mehrdad Hashemi</w:t>
      </w:r>
      <w:r w:rsidRPr="00846F64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46F64">
        <w:rPr>
          <w:rFonts w:ascii="Times New Roman" w:eastAsia="Calibri" w:hAnsi="Times New Roman" w:cs="Times New Roman"/>
          <w:sz w:val="24"/>
          <w:szCs w:val="24"/>
        </w:rPr>
        <w:t>*</w:t>
      </w:r>
    </w:p>
    <w:p w14:paraId="342688EF" w14:textId="10D89F85" w:rsidR="00D25CFB" w:rsidRPr="00D25CFB" w:rsidRDefault="00D25CFB" w:rsidP="00D25CFB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043C8F" w14:textId="6ECF66F7" w:rsidR="006542C7" w:rsidRDefault="006542C7" w:rsidP="00D25CFB">
      <w:pPr>
        <w:bidi/>
        <w:jc w:val="center"/>
      </w:pPr>
    </w:p>
    <w:p w14:paraId="39D7AB88" w14:textId="1A946960" w:rsidR="00D25CFB" w:rsidRDefault="00D25CFB">
      <w:r>
        <w:rPr>
          <w:noProof/>
        </w:rPr>
        <w:drawing>
          <wp:inline distT="0" distB="0" distL="0" distR="0" wp14:anchorId="4A9B36EE" wp14:editId="7F1F5666">
            <wp:extent cx="5943600" cy="46647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9FDFA" w14:textId="0081DF13" w:rsidR="001A2A2D" w:rsidRPr="001A2A2D" w:rsidRDefault="00D25CFB" w:rsidP="00D25CFB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D25CFB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Supplementar</w:t>
      </w:r>
      <w:r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y </w:t>
      </w:r>
      <w:r w:rsidR="001A2A2D" w:rsidRPr="001A2A2D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Fig. 1.</w:t>
      </w:r>
      <w:r w:rsidR="001A2A2D" w:rsidRPr="001A2A2D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The analysis of the IS-PCR products by standard agarose gel electrophoresis of Inv22 type I and type II in HA patients and carriers.</w:t>
      </w:r>
      <w:r w:rsidR="001A2A2D" w:rsidRPr="001A2A2D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 </w:t>
      </w:r>
    </w:p>
    <w:p w14:paraId="0F835A7F" w14:textId="77777777" w:rsidR="001A2A2D" w:rsidRDefault="001A2A2D"/>
    <w:sectPr w:rsidR="001A2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2D"/>
    <w:rsid w:val="001A2A2D"/>
    <w:rsid w:val="002C1ECC"/>
    <w:rsid w:val="006542C7"/>
    <w:rsid w:val="00846F64"/>
    <w:rsid w:val="00D2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C69C3"/>
  <w15:chartTrackingRefBased/>
  <w15:docId w15:val="{EE98D2A9-ACCD-40E6-BEF1-7EB60497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Howra Bhr</dc:creator>
  <cp:keywords/>
  <dc:description/>
  <cp:lastModifiedBy>Howra Bhr</cp:lastModifiedBy>
  <cp:revision>3</cp:revision>
  <dcterms:created xsi:type="dcterms:W3CDTF">2022-06-01T10:55:00Z</dcterms:created>
  <dcterms:modified xsi:type="dcterms:W3CDTF">2022-06-03T06:20:00Z</dcterms:modified>
</cp:coreProperties>
</file>