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D685CC" w14:textId="5B5341F2" w:rsidR="00587A83" w:rsidRPr="00E54DCB" w:rsidRDefault="00587A83" w:rsidP="00587A83">
      <w:pPr>
        <w:spacing w:line="480" w:lineRule="auto"/>
        <w:rPr>
          <w:rFonts w:cs="Times"/>
          <w:b/>
          <w:sz w:val="22"/>
          <w:lang w:val="en-IE"/>
        </w:rPr>
      </w:pPr>
      <w:bookmarkStart w:id="0" w:name="_Hlk48121907"/>
      <w:r w:rsidRPr="00E54DCB">
        <w:rPr>
          <w:rFonts w:cs="Times"/>
          <w:b/>
          <w:sz w:val="22"/>
          <w:lang w:val="en-IE"/>
        </w:rPr>
        <w:t xml:space="preserve">Title : </w:t>
      </w:r>
      <w:r w:rsidR="00223503" w:rsidRPr="00223503">
        <w:rPr>
          <w:rFonts w:cs="Times"/>
          <w:b/>
          <w:sz w:val="22"/>
          <w:lang w:val="en-IE"/>
        </w:rPr>
        <w:t>Multimorbidity clustering of the emergency department patient flow : impact analysis of new unscheduled care clinics</w:t>
      </w:r>
    </w:p>
    <w:p w14:paraId="45D7C7AA" w14:textId="77777777" w:rsidR="00587A83" w:rsidRPr="00E54DCB" w:rsidRDefault="00587A83" w:rsidP="00587A83">
      <w:pPr>
        <w:spacing w:line="480" w:lineRule="auto"/>
        <w:rPr>
          <w:rFonts w:cs="Times"/>
          <w:color w:val="000000" w:themeColor="text1"/>
          <w:sz w:val="22"/>
          <w:lang w:val="en-US"/>
        </w:rPr>
      </w:pPr>
      <w:r w:rsidRPr="00E54DCB">
        <w:rPr>
          <w:rFonts w:cs="Times"/>
          <w:b/>
          <w:sz w:val="22"/>
          <w:lang w:val="en-IE"/>
        </w:rPr>
        <w:t xml:space="preserve">Authors : </w:t>
      </w:r>
      <w:r w:rsidRPr="00E54DCB">
        <w:rPr>
          <w:rFonts w:cs="Times"/>
          <w:color w:val="000000" w:themeColor="text1"/>
          <w:sz w:val="22"/>
          <w:lang w:val="en-US"/>
        </w:rPr>
        <w:t>Adrien Wartelle, MSc</w:t>
      </w:r>
      <w:r w:rsidRPr="00E54DCB">
        <w:rPr>
          <w:rFonts w:cs="Times"/>
          <w:color w:val="000000" w:themeColor="text1"/>
          <w:sz w:val="22"/>
          <w:vertAlign w:val="superscript"/>
          <w:lang w:val="en-US"/>
        </w:rPr>
        <w:t>1,2,*</w:t>
      </w:r>
      <w:r w:rsidRPr="00E54DCB">
        <w:rPr>
          <w:rFonts w:cs="Times"/>
          <w:color w:val="000000" w:themeColor="text1"/>
          <w:sz w:val="22"/>
          <w:lang w:val="en-US"/>
        </w:rPr>
        <w:t>, Farah Mourad-Chehade, PhD</w:t>
      </w:r>
      <w:r w:rsidRPr="00E54DCB">
        <w:rPr>
          <w:rFonts w:cs="Times"/>
          <w:color w:val="000000" w:themeColor="text1"/>
          <w:sz w:val="22"/>
          <w:vertAlign w:val="superscript"/>
          <w:lang w:val="en-US"/>
        </w:rPr>
        <w:t>1</w:t>
      </w:r>
      <w:r w:rsidRPr="00E54DCB">
        <w:rPr>
          <w:rFonts w:cs="Times"/>
          <w:color w:val="000000" w:themeColor="text1"/>
          <w:sz w:val="22"/>
          <w:lang w:val="en-US"/>
        </w:rPr>
        <w:t>, Farouk Yalaoui, PhD</w:t>
      </w:r>
      <w:r w:rsidRPr="00E54DCB">
        <w:rPr>
          <w:rFonts w:cs="Times"/>
          <w:color w:val="000000" w:themeColor="text1"/>
          <w:sz w:val="22"/>
          <w:vertAlign w:val="superscript"/>
          <w:lang w:val="en-US"/>
        </w:rPr>
        <w:t>1</w:t>
      </w:r>
      <w:r w:rsidRPr="00E54DCB">
        <w:rPr>
          <w:rFonts w:cs="Times"/>
          <w:color w:val="000000" w:themeColor="text1"/>
          <w:sz w:val="22"/>
          <w:lang w:val="en-US"/>
        </w:rPr>
        <w:t>, Hélène Questiaux, MD</w:t>
      </w:r>
      <w:r w:rsidRPr="00E54DCB">
        <w:rPr>
          <w:rFonts w:cs="Times"/>
          <w:color w:val="000000" w:themeColor="text1"/>
          <w:sz w:val="22"/>
          <w:vertAlign w:val="superscript"/>
          <w:lang w:val="en-US"/>
        </w:rPr>
        <w:t>3</w:t>
      </w:r>
      <w:r w:rsidRPr="00E54DCB">
        <w:rPr>
          <w:rFonts w:cs="Times"/>
          <w:color w:val="000000" w:themeColor="text1"/>
          <w:sz w:val="22"/>
          <w:lang w:val="en-US"/>
        </w:rPr>
        <w:t>,</w:t>
      </w:r>
      <w:r w:rsidRPr="00E54DCB">
        <w:rPr>
          <w:rFonts w:cs="Times"/>
          <w:b/>
          <w:bCs/>
          <w:color w:val="000000"/>
          <w:sz w:val="22"/>
          <w:lang w:val="en-US"/>
        </w:rPr>
        <w:t xml:space="preserve"> </w:t>
      </w:r>
      <w:r w:rsidRPr="00E54DCB">
        <w:rPr>
          <w:rFonts w:cs="Times"/>
          <w:color w:val="000000"/>
          <w:sz w:val="22"/>
          <w:lang w:val="en-US"/>
        </w:rPr>
        <w:t>Thomas Monneret, MD</w:t>
      </w:r>
      <w:r w:rsidRPr="00E54DCB">
        <w:rPr>
          <w:rFonts w:cs="Times"/>
          <w:color w:val="000000" w:themeColor="text1"/>
          <w:sz w:val="22"/>
          <w:vertAlign w:val="superscript"/>
          <w:lang w:val="en-US"/>
        </w:rPr>
        <w:t>4</w:t>
      </w:r>
      <w:r w:rsidRPr="00E54DCB">
        <w:rPr>
          <w:rFonts w:cs="Times"/>
          <w:color w:val="000000"/>
          <w:sz w:val="22"/>
          <w:lang w:val="en-US"/>
        </w:rPr>
        <w:t>,</w:t>
      </w:r>
      <w:r w:rsidRPr="00E54DCB">
        <w:rPr>
          <w:rFonts w:cs="Times"/>
          <w:color w:val="000000" w:themeColor="text1"/>
          <w:sz w:val="22"/>
          <w:lang w:val="en-US"/>
        </w:rPr>
        <w:t xml:space="preserve"> Ghislain Soliveau, MD, PhD</w:t>
      </w:r>
      <w:r w:rsidRPr="00E54DCB">
        <w:rPr>
          <w:rFonts w:cs="Times"/>
          <w:color w:val="000000" w:themeColor="text1"/>
          <w:sz w:val="22"/>
          <w:vertAlign w:val="superscript"/>
          <w:lang w:val="en-US"/>
        </w:rPr>
        <w:t>4</w:t>
      </w:r>
      <w:r w:rsidRPr="00E54DCB">
        <w:rPr>
          <w:rFonts w:cs="Times"/>
          <w:color w:val="000000" w:themeColor="text1"/>
          <w:sz w:val="22"/>
          <w:lang w:val="en-US"/>
        </w:rPr>
        <w:t>, Jan Chrusciel, MD</w:t>
      </w:r>
      <w:r w:rsidRPr="00E54DCB">
        <w:rPr>
          <w:rFonts w:cs="Times"/>
          <w:color w:val="000000" w:themeColor="text1"/>
          <w:sz w:val="22"/>
          <w:vertAlign w:val="superscript"/>
          <w:lang w:val="en-US"/>
        </w:rPr>
        <w:t>2</w:t>
      </w:r>
      <w:r w:rsidRPr="00E54DCB">
        <w:rPr>
          <w:rFonts w:cs="Times"/>
          <w:color w:val="000000" w:themeColor="text1"/>
          <w:sz w:val="22"/>
          <w:lang w:val="en-US"/>
        </w:rPr>
        <w:t>, Antoine Duclos, MD, PhD</w:t>
      </w:r>
      <w:r w:rsidRPr="00E54DCB">
        <w:rPr>
          <w:rFonts w:cs="Times"/>
          <w:color w:val="000000" w:themeColor="text1"/>
          <w:sz w:val="22"/>
          <w:vertAlign w:val="superscript"/>
          <w:lang w:val="en-US"/>
        </w:rPr>
        <w:t>5,6,7</w:t>
      </w:r>
      <w:r w:rsidRPr="00E54DCB">
        <w:rPr>
          <w:rFonts w:cs="Times"/>
          <w:color w:val="000000" w:themeColor="text1"/>
          <w:sz w:val="22"/>
          <w:lang w:val="en-US"/>
        </w:rPr>
        <w:t>, David Laplanche, MD</w:t>
      </w:r>
      <w:r w:rsidRPr="00E54DCB">
        <w:rPr>
          <w:rFonts w:cs="Times"/>
          <w:color w:val="000000" w:themeColor="text1"/>
          <w:sz w:val="22"/>
          <w:vertAlign w:val="superscript"/>
          <w:lang w:val="en-US"/>
        </w:rPr>
        <w:t>2</w:t>
      </w:r>
      <w:r w:rsidRPr="00E54DCB">
        <w:rPr>
          <w:rFonts w:cs="Times"/>
          <w:color w:val="000000" w:themeColor="text1"/>
          <w:sz w:val="22"/>
          <w:lang w:val="en-US"/>
        </w:rPr>
        <w:t>, Stéphane Sanchez, MD, MPH</w:t>
      </w:r>
      <w:r w:rsidRPr="00E54DCB">
        <w:rPr>
          <w:rFonts w:cs="Times"/>
          <w:color w:val="000000" w:themeColor="text1"/>
          <w:sz w:val="22"/>
          <w:vertAlign w:val="superscript"/>
          <w:lang w:val="en-US"/>
        </w:rPr>
        <w:t>2</w:t>
      </w:r>
      <w:r w:rsidRPr="00E54DCB">
        <w:rPr>
          <w:rFonts w:cs="Times"/>
          <w:color w:val="000000" w:themeColor="text1"/>
          <w:sz w:val="22"/>
          <w:lang w:val="en-US"/>
        </w:rPr>
        <w:t>.</w:t>
      </w:r>
    </w:p>
    <w:p w14:paraId="02139576" w14:textId="77777777" w:rsidR="00587A83" w:rsidRPr="00E54DCB" w:rsidRDefault="00587A83" w:rsidP="00587A83">
      <w:pPr>
        <w:spacing w:line="480" w:lineRule="auto"/>
        <w:rPr>
          <w:rFonts w:cs="Times"/>
          <w:sz w:val="22"/>
        </w:rPr>
      </w:pPr>
      <w:r w:rsidRPr="00E54DCB">
        <w:rPr>
          <w:rFonts w:cs="Times"/>
          <w:sz w:val="22"/>
          <w:vertAlign w:val="superscript"/>
        </w:rPr>
        <w:t xml:space="preserve">1 </w:t>
      </w:r>
      <w:r w:rsidRPr="00E54DCB">
        <w:rPr>
          <w:rFonts w:cs="Times"/>
          <w:sz w:val="22"/>
        </w:rPr>
        <w:t>Université Technologique de Troyes, Institut Charles Delaunay, Troyes, F-10000, France</w:t>
      </w:r>
    </w:p>
    <w:p w14:paraId="44597508" w14:textId="77777777" w:rsidR="00587A83" w:rsidRPr="00E54DCB" w:rsidRDefault="00587A83" w:rsidP="00587A83">
      <w:pPr>
        <w:spacing w:line="480" w:lineRule="auto"/>
        <w:rPr>
          <w:rFonts w:cs="Times"/>
          <w:sz w:val="22"/>
          <w:lang w:val="en-US"/>
        </w:rPr>
      </w:pPr>
      <w:r w:rsidRPr="00E54DCB">
        <w:rPr>
          <w:rFonts w:cs="Times"/>
          <w:sz w:val="22"/>
          <w:vertAlign w:val="superscript"/>
          <w:lang w:val="en-US"/>
        </w:rPr>
        <w:t xml:space="preserve">2 </w:t>
      </w:r>
      <w:r w:rsidRPr="00E54DCB">
        <w:rPr>
          <w:rFonts w:cs="Times"/>
          <w:sz w:val="22"/>
          <w:lang w:val="en-US"/>
        </w:rPr>
        <w:t>Centre Hospitalier de Troyes,</w:t>
      </w:r>
      <w:r w:rsidRPr="00E54DCB">
        <w:rPr>
          <w:rFonts w:cs="Times"/>
          <w:color w:val="000000"/>
          <w:sz w:val="22"/>
          <w:lang w:val="en-US"/>
        </w:rPr>
        <w:t xml:space="preserve"> </w:t>
      </w:r>
      <w:r w:rsidRPr="00E54DCB">
        <w:rPr>
          <w:rFonts w:eastAsia="Times New Roman" w:cs="Times"/>
          <w:sz w:val="22"/>
          <w:lang w:val="en-US" w:eastAsia="fr-FR"/>
        </w:rPr>
        <w:t>Health Services and Performance Research Lab</w:t>
      </w:r>
      <w:r w:rsidRPr="00E54DCB">
        <w:rPr>
          <w:rFonts w:cs="Times"/>
          <w:sz w:val="22"/>
          <w:lang w:val="en-US"/>
        </w:rPr>
        <w:t>, Troyes, F-10000, France</w:t>
      </w:r>
    </w:p>
    <w:p w14:paraId="36EB9158" w14:textId="77777777" w:rsidR="00587A83" w:rsidRPr="00E54DCB" w:rsidRDefault="00587A83" w:rsidP="00587A83">
      <w:pPr>
        <w:spacing w:line="480" w:lineRule="auto"/>
        <w:rPr>
          <w:rFonts w:cs="Times"/>
          <w:sz w:val="22"/>
        </w:rPr>
      </w:pPr>
      <w:r w:rsidRPr="00E54DCB">
        <w:rPr>
          <w:rFonts w:cs="Times"/>
          <w:sz w:val="22"/>
          <w:vertAlign w:val="superscript"/>
        </w:rPr>
        <w:t xml:space="preserve">3 </w:t>
      </w:r>
      <w:r w:rsidRPr="00E54DCB">
        <w:rPr>
          <w:rFonts w:cs="Times"/>
          <w:sz w:val="22"/>
        </w:rPr>
        <w:t>Centre Hospitalier de Troyes, Emergency Department, Troyes, F-10000, France</w:t>
      </w:r>
    </w:p>
    <w:p w14:paraId="0633BADC" w14:textId="77777777" w:rsidR="00587A83" w:rsidRPr="00E54DCB" w:rsidRDefault="00587A83" w:rsidP="00587A83">
      <w:pPr>
        <w:spacing w:line="480" w:lineRule="auto"/>
        <w:rPr>
          <w:rFonts w:cs="Times"/>
          <w:sz w:val="22"/>
        </w:rPr>
      </w:pPr>
      <w:r w:rsidRPr="00E54DCB">
        <w:rPr>
          <w:rFonts w:cs="Times"/>
          <w:sz w:val="22"/>
          <w:vertAlign w:val="superscript"/>
        </w:rPr>
        <w:t xml:space="preserve">4 </w:t>
      </w:r>
      <w:r w:rsidRPr="00E54DCB">
        <w:rPr>
          <w:rFonts w:cs="Times"/>
          <w:sz w:val="22"/>
        </w:rPr>
        <w:t>Etablissement Aubois des Soins Immédiats, Troyes, F-10000, France</w:t>
      </w:r>
    </w:p>
    <w:p w14:paraId="09942DE4" w14:textId="77777777" w:rsidR="00587A83" w:rsidRPr="00E54DCB" w:rsidRDefault="00587A83" w:rsidP="00587A83">
      <w:pPr>
        <w:autoSpaceDE w:val="0"/>
        <w:autoSpaceDN w:val="0"/>
        <w:adjustRightInd w:val="0"/>
        <w:spacing w:after="0" w:line="480" w:lineRule="auto"/>
        <w:rPr>
          <w:rFonts w:cs="Times"/>
          <w:sz w:val="22"/>
          <w:lang w:val="en-US"/>
        </w:rPr>
      </w:pPr>
      <w:r w:rsidRPr="00E54DCB">
        <w:rPr>
          <w:rFonts w:cs="Times"/>
          <w:sz w:val="22"/>
          <w:vertAlign w:val="superscript"/>
          <w:lang w:val="en-US"/>
        </w:rPr>
        <w:t xml:space="preserve">5 </w:t>
      </w:r>
      <w:r w:rsidRPr="00E54DCB">
        <w:rPr>
          <w:rFonts w:cs="Times"/>
          <w:sz w:val="22"/>
          <w:lang w:val="en-US"/>
        </w:rPr>
        <w:t xml:space="preserve">Hospices Civils de Lyon, </w:t>
      </w:r>
      <w:r w:rsidRPr="00E54DCB">
        <w:rPr>
          <w:rFonts w:cs="Times"/>
          <w:color w:val="000000"/>
          <w:sz w:val="22"/>
          <w:lang w:val="en-US"/>
        </w:rPr>
        <w:t>Health Data Department</w:t>
      </w:r>
      <w:r w:rsidRPr="00E54DCB">
        <w:rPr>
          <w:rFonts w:cs="Times"/>
          <w:sz w:val="22"/>
          <w:lang w:val="en-US"/>
        </w:rPr>
        <w:t>, Lyon, F-69003, France </w:t>
      </w:r>
    </w:p>
    <w:p w14:paraId="14B13E80" w14:textId="77777777" w:rsidR="00587A83" w:rsidRPr="00E54DCB" w:rsidRDefault="00587A83" w:rsidP="00587A83">
      <w:pPr>
        <w:spacing w:after="0" w:line="480" w:lineRule="auto"/>
        <w:rPr>
          <w:rFonts w:eastAsia="Times New Roman" w:cs="Times"/>
          <w:sz w:val="22"/>
          <w:lang w:val="en-US" w:eastAsia="fr-FR"/>
        </w:rPr>
      </w:pPr>
      <w:r w:rsidRPr="00E54DCB">
        <w:rPr>
          <w:rFonts w:eastAsia="Times New Roman" w:cs="Times"/>
          <w:sz w:val="22"/>
          <w:vertAlign w:val="superscript"/>
          <w:lang w:val="en-US" w:eastAsia="fr-FR"/>
        </w:rPr>
        <w:t>6</w:t>
      </w:r>
      <w:r w:rsidRPr="00E54DCB">
        <w:rPr>
          <w:rFonts w:eastAsia="Times New Roman" w:cs="Times"/>
          <w:sz w:val="22"/>
          <w:lang w:val="en-US" w:eastAsia="fr-FR"/>
        </w:rPr>
        <w:t xml:space="preserve"> Université Claude Bernard Lyon 1, Health Services and Performance Research Lab (HESPER EA7425), F-69008 Lyon, France</w:t>
      </w:r>
    </w:p>
    <w:p w14:paraId="6EB77097" w14:textId="77777777" w:rsidR="00587A83" w:rsidRPr="00E54DCB" w:rsidRDefault="00587A83" w:rsidP="00587A83">
      <w:pPr>
        <w:spacing w:after="0" w:line="480" w:lineRule="auto"/>
        <w:rPr>
          <w:rFonts w:eastAsia="Times New Roman" w:cs="Times"/>
          <w:sz w:val="22"/>
          <w:lang w:val="en-US" w:eastAsia="fr-FR"/>
        </w:rPr>
      </w:pPr>
      <w:r w:rsidRPr="00E54DCB">
        <w:rPr>
          <w:rFonts w:eastAsia="Times New Roman" w:cs="Times"/>
          <w:sz w:val="22"/>
          <w:vertAlign w:val="superscript"/>
          <w:lang w:val="en-US" w:eastAsia="fr-FR"/>
        </w:rPr>
        <w:t>7</w:t>
      </w:r>
      <w:r w:rsidRPr="00E54DCB">
        <w:rPr>
          <w:rFonts w:eastAsia="Times New Roman" w:cs="Times"/>
          <w:sz w:val="22"/>
          <w:lang w:val="en-US" w:eastAsia="fr-FR"/>
        </w:rPr>
        <w:t xml:space="preserve"> Brigham and Women’s Hospital, Harvard Medical School, Center for Surgery and Public Health, Boston, MA, USA</w:t>
      </w:r>
    </w:p>
    <w:p w14:paraId="0E67449F" w14:textId="77777777" w:rsidR="00587A83" w:rsidRPr="00E54DCB" w:rsidRDefault="00587A83" w:rsidP="00587A83">
      <w:pPr>
        <w:autoSpaceDE w:val="0"/>
        <w:autoSpaceDN w:val="0"/>
        <w:adjustRightInd w:val="0"/>
        <w:spacing w:after="0" w:line="480" w:lineRule="auto"/>
        <w:rPr>
          <w:rFonts w:cs="Times"/>
          <w:b/>
          <w:bCs/>
          <w:sz w:val="22"/>
          <w:lang w:val="en-US"/>
        </w:rPr>
      </w:pPr>
      <w:r w:rsidRPr="00E54DCB">
        <w:rPr>
          <w:rFonts w:cs="Times"/>
          <w:b/>
          <w:bCs/>
          <w:sz w:val="22"/>
          <w:lang w:val="en-US"/>
        </w:rPr>
        <w:t>* Corresponding authors informations :</w:t>
      </w:r>
    </w:p>
    <w:p w14:paraId="2AC053AA" w14:textId="77777777" w:rsidR="00587A83" w:rsidRPr="00E54DCB" w:rsidRDefault="00587A83" w:rsidP="00587A83">
      <w:pPr>
        <w:autoSpaceDE w:val="0"/>
        <w:autoSpaceDN w:val="0"/>
        <w:adjustRightInd w:val="0"/>
        <w:spacing w:after="0" w:line="480" w:lineRule="auto"/>
        <w:rPr>
          <w:rFonts w:cs="Times"/>
          <w:color w:val="000000"/>
          <w:sz w:val="22"/>
          <w:lang w:val="en-US"/>
        </w:rPr>
      </w:pPr>
      <w:r w:rsidRPr="00E54DCB">
        <w:rPr>
          <w:rFonts w:cs="Times"/>
          <w:color w:val="000000"/>
          <w:sz w:val="22"/>
          <w:lang w:val="en-US"/>
        </w:rPr>
        <w:t xml:space="preserve">Address: Centre Hospitalier de Troyes, </w:t>
      </w:r>
      <w:r w:rsidRPr="00E54DCB">
        <w:rPr>
          <w:rFonts w:eastAsia="Times New Roman" w:cs="Times"/>
          <w:sz w:val="22"/>
          <w:lang w:val="en-US" w:eastAsia="fr-FR"/>
        </w:rPr>
        <w:t>Health Services and Performance Research Lab</w:t>
      </w:r>
      <w:r w:rsidRPr="00E54DCB">
        <w:rPr>
          <w:rFonts w:cs="Times"/>
          <w:color w:val="000000"/>
          <w:sz w:val="22"/>
          <w:lang w:val="en-US"/>
        </w:rPr>
        <w:t>,</w:t>
      </w:r>
    </w:p>
    <w:p w14:paraId="2F567AAC" w14:textId="77777777" w:rsidR="00587A83" w:rsidRPr="00E54DCB" w:rsidRDefault="00587A83" w:rsidP="00587A83">
      <w:pPr>
        <w:autoSpaceDE w:val="0"/>
        <w:autoSpaceDN w:val="0"/>
        <w:adjustRightInd w:val="0"/>
        <w:spacing w:after="0" w:line="480" w:lineRule="auto"/>
        <w:rPr>
          <w:rFonts w:cs="Times"/>
          <w:color w:val="000000"/>
          <w:sz w:val="22"/>
        </w:rPr>
      </w:pPr>
      <w:r w:rsidRPr="00E54DCB">
        <w:rPr>
          <w:rFonts w:cs="Times"/>
          <w:color w:val="000000"/>
          <w:sz w:val="22"/>
        </w:rPr>
        <w:t>101 Av Anatole France 10000 Troyes, F-10000, France ; Phone: 0033 25 49 48 01 / E-mail:</w:t>
      </w:r>
    </w:p>
    <w:p w14:paraId="23ACF120" w14:textId="77777777" w:rsidR="00587A83" w:rsidRPr="00E54DCB" w:rsidRDefault="008E362A" w:rsidP="00587A83">
      <w:pPr>
        <w:autoSpaceDE w:val="0"/>
        <w:autoSpaceDN w:val="0"/>
        <w:adjustRightInd w:val="0"/>
        <w:spacing w:after="0" w:line="480" w:lineRule="auto"/>
        <w:rPr>
          <w:rFonts w:cs="Times"/>
          <w:color w:val="0563C2"/>
          <w:sz w:val="22"/>
          <w:lang w:val="en-US"/>
        </w:rPr>
      </w:pPr>
      <w:hyperlink r:id="rId5" w:history="1">
        <w:r w:rsidR="00587A83" w:rsidRPr="00E54DCB">
          <w:rPr>
            <w:rStyle w:val="Lienhypertexte"/>
            <w:rFonts w:cs="Times"/>
            <w:sz w:val="22"/>
            <w:lang w:val="en-US"/>
          </w:rPr>
          <w:t>adrien.wartelle@ch-troyes.fr</w:t>
        </w:r>
      </w:hyperlink>
    </w:p>
    <w:p w14:paraId="3CAB2DE5" w14:textId="77777777" w:rsidR="00587A83" w:rsidRPr="00E54DCB" w:rsidRDefault="00587A83" w:rsidP="00587A83">
      <w:pPr>
        <w:autoSpaceDE w:val="0"/>
        <w:autoSpaceDN w:val="0"/>
        <w:adjustRightInd w:val="0"/>
        <w:spacing w:after="0" w:line="480" w:lineRule="auto"/>
        <w:rPr>
          <w:rFonts w:cs="Times"/>
          <w:b/>
          <w:bCs/>
          <w:color w:val="000000"/>
          <w:sz w:val="22"/>
          <w:lang w:val="en-US"/>
        </w:rPr>
      </w:pPr>
      <w:r w:rsidRPr="00E54DCB">
        <w:rPr>
          <w:rFonts w:cs="Times"/>
          <w:b/>
          <w:bCs/>
          <w:color w:val="000000"/>
          <w:sz w:val="22"/>
          <w:lang w:val="en-US"/>
        </w:rPr>
        <w:t>Complete author information</w:t>
      </w:r>
    </w:p>
    <w:p w14:paraId="0E0C78CB" w14:textId="77777777" w:rsidR="00587A83" w:rsidRPr="00E54DCB" w:rsidRDefault="00587A83" w:rsidP="00587A83">
      <w:pPr>
        <w:autoSpaceDE w:val="0"/>
        <w:autoSpaceDN w:val="0"/>
        <w:adjustRightInd w:val="0"/>
        <w:spacing w:after="0" w:line="480" w:lineRule="auto"/>
        <w:rPr>
          <w:rFonts w:cs="Times"/>
          <w:b/>
          <w:bCs/>
          <w:color w:val="000000"/>
          <w:sz w:val="22"/>
          <w:lang w:val="en-US"/>
        </w:rPr>
      </w:pPr>
      <w:r w:rsidRPr="00E54DCB">
        <w:rPr>
          <w:rFonts w:cs="Times"/>
          <w:b/>
          <w:bCs/>
          <w:color w:val="000000"/>
          <w:sz w:val="22"/>
          <w:lang w:val="en-US"/>
        </w:rPr>
        <w:t>Adrien Wartelle, MSc, (*Corresponding author)</w:t>
      </w:r>
    </w:p>
    <w:p w14:paraId="0F82CBFB" w14:textId="77777777" w:rsidR="00587A83" w:rsidRPr="00E54DCB" w:rsidRDefault="00587A83" w:rsidP="00587A83">
      <w:pPr>
        <w:autoSpaceDE w:val="0"/>
        <w:autoSpaceDN w:val="0"/>
        <w:adjustRightInd w:val="0"/>
        <w:spacing w:after="0" w:line="480" w:lineRule="auto"/>
        <w:rPr>
          <w:rFonts w:cs="Times"/>
          <w:bCs/>
          <w:color w:val="000000"/>
          <w:sz w:val="22"/>
          <w:lang w:val="en-US"/>
        </w:rPr>
      </w:pPr>
      <w:r w:rsidRPr="00E54DCB">
        <w:rPr>
          <w:rFonts w:cs="Times"/>
          <w:bCs/>
          <w:color w:val="000000"/>
          <w:sz w:val="22"/>
          <w:lang w:val="en-US"/>
        </w:rPr>
        <w:t>PhD Student,</w:t>
      </w:r>
    </w:p>
    <w:p w14:paraId="27D8138F" w14:textId="77777777" w:rsidR="00587A83" w:rsidRPr="00E54DCB" w:rsidRDefault="00587A83" w:rsidP="00587A83">
      <w:pPr>
        <w:autoSpaceDE w:val="0"/>
        <w:autoSpaceDN w:val="0"/>
        <w:adjustRightInd w:val="0"/>
        <w:spacing w:after="0" w:line="480" w:lineRule="auto"/>
        <w:rPr>
          <w:rFonts w:cs="Times"/>
          <w:color w:val="000000"/>
          <w:sz w:val="22"/>
          <w:lang w:val="en-US"/>
        </w:rPr>
      </w:pPr>
      <w:r w:rsidRPr="00E54DCB">
        <w:rPr>
          <w:rFonts w:cs="Times"/>
          <w:bCs/>
          <w:color w:val="000000"/>
          <w:sz w:val="22"/>
          <w:lang w:val="en-US"/>
        </w:rPr>
        <w:t xml:space="preserve">Addresses: </w:t>
      </w:r>
      <w:r w:rsidRPr="00E54DCB">
        <w:rPr>
          <w:rFonts w:cs="Times"/>
          <w:color w:val="000000"/>
          <w:sz w:val="22"/>
          <w:lang w:val="en-US"/>
        </w:rPr>
        <w:t xml:space="preserve">Centre Hospitalier de Troyes, </w:t>
      </w:r>
      <w:r w:rsidRPr="00E54DCB">
        <w:rPr>
          <w:rFonts w:eastAsia="Times New Roman" w:cs="Times"/>
          <w:sz w:val="22"/>
          <w:lang w:val="en-US" w:eastAsia="fr-FR"/>
        </w:rPr>
        <w:t>Health Services and Performance Research Lab</w:t>
      </w:r>
      <w:r w:rsidRPr="00E54DCB">
        <w:rPr>
          <w:rFonts w:cs="Times"/>
          <w:color w:val="000000"/>
          <w:sz w:val="22"/>
          <w:lang w:val="en-US"/>
        </w:rPr>
        <w:t>,</w:t>
      </w:r>
    </w:p>
    <w:p w14:paraId="27731158" w14:textId="77777777" w:rsidR="00587A83" w:rsidRPr="00E54DCB" w:rsidRDefault="00587A83" w:rsidP="00587A83">
      <w:pPr>
        <w:autoSpaceDE w:val="0"/>
        <w:autoSpaceDN w:val="0"/>
        <w:adjustRightInd w:val="0"/>
        <w:spacing w:after="0" w:line="480" w:lineRule="auto"/>
        <w:rPr>
          <w:rFonts w:cs="Times"/>
          <w:color w:val="000000"/>
          <w:sz w:val="22"/>
        </w:rPr>
      </w:pPr>
      <w:r w:rsidRPr="00E54DCB">
        <w:rPr>
          <w:rFonts w:cs="Times"/>
          <w:color w:val="000000"/>
          <w:sz w:val="22"/>
        </w:rPr>
        <w:t>101 Av Anatole France 10000 Troyes, F-10000, France ; Phone: 0033 25 49 48 01 / E-mail:</w:t>
      </w:r>
    </w:p>
    <w:p w14:paraId="046D1FE2" w14:textId="77777777" w:rsidR="00587A83" w:rsidRPr="00E54DCB" w:rsidRDefault="00587A83" w:rsidP="00587A83">
      <w:pPr>
        <w:autoSpaceDE w:val="0"/>
        <w:autoSpaceDN w:val="0"/>
        <w:adjustRightInd w:val="0"/>
        <w:spacing w:after="0" w:line="480" w:lineRule="auto"/>
        <w:rPr>
          <w:rFonts w:cs="Times"/>
          <w:color w:val="0563C2"/>
          <w:sz w:val="22"/>
        </w:rPr>
      </w:pPr>
      <w:r w:rsidRPr="00E54DCB">
        <w:rPr>
          <w:rFonts w:cs="Times"/>
          <w:color w:val="0563C2"/>
          <w:sz w:val="22"/>
        </w:rPr>
        <w:t>adrien.wartelle@ch-troyes.fr</w:t>
      </w:r>
    </w:p>
    <w:p w14:paraId="696CDC71" w14:textId="77777777" w:rsidR="00587A83" w:rsidRPr="00E54DCB" w:rsidRDefault="00587A83" w:rsidP="00587A83">
      <w:pPr>
        <w:autoSpaceDE w:val="0"/>
        <w:autoSpaceDN w:val="0"/>
        <w:adjustRightInd w:val="0"/>
        <w:spacing w:after="0" w:line="480" w:lineRule="auto"/>
        <w:rPr>
          <w:rFonts w:cs="Times"/>
          <w:color w:val="0563C2"/>
          <w:sz w:val="22"/>
        </w:rPr>
      </w:pPr>
      <w:r w:rsidRPr="00E54DCB">
        <w:rPr>
          <w:rFonts w:cs="Times"/>
          <w:bCs/>
          <w:color w:val="000000"/>
          <w:sz w:val="22"/>
        </w:rPr>
        <w:lastRenderedPageBreak/>
        <w:t>Université Technologique de Troyes, Institut Charles Delaunay, 12 rue Marie Curie, 10000 Troyes, F-10000, France;</w:t>
      </w:r>
      <w:r w:rsidRPr="00E54DCB">
        <w:rPr>
          <w:rFonts w:cs="Times"/>
          <w:color w:val="000000"/>
          <w:sz w:val="22"/>
        </w:rPr>
        <w:t xml:space="preserve"> Phone:</w:t>
      </w:r>
      <w:r w:rsidRPr="00E54DCB">
        <w:rPr>
          <w:rFonts w:cs="Times"/>
          <w:sz w:val="22"/>
        </w:rPr>
        <w:t xml:space="preserve"> 0033 25 71 56 77</w:t>
      </w:r>
      <w:r w:rsidRPr="00E54DCB">
        <w:rPr>
          <w:rFonts w:cs="Times"/>
          <w:color w:val="000000"/>
          <w:sz w:val="22"/>
        </w:rPr>
        <w:t xml:space="preserve">/ E-mail: </w:t>
      </w:r>
      <w:hyperlink r:id="rId6" w:history="1">
        <w:r w:rsidRPr="00E54DCB">
          <w:rPr>
            <w:rStyle w:val="Lienhypertexte"/>
            <w:rFonts w:cs="Times"/>
            <w:sz w:val="22"/>
          </w:rPr>
          <w:t>adrien.wartelle@utt.fr</w:t>
        </w:r>
      </w:hyperlink>
    </w:p>
    <w:p w14:paraId="2E862799" w14:textId="761A45D4" w:rsidR="00587A83" w:rsidRPr="000C1F4F" w:rsidRDefault="00E2689A" w:rsidP="00587A83">
      <w:pPr>
        <w:autoSpaceDE w:val="0"/>
        <w:autoSpaceDN w:val="0"/>
        <w:adjustRightInd w:val="0"/>
        <w:spacing w:after="0" w:line="480" w:lineRule="auto"/>
        <w:rPr>
          <w:rFonts w:cs="Times"/>
          <w:b/>
          <w:bCs/>
          <w:color w:val="000000"/>
          <w:sz w:val="22"/>
        </w:rPr>
      </w:pPr>
      <w:r w:rsidRPr="000C1F4F">
        <w:rPr>
          <w:rFonts w:cs="Times"/>
          <w:b/>
          <w:bCs/>
          <w:color w:val="000000"/>
          <w:sz w:val="22"/>
        </w:rPr>
        <w:t>Farad Mourad-Chehade</w:t>
      </w:r>
      <w:r w:rsidR="00587A83" w:rsidRPr="000C1F4F">
        <w:rPr>
          <w:rFonts w:cs="Times"/>
          <w:b/>
          <w:bCs/>
          <w:color w:val="000000"/>
          <w:sz w:val="22"/>
        </w:rPr>
        <w:t>, PhD,</w:t>
      </w:r>
    </w:p>
    <w:p w14:paraId="6BA9E7C7" w14:textId="77777777" w:rsidR="00587A83" w:rsidRPr="000C1F4F" w:rsidRDefault="00587A83" w:rsidP="00587A83">
      <w:pPr>
        <w:autoSpaceDE w:val="0"/>
        <w:autoSpaceDN w:val="0"/>
        <w:adjustRightInd w:val="0"/>
        <w:spacing w:after="0" w:line="480" w:lineRule="auto"/>
        <w:rPr>
          <w:rFonts w:cs="Times"/>
          <w:bCs/>
          <w:color w:val="000000"/>
          <w:sz w:val="22"/>
        </w:rPr>
      </w:pPr>
      <w:r w:rsidRPr="000C1F4F">
        <w:rPr>
          <w:rFonts w:cs="Times"/>
          <w:bCs/>
          <w:color w:val="000000"/>
          <w:sz w:val="22"/>
        </w:rPr>
        <w:t>Associate Professor,</w:t>
      </w:r>
    </w:p>
    <w:p w14:paraId="702DBD45" w14:textId="77777777" w:rsidR="00587A83" w:rsidRPr="00E54DCB" w:rsidRDefault="00587A83" w:rsidP="00587A83">
      <w:pPr>
        <w:autoSpaceDE w:val="0"/>
        <w:autoSpaceDN w:val="0"/>
        <w:adjustRightInd w:val="0"/>
        <w:spacing w:after="0" w:line="480" w:lineRule="auto"/>
        <w:rPr>
          <w:rFonts w:cs="Times"/>
          <w:color w:val="000000"/>
          <w:sz w:val="22"/>
        </w:rPr>
      </w:pPr>
      <w:r w:rsidRPr="00E54DCB">
        <w:rPr>
          <w:rFonts w:cs="Times"/>
          <w:bCs/>
          <w:color w:val="000000"/>
          <w:sz w:val="22"/>
        </w:rPr>
        <w:t>Université Technologique de Troyes, Institut Charles Delaunay, 12 rue Marie Curie, 10000 Troyes, F-10000, France;</w:t>
      </w:r>
      <w:r w:rsidRPr="00E54DCB">
        <w:rPr>
          <w:rFonts w:cs="Times"/>
          <w:color w:val="000000"/>
          <w:sz w:val="22"/>
        </w:rPr>
        <w:t xml:space="preserve"> Phone:</w:t>
      </w:r>
      <w:r w:rsidRPr="00E54DCB">
        <w:rPr>
          <w:rFonts w:cs="Times"/>
          <w:sz w:val="22"/>
        </w:rPr>
        <w:t xml:space="preserve"> 0033 3 25 71 56 77</w:t>
      </w:r>
      <w:r w:rsidRPr="00E54DCB">
        <w:rPr>
          <w:rFonts w:cs="Times"/>
          <w:color w:val="000000"/>
          <w:sz w:val="22"/>
        </w:rPr>
        <w:t xml:space="preserve">/ E-mail: </w:t>
      </w:r>
      <w:r w:rsidRPr="00E54DCB">
        <w:rPr>
          <w:rFonts w:cs="Times"/>
          <w:color w:val="0563C2"/>
          <w:sz w:val="22"/>
        </w:rPr>
        <w:t>farah.chehade@utt.fr</w:t>
      </w:r>
    </w:p>
    <w:p w14:paraId="25C2E333" w14:textId="77777777" w:rsidR="00587A83" w:rsidRPr="00E54DCB" w:rsidRDefault="00587A83" w:rsidP="00587A83">
      <w:pPr>
        <w:autoSpaceDE w:val="0"/>
        <w:autoSpaceDN w:val="0"/>
        <w:adjustRightInd w:val="0"/>
        <w:spacing w:after="0" w:line="480" w:lineRule="auto"/>
        <w:rPr>
          <w:rFonts w:cs="Times"/>
          <w:b/>
          <w:bCs/>
          <w:color w:val="000000"/>
          <w:sz w:val="22"/>
        </w:rPr>
      </w:pPr>
      <w:r w:rsidRPr="00E54DCB">
        <w:rPr>
          <w:rFonts w:cs="Times"/>
          <w:b/>
          <w:bCs/>
          <w:color w:val="000000"/>
          <w:sz w:val="22"/>
        </w:rPr>
        <w:t>Farouk Yalaoui, PhD,</w:t>
      </w:r>
    </w:p>
    <w:p w14:paraId="4092DAFE" w14:textId="77777777" w:rsidR="00587A83" w:rsidRPr="00E54DCB" w:rsidRDefault="00587A83" w:rsidP="00587A83">
      <w:pPr>
        <w:autoSpaceDE w:val="0"/>
        <w:autoSpaceDN w:val="0"/>
        <w:adjustRightInd w:val="0"/>
        <w:spacing w:after="0" w:line="480" w:lineRule="auto"/>
        <w:rPr>
          <w:rFonts w:cs="Times"/>
          <w:b/>
          <w:bCs/>
          <w:color w:val="000000"/>
          <w:sz w:val="22"/>
        </w:rPr>
      </w:pPr>
      <w:r w:rsidRPr="00E54DCB">
        <w:rPr>
          <w:rFonts w:cs="Times"/>
          <w:bCs/>
          <w:color w:val="000000"/>
          <w:sz w:val="22"/>
        </w:rPr>
        <w:t>Professor,</w:t>
      </w:r>
    </w:p>
    <w:p w14:paraId="5CE81657" w14:textId="77777777" w:rsidR="00587A83" w:rsidRPr="00E54DCB" w:rsidRDefault="00587A83" w:rsidP="00587A83">
      <w:pPr>
        <w:autoSpaceDE w:val="0"/>
        <w:autoSpaceDN w:val="0"/>
        <w:adjustRightInd w:val="0"/>
        <w:spacing w:after="0" w:line="480" w:lineRule="auto"/>
        <w:rPr>
          <w:rFonts w:cs="Times"/>
          <w:color w:val="000000"/>
          <w:sz w:val="22"/>
        </w:rPr>
      </w:pPr>
      <w:r w:rsidRPr="00E54DCB">
        <w:rPr>
          <w:rFonts w:cs="Times"/>
          <w:bCs/>
          <w:color w:val="000000"/>
          <w:sz w:val="22"/>
        </w:rPr>
        <w:t>Université Technologique de Troyes, Institut Charles Delaunay, 12 rue Marie Curie, 10000 Troyes, F-10000, France;</w:t>
      </w:r>
      <w:r w:rsidRPr="00E54DCB">
        <w:rPr>
          <w:rFonts w:cs="Times"/>
          <w:color w:val="000000"/>
          <w:sz w:val="22"/>
        </w:rPr>
        <w:t xml:space="preserve"> Phone: 003</w:t>
      </w:r>
      <w:r w:rsidRPr="00E54DCB">
        <w:rPr>
          <w:rFonts w:cs="Times"/>
          <w:sz w:val="22"/>
        </w:rPr>
        <w:t>3 3 25 71 56 26</w:t>
      </w:r>
      <w:r w:rsidRPr="00E54DCB">
        <w:rPr>
          <w:rFonts w:cs="Times"/>
          <w:color w:val="000000"/>
          <w:sz w:val="22"/>
        </w:rPr>
        <w:t xml:space="preserve"> / E-mail: </w:t>
      </w:r>
      <w:r w:rsidRPr="00E54DCB">
        <w:rPr>
          <w:rFonts w:cs="Times"/>
          <w:color w:val="0563C2"/>
          <w:sz w:val="22"/>
        </w:rPr>
        <w:t>farouk.yalaoui@utt.fr</w:t>
      </w:r>
    </w:p>
    <w:p w14:paraId="4EAE002A" w14:textId="77777777" w:rsidR="00587A83" w:rsidRPr="00E54DCB" w:rsidRDefault="00587A83" w:rsidP="00587A83">
      <w:pPr>
        <w:autoSpaceDE w:val="0"/>
        <w:autoSpaceDN w:val="0"/>
        <w:adjustRightInd w:val="0"/>
        <w:spacing w:after="0" w:line="480" w:lineRule="auto"/>
        <w:rPr>
          <w:rFonts w:cs="Times"/>
          <w:b/>
          <w:bCs/>
          <w:color w:val="000000"/>
          <w:sz w:val="22"/>
        </w:rPr>
      </w:pPr>
      <w:r w:rsidRPr="00E54DCB">
        <w:rPr>
          <w:rFonts w:cs="Times"/>
          <w:b/>
          <w:bCs/>
          <w:color w:val="000000"/>
          <w:sz w:val="22"/>
        </w:rPr>
        <w:t>Hélène Questiaux, MD</w:t>
      </w:r>
    </w:p>
    <w:p w14:paraId="04492F11" w14:textId="77777777" w:rsidR="00587A83" w:rsidRPr="00E54DCB" w:rsidRDefault="00587A83" w:rsidP="00587A83">
      <w:pPr>
        <w:autoSpaceDE w:val="0"/>
        <w:autoSpaceDN w:val="0"/>
        <w:adjustRightInd w:val="0"/>
        <w:spacing w:after="0" w:line="480" w:lineRule="auto"/>
        <w:rPr>
          <w:rFonts w:cs="Times"/>
          <w:b/>
          <w:bCs/>
          <w:color w:val="000000"/>
          <w:sz w:val="22"/>
        </w:rPr>
      </w:pPr>
      <w:r w:rsidRPr="00E54DCB">
        <w:rPr>
          <w:rFonts w:cs="Times"/>
          <w:color w:val="000000"/>
          <w:sz w:val="22"/>
        </w:rPr>
        <w:t>Emergency Physician,</w:t>
      </w:r>
    </w:p>
    <w:p w14:paraId="069F508F" w14:textId="77777777" w:rsidR="00587A83" w:rsidRPr="00E54DCB" w:rsidRDefault="00587A83" w:rsidP="00587A83">
      <w:pPr>
        <w:autoSpaceDE w:val="0"/>
        <w:autoSpaceDN w:val="0"/>
        <w:adjustRightInd w:val="0"/>
        <w:spacing w:after="0" w:line="480" w:lineRule="auto"/>
        <w:rPr>
          <w:rFonts w:cs="Times"/>
          <w:color w:val="000000"/>
          <w:sz w:val="22"/>
        </w:rPr>
      </w:pPr>
      <w:r w:rsidRPr="00E54DCB">
        <w:rPr>
          <w:rFonts w:cs="Times"/>
          <w:bCs/>
          <w:color w:val="000000"/>
          <w:sz w:val="22"/>
        </w:rPr>
        <w:t xml:space="preserve">Addresses: </w:t>
      </w:r>
      <w:r w:rsidRPr="00E54DCB">
        <w:rPr>
          <w:rFonts w:cs="Times"/>
          <w:color w:val="000000"/>
          <w:sz w:val="22"/>
        </w:rPr>
        <w:t xml:space="preserve">Centre Hospitalier de Troyes, </w:t>
      </w:r>
      <w:r w:rsidRPr="00E54DCB">
        <w:rPr>
          <w:rFonts w:cs="Times"/>
          <w:sz w:val="22"/>
        </w:rPr>
        <w:t>Emergency Department</w:t>
      </w:r>
      <w:r w:rsidRPr="00E54DCB">
        <w:rPr>
          <w:rFonts w:cs="Times"/>
          <w:color w:val="000000"/>
          <w:sz w:val="22"/>
        </w:rPr>
        <w:t>, 101 Av Anatole France 10000 Troyes, F-10000, France; Phone: 003</w:t>
      </w:r>
      <w:r w:rsidRPr="00E54DCB">
        <w:rPr>
          <w:rFonts w:cs="Times"/>
          <w:sz w:val="22"/>
        </w:rPr>
        <w:t>3 3 25 49 70 25</w:t>
      </w:r>
      <w:r w:rsidRPr="00E54DCB">
        <w:rPr>
          <w:rFonts w:cs="Times"/>
          <w:color w:val="000000"/>
          <w:sz w:val="22"/>
        </w:rPr>
        <w:t xml:space="preserve"> / E-mail: </w:t>
      </w:r>
      <w:r w:rsidRPr="00E54DCB">
        <w:rPr>
          <w:rFonts w:cs="Times"/>
          <w:color w:val="0563C2"/>
          <w:sz w:val="22"/>
        </w:rPr>
        <w:t>helene.questiaux@ch-troyes.fr</w:t>
      </w:r>
    </w:p>
    <w:p w14:paraId="28E225F6" w14:textId="77777777" w:rsidR="00587A83" w:rsidRPr="00E54DCB" w:rsidRDefault="00587A83" w:rsidP="00587A83">
      <w:pPr>
        <w:autoSpaceDE w:val="0"/>
        <w:autoSpaceDN w:val="0"/>
        <w:adjustRightInd w:val="0"/>
        <w:spacing w:after="0" w:line="480" w:lineRule="auto"/>
        <w:rPr>
          <w:rFonts w:cs="Times"/>
          <w:b/>
          <w:bCs/>
          <w:color w:val="000000"/>
          <w:sz w:val="22"/>
        </w:rPr>
      </w:pPr>
      <w:r w:rsidRPr="00E54DCB">
        <w:rPr>
          <w:rFonts w:cs="Times"/>
          <w:b/>
          <w:bCs/>
          <w:color w:val="000000"/>
          <w:sz w:val="22"/>
        </w:rPr>
        <w:t>Thomas Monneret, MD,</w:t>
      </w:r>
    </w:p>
    <w:p w14:paraId="06D7280F" w14:textId="77777777" w:rsidR="00587A83" w:rsidRPr="00E54DCB" w:rsidRDefault="00587A83" w:rsidP="00587A83">
      <w:pPr>
        <w:autoSpaceDE w:val="0"/>
        <w:autoSpaceDN w:val="0"/>
        <w:adjustRightInd w:val="0"/>
        <w:spacing w:after="0" w:line="480" w:lineRule="auto"/>
        <w:rPr>
          <w:rFonts w:cs="Times"/>
          <w:color w:val="000000"/>
          <w:sz w:val="22"/>
        </w:rPr>
      </w:pPr>
      <w:r w:rsidRPr="00E54DCB">
        <w:rPr>
          <w:rFonts w:cs="Times"/>
          <w:color w:val="000000"/>
          <w:sz w:val="22"/>
        </w:rPr>
        <w:t>Emergency Physician</w:t>
      </w:r>
    </w:p>
    <w:p w14:paraId="07288B30" w14:textId="77777777" w:rsidR="00587A83" w:rsidRPr="00E54DCB" w:rsidRDefault="00587A83" w:rsidP="00587A83">
      <w:pPr>
        <w:autoSpaceDE w:val="0"/>
        <w:autoSpaceDN w:val="0"/>
        <w:adjustRightInd w:val="0"/>
        <w:spacing w:after="0" w:line="480" w:lineRule="auto"/>
        <w:rPr>
          <w:rFonts w:cs="Times"/>
          <w:color w:val="000000"/>
          <w:sz w:val="22"/>
        </w:rPr>
      </w:pPr>
      <w:r w:rsidRPr="00E54DCB">
        <w:rPr>
          <w:rFonts w:cs="Times"/>
          <w:bCs/>
          <w:color w:val="000000"/>
          <w:sz w:val="22"/>
        </w:rPr>
        <w:t xml:space="preserve">Addresses: </w:t>
      </w:r>
      <w:r w:rsidRPr="00E54DCB">
        <w:rPr>
          <w:rFonts w:cs="Times"/>
          <w:sz w:val="22"/>
        </w:rPr>
        <w:t>Etablissement Aubois des Soins Immédiats</w:t>
      </w:r>
      <w:r w:rsidRPr="00E54DCB">
        <w:rPr>
          <w:rFonts w:cs="Times"/>
          <w:color w:val="000000"/>
          <w:sz w:val="22"/>
        </w:rPr>
        <w:t>, 4 Rue Chaim Soutine 10000 Troyes, F-10000, France; Phone: 003</w:t>
      </w:r>
      <w:r w:rsidRPr="00E54DCB">
        <w:rPr>
          <w:rFonts w:cs="Times"/>
          <w:sz w:val="22"/>
        </w:rPr>
        <w:t>3 3 25 49 49 49</w:t>
      </w:r>
      <w:r w:rsidRPr="00E54DCB">
        <w:rPr>
          <w:rFonts w:cs="Times"/>
          <w:color w:val="000000"/>
          <w:sz w:val="22"/>
        </w:rPr>
        <w:t xml:space="preserve"> / E-mail: </w:t>
      </w:r>
      <w:r w:rsidRPr="00E54DCB">
        <w:rPr>
          <w:rFonts w:cs="Times"/>
          <w:color w:val="2F5496" w:themeColor="accent1" w:themeShade="BF"/>
          <w:sz w:val="22"/>
        </w:rPr>
        <w:t>thomas.monneret@ch-troyes.fr</w:t>
      </w:r>
    </w:p>
    <w:p w14:paraId="39706BB5" w14:textId="77777777" w:rsidR="00587A83" w:rsidRPr="00E54DCB" w:rsidRDefault="00587A83" w:rsidP="00587A83">
      <w:pPr>
        <w:autoSpaceDE w:val="0"/>
        <w:autoSpaceDN w:val="0"/>
        <w:adjustRightInd w:val="0"/>
        <w:spacing w:after="0" w:line="480" w:lineRule="auto"/>
        <w:rPr>
          <w:rFonts w:cs="Times"/>
          <w:b/>
          <w:color w:val="000000" w:themeColor="text1"/>
          <w:sz w:val="22"/>
          <w:lang w:val="en-US"/>
        </w:rPr>
      </w:pPr>
      <w:r w:rsidRPr="00E54DCB">
        <w:rPr>
          <w:rFonts w:cs="Times"/>
          <w:b/>
          <w:bCs/>
          <w:color w:val="000000"/>
          <w:sz w:val="22"/>
          <w:lang w:val="en-US"/>
        </w:rPr>
        <w:t>Ghilain Solivau</w:t>
      </w:r>
      <w:r w:rsidRPr="00E54DCB">
        <w:rPr>
          <w:rFonts w:cs="Times"/>
          <w:b/>
          <w:color w:val="000000" w:themeColor="text1"/>
          <w:sz w:val="22"/>
          <w:lang w:val="en-US"/>
        </w:rPr>
        <w:t xml:space="preserve">, MD, </w:t>
      </w:r>
    </w:p>
    <w:p w14:paraId="28E0CC3B" w14:textId="77777777" w:rsidR="00587A83" w:rsidRPr="00E54DCB" w:rsidRDefault="00587A83" w:rsidP="00587A83">
      <w:pPr>
        <w:autoSpaceDE w:val="0"/>
        <w:autoSpaceDN w:val="0"/>
        <w:adjustRightInd w:val="0"/>
        <w:spacing w:after="0" w:line="480" w:lineRule="auto"/>
        <w:rPr>
          <w:rFonts w:cs="Times"/>
          <w:color w:val="000000"/>
          <w:sz w:val="22"/>
          <w:lang w:val="en-US"/>
        </w:rPr>
      </w:pPr>
      <w:r w:rsidRPr="00E54DCB">
        <w:rPr>
          <w:rFonts w:cs="Times"/>
          <w:color w:val="000000"/>
          <w:sz w:val="22"/>
          <w:lang w:val="en-US"/>
        </w:rPr>
        <w:t>Emergency Physician,</w:t>
      </w:r>
    </w:p>
    <w:p w14:paraId="5307C63B" w14:textId="77777777" w:rsidR="00587A83" w:rsidRPr="00E54DCB" w:rsidRDefault="00587A83" w:rsidP="00587A83">
      <w:pPr>
        <w:autoSpaceDE w:val="0"/>
        <w:autoSpaceDN w:val="0"/>
        <w:adjustRightInd w:val="0"/>
        <w:spacing w:after="0" w:line="480" w:lineRule="auto"/>
        <w:rPr>
          <w:rFonts w:cs="Times"/>
          <w:color w:val="000000"/>
          <w:sz w:val="22"/>
        </w:rPr>
      </w:pPr>
      <w:r w:rsidRPr="00E54DCB">
        <w:rPr>
          <w:rFonts w:cs="Times"/>
          <w:bCs/>
          <w:color w:val="000000"/>
          <w:sz w:val="22"/>
        </w:rPr>
        <w:t xml:space="preserve">Addresses: </w:t>
      </w:r>
      <w:r w:rsidRPr="00E54DCB">
        <w:rPr>
          <w:rFonts w:cs="Times"/>
          <w:sz w:val="22"/>
        </w:rPr>
        <w:t>Etablissement Aubois des Soins Immédiats</w:t>
      </w:r>
      <w:r w:rsidRPr="00E54DCB">
        <w:rPr>
          <w:rFonts w:cs="Times"/>
          <w:color w:val="000000"/>
          <w:sz w:val="22"/>
        </w:rPr>
        <w:t>, 4 Rue Chaim Soutine 10000 Troyes, F-10000, France; Phone: 003</w:t>
      </w:r>
      <w:r w:rsidRPr="00E54DCB">
        <w:rPr>
          <w:rFonts w:cs="Times"/>
          <w:sz w:val="22"/>
        </w:rPr>
        <w:t>3 3 25 49 49 49</w:t>
      </w:r>
      <w:r w:rsidRPr="00E54DCB">
        <w:rPr>
          <w:rFonts w:cs="Times"/>
          <w:color w:val="000000"/>
          <w:sz w:val="22"/>
        </w:rPr>
        <w:t xml:space="preserve"> / E-mail: </w:t>
      </w:r>
      <w:r w:rsidRPr="00E54DCB">
        <w:rPr>
          <w:rFonts w:cs="Times"/>
          <w:color w:val="2F5496" w:themeColor="accent1" w:themeShade="BF"/>
          <w:sz w:val="22"/>
        </w:rPr>
        <w:t>drsoliveau@gmail.com</w:t>
      </w:r>
    </w:p>
    <w:p w14:paraId="6C4C9441" w14:textId="77777777" w:rsidR="00587A83" w:rsidRPr="00E54DCB" w:rsidRDefault="00587A83" w:rsidP="00587A83">
      <w:pPr>
        <w:autoSpaceDE w:val="0"/>
        <w:autoSpaceDN w:val="0"/>
        <w:adjustRightInd w:val="0"/>
        <w:spacing w:after="0" w:line="480" w:lineRule="auto"/>
        <w:rPr>
          <w:rFonts w:cs="Times"/>
          <w:b/>
          <w:color w:val="000000" w:themeColor="text1"/>
          <w:sz w:val="22"/>
          <w:lang w:val="en-US"/>
        </w:rPr>
      </w:pPr>
      <w:r w:rsidRPr="00E54DCB">
        <w:rPr>
          <w:rFonts w:cs="Times"/>
          <w:b/>
          <w:color w:val="000000" w:themeColor="text1"/>
          <w:sz w:val="22"/>
          <w:lang w:val="en-US"/>
        </w:rPr>
        <w:t>Jan Chrusciel, MD, MPH</w:t>
      </w:r>
    </w:p>
    <w:p w14:paraId="50E0851D" w14:textId="77777777" w:rsidR="00587A83" w:rsidRPr="00E54DCB" w:rsidRDefault="00587A83" w:rsidP="00587A83">
      <w:pPr>
        <w:autoSpaceDE w:val="0"/>
        <w:autoSpaceDN w:val="0"/>
        <w:adjustRightInd w:val="0"/>
        <w:spacing w:after="0" w:line="480" w:lineRule="auto"/>
        <w:rPr>
          <w:rFonts w:cs="Times"/>
          <w:color w:val="000000"/>
          <w:sz w:val="22"/>
          <w:lang w:val="en-US"/>
        </w:rPr>
      </w:pPr>
      <w:r w:rsidRPr="00E54DCB">
        <w:rPr>
          <w:rFonts w:cs="Times"/>
          <w:color w:val="000000"/>
          <w:sz w:val="22"/>
          <w:lang w:val="en-US"/>
        </w:rPr>
        <w:t>Public Health Physician,</w:t>
      </w:r>
    </w:p>
    <w:p w14:paraId="505F7AFB" w14:textId="77777777" w:rsidR="00587A83" w:rsidRPr="00E54DCB" w:rsidRDefault="00587A83" w:rsidP="00587A83">
      <w:pPr>
        <w:autoSpaceDE w:val="0"/>
        <w:autoSpaceDN w:val="0"/>
        <w:adjustRightInd w:val="0"/>
        <w:spacing w:after="0" w:line="480" w:lineRule="auto"/>
        <w:rPr>
          <w:rFonts w:cs="Times"/>
          <w:color w:val="000000"/>
          <w:sz w:val="22"/>
          <w:lang w:val="en-US"/>
        </w:rPr>
      </w:pPr>
      <w:r w:rsidRPr="00E54DCB">
        <w:rPr>
          <w:rFonts w:cs="Times"/>
          <w:bCs/>
          <w:color w:val="000000"/>
          <w:sz w:val="22"/>
          <w:lang w:val="en-US"/>
        </w:rPr>
        <w:t xml:space="preserve">Addresses: </w:t>
      </w:r>
      <w:r w:rsidRPr="00E54DCB">
        <w:rPr>
          <w:rFonts w:cs="Times"/>
          <w:color w:val="000000"/>
          <w:sz w:val="22"/>
          <w:lang w:val="en-US"/>
        </w:rPr>
        <w:t xml:space="preserve">Centre Hospitalier de Troyes, </w:t>
      </w:r>
      <w:r w:rsidRPr="00E54DCB">
        <w:rPr>
          <w:rFonts w:eastAsia="Times New Roman" w:cs="Times"/>
          <w:sz w:val="22"/>
          <w:lang w:val="en-US" w:eastAsia="fr-FR"/>
        </w:rPr>
        <w:t>Health Services and Performance Research Lab</w:t>
      </w:r>
      <w:r w:rsidRPr="00E54DCB">
        <w:rPr>
          <w:rFonts w:cs="Times"/>
          <w:color w:val="000000"/>
          <w:sz w:val="22"/>
          <w:lang w:val="en-US"/>
        </w:rPr>
        <w:t>,</w:t>
      </w:r>
    </w:p>
    <w:p w14:paraId="79FDDA07" w14:textId="77777777" w:rsidR="00587A83" w:rsidRPr="00E54DCB" w:rsidRDefault="00587A83" w:rsidP="00587A83">
      <w:pPr>
        <w:autoSpaceDE w:val="0"/>
        <w:autoSpaceDN w:val="0"/>
        <w:adjustRightInd w:val="0"/>
        <w:spacing w:after="0" w:line="480" w:lineRule="auto"/>
        <w:rPr>
          <w:rFonts w:cs="Times"/>
          <w:color w:val="000000"/>
          <w:sz w:val="22"/>
        </w:rPr>
      </w:pPr>
      <w:r w:rsidRPr="00E54DCB">
        <w:rPr>
          <w:rFonts w:cs="Times"/>
          <w:color w:val="000000"/>
          <w:sz w:val="22"/>
        </w:rPr>
        <w:t>101 Av Anatole France 10000 Troyes, F-10000, France; Phone: 0033 3 25 49 48 01 / E-mail:</w:t>
      </w:r>
    </w:p>
    <w:p w14:paraId="1AA23F7F" w14:textId="77777777" w:rsidR="00587A83" w:rsidRPr="00E54DCB" w:rsidRDefault="00587A83" w:rsidP="00587A83">
      <w:pPr>
        <w:autoSpaceDE w:val="0"/>
        <w:autoSpaceDN w:val="0"/>
        <w:adjustRightInd w:val="0"/>
        <w:spacing w:after="0" w:line="480" w:lineRule="auto"/>
        <w:rPr>
          <w:rFonts w:cs="Times"/>
          <w:color w:val="0563C2"/>
          <w:sz w:val="22"/>
        </w:rPr>
      </w:pPr>
      <w:r w:rsidRPr="00E54DCB">
        <w:rPr>
          <w:rFonts w:cs="Times"/>
          <w:color w:val="0563C2"/>
          <w:sz w:val="22"/>
        </w:rPr>
        <w:t>jan.chrusciel@ch-troyes.fr</w:t>
      </w:r>
    </w:p>
    <w:p w14:paraId="5D6AB5D7" w14:textId="77777777" w:rsidR="00587A83" w:rsidRPr="007153D3" w:rsidRDefault="00587A83" w:rsidP="00587A83">
      <w:pPr>
        <w:autoSpaceDE w:val="0"/>
        <w:autoSpaceDN w:val="0"/>
        <w:adjustRightInd w:val="0"/>
        <w:spacing w:after="0" w:line="480" w:lineRule="auto"/>
        <w:rPr>
          <w:rFonts w:cs="Times"/>
          <w:b/>
          <w:color w:val="000000" w:themeColor="text1"/>
          <w:sz w:val="22"/>
        </w:rPr>
      </w:pPr>
      <w:r w:rsidRPr="007153D3">
        <w:rPr>
          <w:rFonts w:cs="Times"/>
          <w:b/>
          <w:color w:val="000000" w:themeColor="text1"/>
          <w:sz w:val="22"/>
        </w:rPr>
        <w:t>Antoine Duclos, MD, PhD,</w:t>
      </w:r>
    </w:p>
    <w:p w14:paraId="61CED69D" w14:textId="77777777" w:rsidR="00587A83" w:rsidRPr="007153D3" w:rsidRDefault="00587A83" w:rsidP="00587A83">
      <w:pPr>
        <w:autoSpaceDE w:val="0"/>
        <w:autoSpaceDN w:val="0"/>
        <w:adjustRightInd w:val="0"/>
        <w:spacing w:after="0" w:line="480" w:lineRule="auto"/>
        <w:rPr>
          <w:rFonts w:cs="Times"/>
          <w:color w:val="000000"/>
          <w:sz w:val="22"/>
        </w:rPr>
      </w:pPr>
      <w:r w:rsidRPr="007153D3">
        <w:rPr>
          <w:rFonts w:cs="Times"/>
          <w:color w:val="000000"/>
          <w:sz w:val="22"/>
        </w:rPr>
        <w:lastRenderedPageBreak/>
        <w:t>Public Health Physician, Professor,</w:t>
      </w:r>
    </w:p>
    <w:p w14:paraId="570C393F" w14:textId="77777777" w:rsidR="00587A83" w:rsidRPr="007153D3" w:rsidRDefault="00587A83" w:rsidP="00587A83">
      <w:pPr>
        <w:autoSpaceDE w:val="0"/>
        <w:autoSpaceDN w:val="0"/>
        <w:adjustRightInd w:val="0"/>
        <w:spacing w:after="0" w:line="480" w:lineRule="auto"/>
        <w:rPr>
          <w:rFonts w:cs="Times"/>
          <w:color w:val="000000"/>
          <w:sz w:val="22"/>
        </w:rPr>
      </w:pPr>
      <w:r w:rsidRPr="007153D3">
        <w:rPr>
          <w:rFonts w:cs="Times"/>
          <w:color w:val="000000"/>
          <w:sz w:val="22"/>
        </w:rPr>
        <w:t xml:space="preserve">Addresses : Hospices Civils de Lyon, </w:t>
      </w:r>
      <w:r w:rsidRPr="007153D3">
        <w:rPr>
          <w:rFonts w:cs="Times"/>
          <w:sz w:val="22"/>
        </w:rPr>
        <w:t xml:space="preserve">Health Data Department, 3 Quai des Célestins </w:t>
      </w:r>
      <w:r w:rsidRPr="007153D3">
        <w:rPr>
          <w:rStyle w:val="lrzxr"/>
          <w:rFonts w:cs="Times"/>
          <w:sz w:val="22"/>
        </w:rPr>
        <w:t>69002 Lyon, F-69002, France;</w:t>
      </w:r>
      <w:r w:rsidRPr="007153D3">
        <w:rPr>
          <w:rFonts w:cs="Times"/>
          <w:color w:val="000000"/>
          <w:sz w:val="22"/>
        </w:rPr>
        <w:t xml:space="preserve"> Phone: 0033 4 </w:t>
      </w:r>
      <w:r w:rsidRPr="007153D3">
        <w:rPr>
          <w:rFonts w:cs="Times"/>
          <w:sz w:val="22"/>
        </w:rPr>
        <w:t xml:space="preserve">72 11 57 71 </w:t>
      </w:r>
      <w:r w:rsidRPr="007153D3">
        <w:rPr>
          <w:rFonts w:cs="Times"/>
          <w:color w:val="000000"/>
          <w:sz w:val="22"/>
        </w:rPr>
        <w:t xml:space="preserve">/ E-mail: </w:t>
      </w:r>
      <w:r w:rsidRPr="007153D3">
        <w:rPr>
          <w:rFonts w:cs="Times"/>
          <w:color w:val="0563C2"/>
          <w:sz w:val="22"/>
        </w:rPr>
        <w:t>antoine.duclos@chu-lyon.fr</w:t>
      </w:r>
    </w:p>
    <w:p w14:paraId="0AFD1B87" w14:textId="77777777" w:rsidR="00587A83" w:rsidRPr="00E54DCB" w:rsidRDefault="00587A83" w:rsidP="00587A83">
      <w:pPr>
        <w:autoSpaceDE w:val="0"/>
        <w:autoSpaceDN w:val="0"/>
        <w:adjustRightInd w:val="0"/>
        <w:spacing w:after="0" w:line="480" w:lineRule="auto"/>
        <w:rPr>
          <w:rFonts w:cs="Times"/>
          <w:b/>
          <w:color w:val="000000" w:themeColor="text1"/>
          <w:sz w:val="22"/>
          <w:lang w:val="en-US"/>
        </w:rPr>
      </w:pPr>
      <w:r w:rsidRPr="00E54DCB">
        <w:rPr>
          <w:rFonts w:cs="Times"/>
          <w:b/>
          <w:color w:val="000000" w:themeColor="text1"/>
          <w:sz w:val="22"/>
          <w:lang w:val="en-US"/>
        </w:rPr>
        <w:t>David Laplanche, MD,</w:t>
      </w:r>
    </w:p>
    <w:p w14:paraId="2B15C444" w14:textId="77777777" w:rsidR="00587A83" w:rsidRPr="00E54DCB" w:rsidRDefault="00587A83" w:rsidP="00587A83">
      <w:pPr>
        <w:autoSpaceDE w:val="0"/>
        <w:autoSpaceDN w:val="0"/>
        <w:adjustRightInd w:val="0"/>
        <w:spacing w:after="0" w:line="480" w:lineRule="auto"/>
        <w:rPr>
          <w:rFonts w:cs="Times"/>
          <w:color w:val="000000"/>
          <w:sz w:val="22"/>
          <w:lang w:val="en-US"/>
        </w:rPr>
      </w:pPr>
      <w:r w:rsidRPr="00E54DCB">
        <w:rPr>
          <w:rFonts w:cs="Times"/>
          <w:color w:val="000000"/>
          <w:sz w:val="22"/>
          <w:lang w:val="en-US"/>
        </w:rPr>
        <w:t>Public Health Physician,</w:t>
      </w:r>
    </w:p>
    <w:p w14:paraId="7D171D58" w14:textId="77777777" w:rsidR="00587A83" w:rsidRPr="00E54DCB" w:rsidRDefault="00587A83" w:rsidP="00587A83">
      <w:pPr>
        <w:autoSpaceDE w:val="0"/>
        <w:autoSpaceDN w:val="0"/>
        <w:adjustRightInd w:val="0"/>
        <w:spacing w:after="0" w:line="480" w:lineRule="auto"/>
        <w:rPr>
          <w:rFonts w:cs="Times"/>
          <w:color w:val="000000"/>
          <w:sz w:val="22"/>
          <w:lang w:val="en-US"/>
        </w:rPr>
      </w:pPr>
      <w:r w:rsidRPr="00E54DCB">
        <w:rPr>
          <w:rFonts w:cs="Times"/>
          <w:bCs/>
          <w:color w:val="000000"/>
          <w:sz w:val="22"/>
          <w:lang w:val="en-US"/>
        </w:rPr>
        <w:t xml:space="preserve">Addresses: </w:t>
      </w:r>
      <w:r w:rsidRPr="00E54DCB">
        <w:rPr>
          <w:rFonts w:cs="Times"/>
          <w:color w:val="000000"/>
          <w:sz w:val="22"/>
          <w:lang w:val="en-US"/>
        </w:rPr>
        <w:t xml:space="preserve">Centre Hospitalier de Troyes, </w:t>
      </w:r>
      <w:r w:rsidRPr="00E54DCB">
        <w:rPr>
          <w:rFonts w:eastAsia="Times New Roman" w:cs="Times"/>
          <w:sz w:val="22"/>
          <w:lang w:val="en-US" w:eastAsia="fr-FR"/>
        </w:rPr>
        <w:t>Health Services and Performance Research Lab</w:t>
      </w:r>
      <w:r w:rsidRPr="00E54DCB">
        <w:rPr>
          <w:rFonts w:cs="Times"/>
          <w:color w:val="000000"/>
          <w:sz w:val="22"/>
          <w:lang w:val="en-US"/>
        </w:rPr>
        <w:t>,</w:t>
      </w:r>
    </w:p>
    <w:p w14:paraId="7ACDC575" w14:textId="77777777" w:rsidR="00587A83" w:rsidRPr="00E54DCB" w:rsidRDefault="00587A83" w:rsidP="00587A83">
      <w:pPr>
        <w:autoSpaceDE w:val="0"/>
        <w:autoSpaceDN w:val="0"/>
        <w:adjustRightInd w:val="0"/>
        <w:spacing w:after="0" w:line="480" w:lineRule="auto"/>
        <w:rPr>
          <w:rFonts w:cs="Times"/>
          <w:color w:val="000000"/>
          <w:sz w:val="22"/>
        </w:rPr>
      </w:pPr>
      <w:r w:rsidRPr="00E54DCB">
        <w:rPr>
          <w:rFonts w:cs="Times"/>
          <w:color w:val="000000"/>
          <w:sz w:val="22"/>
        </w:rPr>
        <w:t>101 Av Anatole France 10000 Troyes, F-10000, France; Phone: 0033 3 25 49 48 01 / E-mail:</w:t>
      </w:r>
    </w:p>
    <w:p w14:paraId="431D0986" w14:textId="77777777" w:rsidR="00587A83" w:rsidRPr="00E54DCB" w:rsidRDefault="00587A83" w:rsidP="00587A83">
      <w:pPr>
        <w:autoSpaceDE w:val="0"/>
        <w:autoSpaceDN w:val="0"/>
        <w:adjustRightInd w:val="0"/>
        <w:spacing w:after="0" w:line="480" w:lineRule="auto"/>
        <w:rPr>
          <w:rFonts w:cs="Times"/>
          <w:color w:val="0563C2"/>
          <w:sz w:val="22"/>
        </w:rPr>
      </w:pPr>
      <w:r w:rsidRPr="00E54DCB">
        <w:rPr>
          <w:rFonts w:cs="Times"/>
          <w:color w:val="0563C2"/>
          <w:sz w:val="22"/>
        </w:rPr>
        <w:t>david.laplanche@ch-troyes.fr</w:t>
      </w:r>
    </w:p>
    <w:p w14:paraId="4C03226F" w14:textId="77777777" w:rsidR="00587A83" w:rsidRPr="00E54DCB" w:rsidRDefault="00587A83" w:rsidP="00587A83">
      <w:pPr>
        <w:autoSpaceDE w:val="0"/>
        <w:autoSpaceDN w:val="0"/>
        <w:adjustRightInd w:val="0"/>
        <w:spacing w:after="0" w:line="480" w:lineRule="auto"/>
        <w:rPr>
          <w:rFonts w:cs="Times"/>
          <w:b/>
          <w:bCs/>
          <w:color w:val="000000"/>
          <w:sz w:val="22"/>
        </w:rPr>
      </w:pPr>
      <w:r w:rsidRPr="00E54DCB">
        <w:rPr>
          <w:rFonts w:cs="Times"/>
          <w:b/>
          <w:bCs/>
          <w:color w:val="000000"/>
          <w:sz w:val="22"/>
        </w:rPr>
        <w:t>Stéphane Sanchez, MD, MPH</w:t>
      </w:r>
    </w:p>
    <w:p w14:paraId="2F4CE47A" w14:textId="77777777" w:rsidR="00587A83" w:rsidRPr="00E54DCB" w:rsidRDefault="00587A83" w:rsidP="00587A83">
      <w:pPr>
        <w:autoSpaceDE w:val="0"/>
        <w:autoSpaceDN w:val="0"/>
        <w:adjustRightInd w:val="0"/>
        <w:spacing w:after="0" w:line="480" w:lineRule="auto"/>
        <w:rPr>
          <w:rFonts w:cs="Times"/>
          <w:color w:val="000000"/>
          <w:sz w:val="22"/>
          <w:lang w:val="en-US"/>
        </w:rPr>
      </w:pPr>
      <w:r w:rsidRPr="00E54DCB">
        <w:rPr>
          <w:rFonts w:cs="Times"/>
          <w:color w:val="000000"/>
          <w:sz w:val="22"/>
          <w:lang w:val="en-US"/>
        </w:rPr>
        <w:t>Public Health Physician,</w:t>
      </w:r>
    </w:p>
    <w:p w14:paraId="33E5E23B" w14:textId="77777777" w:rsidR="00587A83" w:rsidRPr="00E54DCB" w:rsidRDefault="00587A83" w:rsidP="00587A83">
      <w:pPr>
        <w:autoSpaceDE w:val="0"/>
        <w:autoSpaceDN w:val="0"/>
        <w:adjustRightInd w:val="0"/>
        <w:spacing w:after="0" w:line="480" w:lineRule="auto"/>
        <w:rPr>
          <w:rFonts w:cs="Times"/>
          <w:color w:val="000000"/>
          <w:sz w:val="22"/>
          <w:lang w:val="en-US"/>
        </w:rPr>
      </w:pPr>
      <w:r w:rsidRPr="00E54DCB">
        <w:rPr>
          <w:rFonts w:cs="Times"/>
          <w:color w:val="000000"/>
          <w:sz w:val="22"/>
          <w:lang w:val="en-US"/>
        </w:rPr>
        <w:t xml:space="preserve">Address: Centre Hospitalier de Troyes, </w:t>
      </w:r>
      <w:r w:rsidRPr="00E54DCB">
        <w:rPr>
          <w:rFonts w:eastAsia="Times New Roman" w:cs="Times"/>
          <w:sz w:val="22"/>
          <w:lang w:val="en-US" w:eastAsia="fr-FR"/>
        </w:rPr>
        <w:t>Health Services and Performance Research Lab</w:t>
      </w:r>
      <w:r w:rsidRPr="00E54DCB">
        <w:rPr>
          <w:rFonts w:cs="Times"/>
          <w:color w:val="000000"/>
          <w:sz w:val="22"/>
          <w:lang w:val="en-US"/>
        </w:rPr>
        <w:t>,</w:t>
      </w:r>
    </w:p>
    <w:p w14:paraId="1524B6F8" w14:textId="77777777" w:rsidR="00587A83" w:rsidRPr="00E54DCB" w:rsidRDefault="00587A83" w:rsidP="00587A83">
      <w:pPr>
        <w:autoSpaceDE w:val="0"/>
        <w:autoSpaceDN w:val="0"/>
        <w:adjustRightInd w:val="0"/>
        <w:spacing w:after="0" w:line="480" w:lineRule="auto"/>
        <w:rPr>
          <w:rFonts w:cs="Times"/>
          <w:color w:val="000000"/>
          <w:sz w:val="22"/>
        </w:rPr>
      </w:pPr>
      <w:r w:rsidRPr="00E54DCB">
        <w:rPr>
          <w:rFonts w:cs="Times"/>
          <w:color w:val="000000"/>
          <w:sz w:val="22"/>
        </w:rPr>
        <w:t>101 Av Anatole France 10000 Troyes, F-10000, France; Phone: 0033 3 25 49 48 01 / E-mail:</w:t>
      </w:r>
    </w:p>
    <w:p w14:paraId="3C8C1126" w14:textId="77777777" w:rsidR="00587A83" w:rsidRPr="00712578" w:rsidRDefault="00587A83" w:rsidP="00587A83">
      <w:pPr>
        <w:autoSpaceDE w:val="0"/>
        <w:autoSpaceDN w:val="0"/>
        <w:adjustRightInd w:val="0"/>
        <w:spacing w:after="0" w:line="480" w:lineRule="auto"/>
        <w:rPr>
          <w:rFonts w:cs="Times"/>
          <w:color w:val="0563C2"/>
          <w:sz w:val="22"/>
          <w:lang w:val="en-US"/>
        </w:rPr>
      </w:pPr>
      <w:r w:rsidRPr="00712578">
        <w:rPr>
          <w:rFonts w:cs="Times"/>
          <w:color w:val="0563C2"/>
          <w:sz w:val="22"/>
          <w:lang w:val="en-US"/>
        </w:rPr>
        <w:t>stephane.sanchez@ch-troyes.fr</w:t>
      </w:r>
    </w:p>
    <w:bookmarkEnd w:id="0"/>
    <w:p w14:paraId="52148348" w14:textId="77777777" w:rsidR="00AA5418" w:rsidRDefault="00AA5418" w:rsidP="00D933C7">
      <w:pPr>
        <w:spacing w:line="480" w:lineRule="auto"/>
        <w:rPr>
          <w:rFonts w:cs="Times"/>
          <w:b/>
          <w:bCs/>
          <w:sz w:val="22"/>
          <w:lang w:val="en-US"/>
        </w:rPr>
      </w:pPr>
    </w:p>
    <w:p w14:paraId="1BD606B8" w14:textId="77777777" w:rsidR="00AA5418" w:rsidRDefault="00AA5418" w:rsidP="00D933C7">
      <w:pPr>
        <w:spacing w:line="480" w:lineRule="auto"/>
        <w:rPr>
          <w:rFonts w:cs="Times"/>
          <w:b/>
          <w:bCs/>
          <w:sz w:val="22"/>
          <w:lang w:val="en-US"/>
        </w:rPr>
      </w:pPr>
    </w:p>
    <w:p w14:paraId="10A4CD97" w14:textId="77777777" w:rsidR="00AA5418" w:rsidRDefault="00AA5418" w:rsidP="00D933C7">
      <w:pPr>
        <w:spacing w:line="480" w:lineRule="auto"/>
        <w:rPr>
          <w:rFonts w:cs="Times"/>
          <w:b/>
          <w:bCs/>
          <w:sz w:val="22"/>
          <w:lang w:val="en-US"/>
        </w:rPr>
      </w:pPr>
    </w:p>
    <w:p w14:paraId="64FAF11E" w14:textId="77777777" w:rsidR="00AA5418" w:rsidRDefault="00AA5418" w:rsidP="00D933C7">
      <w:pPr>
        <w:spacing w:line="480" w:lineRule="auto"/>
        <w:rPr>
          <w:rFonts w:cs="Times"/>
          <w:b/>
          <w:bCs/>
          <w:sz w:val="22"/>
          <w:lang w:val="en-US"/>
        </w:rPr>
      </w:pPr>
    </w:p>
    <w:p w14:paraId="56CDBDAC" w14:textId="77777777" w:rsidR="00AA5418" w:rsidRDefault="00AA5418" w:rsidP="00D933C7">
      <w:pPr>
        <w:spacing w:line="480" w:lineRule="auto"/>
        <w:rPr>
          <w:rFonts w:cs="Times"/>
          <w:b/>
          <w:bCs/>
          <w:sz w:val="22"/>
          <w:lang w:val="en-US"/>
        </w:rPr>
      </w:pPr>
    </w:p>
    <w:p w14:paraId="68DEE750" w14:textId="77777777" w:rsidR="00AA5418" w:rsidRDefault="00AA5418" w:rsidP="00D933C7">
      <w:pPr>
        <w:spacing w:line="480" w:lineRule="auto"/>
        <w:rPr>
          <w:rFonts w:cs="Times"/>
          <w:b/>
          <w:bCs/>
          <w:sz w:val="22"/>
          <w:lang w:val="en-US"/>
        </w:rPr>
      </w:pPr>
    </w:p>
    <w:p w14:paraId="44FCD9DC" w14:textId="77777777" w:rsidR="00AA5418" w:rsidRDefault="00AA5418" w:rsidP="00D933C7">
      <w:pPr>
        <w:spacing w:line="480" w:lineRule="auto"/>
        <w:rPr>
          <w:rFonts w:cs="Times"/>
          <w:b/>
          <w:bCs/>
          <w:sz w:val="22"/>
          <w:lang w:val="en-US"/>
        </w:rPr>
      </w:pPr>
    </w:p>
    <w:p w14:paraId="55DD4BD0" w14:textId="77777777" w:rsidR="00AA5418" w:rsidRDefault="00AA5418" w:rsidP="00D933C7">
      <w:pPr>
        <w:spacing w:line="480" w:lineRule="auto"/>
        <w:rPr>
          <w:rFonts w:cs="Times"/>
          <w:b/>
          <w:bCs/>
          <w:sz w:val="22"/>
          <w:lang w:val="en-US"/>
        </w:rPr>
      </w:pPr>
    </w:p>
    <w:p w14:paraId="769B8C5D" w14:textId="77777777" w:rsidR="00AA5418" w:rsidRDefault="00AA5418" w:rsidP="00D933C7">
      <w:pPr>
        <w:spacing w:line="480" w:lineRule="auto"/>
        <w:rPr>
          <w:rFonts w:cs="Times"/>
          <w:b/>
          <w:bCs/>
          <w:sz w:val="22"/>
          <w:lang w:val="en-US"/>
        </w:rPr>
      </w:pPr>
    </w:p>
    <w:p w14:paraId="19C6DAFE" w14:textId="77777777" w:rsidR="00AA5418" w:rsidRDefault="00AA5418" w:rsidP="00D933C7">
      <w:pPr>
        <w:spacing w:line="480" w:lineRule="auto"/>
        <w:rPr>
          <w:rFonts w:cs="Times"/>
          <w:b/>
          <w:bCs/>
          <w:sz w:val="22"/>
          <w:lang w:val="en-US"/>
        </w:rPr>
      </w:pPr>
    </w:p>
    <w:p w14:paraId="1AEE4BB5" w14:textId="77777777" w:rsidR="00AA5418" w:rsidRDefault="00AA5418" w:rsidP="00D933C7">
      <w:pPr>
        <w:spacing w:line="480" w:lineRule="auto"/>
        <w:rPr>
          <w:rFonts w:cs="Times"/>
          <w:b/>
          <w:bCs/>
          <w:sz w:val="22"/>
          <w:lang w:val="en-US"/>
        </w:rPr>
      </w:pPr>
    </w:p>
    <w:p w14:paraId="1B11F682" w14:textId="2410287F" w:rsidR="00E34EA0" w:rsidRPr="00AA5418" w:rsidRDefault="00AA5418" w:rsidP="00D933C7">
      <w:pPr>
        <w:spacing w:line="480" w:lineRule="auto"/>
        <w:rPr>
          <w:rFonts w:cs="Times"/>
          <w:b/>
          <w:bCs/>
          <w:sz w:val="22"/>
          <w:lang w:val="en-US"/>
        </w:rPr>
      </w:pPr>
      <w:r>
        <w:rPr>
          <w:rFonts w:ascii="Times New Roman" w:hAnsi="Times New Roman"/>
          <w:b/>
          <w:bCs/>
          <w:sz w:val="22"/>
          <w:lang w:val="en-US"/>
        </w:rPr>
        <w:lastRenderedPageBreak/>
        <w:t>Supplementary</w:t>
      </w:r>
      <w:r w:rsidR="007153D3" w:rsidRPr="00712578">
        <w:rPr>
          <w:rFonts w:ascii="Times New Roman" w:hAnsi="Times New Roman"/>
          <w:b/>
          <w:bCs/>
          <w:sz w:val="22"/>
          <w:lang w:val="en-US"/>
        </w:rPr>
        <w:t xml:space="preserve"> Methods</w:t>
      </w:r>
      <w:r>
        <w:rPr>
          <w:rFonts w:ascii="Times New Roman" w:hAnsi="Times New Roman"/>
          <w:b/>
          <w:bCs/>
          <w:sz w:val="22"/>
          <w:lang w:val="en-US"/>
        </w:rPr>
        <w:t xml:space="preserve"> S1</w:t>
      </w:r>
    </w:p>
    <w:p w14:paraId="77A9687C" w14:textId="67EE7E96" w:rsidR="007153D3" w:rsidRPr="00712578" w:rsidRDefault="007153D3" w:rsidP="00D933C7">
      <w:pPr>
        <w:spacing w:line="480" w:lineRule="auto"/>
        <w:rPr>
          <w:rFonts w:ascii="Times New Roman" w:hAnsi="Times New Roman"/>
          <w:b/>
          <w:bCs/>
          <w:sz w:val="22"/>
          <w:lang w:val="en-US"/>
        </w:rPr>
      </w:pPr>
      <w:r w:rsidRPr="00712578">
        <w:rPr>
          <w:rFonts w:ascii="Times New Roman" w:hAnsi="Times New Roman"/>
          <w:b/>
          <w:bCs/>
          <w:sz w:val="22"/>
          <w:lang w:val="en-US"/>
        </w:rPr>
        <w:t>Multimorbidity clustering</w:t>
      </w:r>
    </w:p>
    <w:p w14:paraId="2CEB4FFD" w14:textId="46C2FB71" w:rsidR="00A3629B" w:rsidRDefault="00A3629B" w:rsidP="00D933C7">
      <w:pPr>
        <w:spacing w:line="480" w:lineRule="auto"/>
        <w:rPr>
          <w:rFonts w:ascii="Times New Roman" w:hAnsi="Times New Roman"/>
          <w:sz w:val="22"/>
          <w:lang w:val="en-IE"/>
        </w:rPr>
      </w:pPr>
      <w:r w:rsidRPr="00555462">
        <w:rPr>
          <w:rFonts w:ascii="Times New Roman" w:hAnsi="Times New Roman"/>
          <w:sz w:val="22"/>
          <w:lang w:val="en-IE"/>
        </w:rPr>
        <w:t xml:space="preserve">The literature on multimorbidity patterns, reviewed in 2014 by Padros-Torres et al. </w:t>
      </w:r>
      <w:r w:rsidRPr="00555462">
        <w:rPr>
          <w:rFonts w:ascii="Times New Roman" w:hAnsi="Times New Roman"/>
          <w:sz w:val="22"/>
          <w:lang w:val="en-IE"/>
        </w:rPr>
        <w:fldChar w:fldCharType="begin" w:fldLock="1"/>
      </w:r>
      <w:r w:rsidR="00712578">
        <w:rPr>
          <w:rFonts w:ascii="Times New Roman" w:hAnsi="Times New Roman"/>
          <w:sz w:val="22"/>
          <w:lang w:val="en-IE"/>
        </w:rPr>
        <w:instrText>ADDIN CSL_CITATION {"citationItems":[{"id":"ITEM-1","itemData":{"DOI":"10.1016/j.jclinepi.2013.09.021","ISSN":"08954356","abstract":"Objectives The aim of this review was to identify studies on patterns of associative multimorbidity, defined as the nonrandom association between diseases, focusing on the main methodological features of the studies and the similarities among the detected patterns. Study Design and Setting Studies were identified through MEDLINE and EMBASE electronic database searches from their inception to June 2012 and bibliographies. Results The final 14 articles exhibited methodological heterogeneity in terms of the sample size, age and recruitment of study participants, the data source, the number of baseline diseases considered, and the statistical procedure used. A total of 97 patterns composed of two or more diseases were identified. Among these, 63 patterns were composed of three or more diseases. Despite the methodological variability among studies, this review demonstrated relevant similarities for three groups of patterns. The first one comprised a combination of cardiovascular and metabolic diseases, the second one was related with mental health problems, and the third one with musculoskeletal disorders. Conclusion The existence of associations beyond chance among the different diseases that comprise these patterns should be considered with the aim of directing future lines of research that measure their intensity, clarify their nature, and highlight the possible causal underlying mechanisms. © 2014 Elsevier Inc. All rights reserved.","author":[{"dropping-particle":"","family":"Prados-Torres","given":"Alexandra","non-dropping-particle":"","parse-names":false,"suffix":""},{"dropping-particle":"","family":"Calderón-Larrañaga","given":"Amaia","non-dropping-particle":"","parse-names":false,"suffix":""},{"dropping-particle":"","family":"Hancco-Saavedra","given":"Jorge","non-dropping-particle":"","parse-names":false,"suffix":""},{"dropping-particle":"","family":"Poblador-Plou","given":"Beatriz","non-dropping-particle":"","parse-names":false,"suffix":""},{"dropping-particle":"","family":"Akker","given":"Marjan","non-dropping-particle":"Van Den","parse-names":false,"suffix":""}],"container-title":"Journal of Clinical Epidemiology","id":"ITEM-1","issued":{"date-parts":[["2014"]]},"title":"Multimorbidity patterns: A systematic review","type":"article"},"uris":["http://www.mendeley.com/documents/?uuid=954f9400-91d8-43d5-b6fe-6dbf06868c2e"]}],"mendeley":{"formattedCitation":"&lt;sup&gt;1&lt;/sup&gt;","plainTextFormattedCitation":"1","previouslyFormattedCitation":"&lt;sup&gt;1&lt;/sup&gt;"},"properties":{"noteIndex":0},"schema":"https://github.com/citation-style-language/schema/raw/master/csl-citation.json"}</w:instrText>
      </w:r>
      <w:r w:rsidRPr="00555462">
        <w:rPr>
          <w:rFonts w:ascii="Times New Roman" w:hAnsi="Times New Roman"/>
          <w:sz w:val="22"/>
          <w:lang w:val="en-IE"/>
        </w:rPr>
        <w:fldChar w:fldCharType="separate"/>
      </w:r>
      <w:r w:rsidR="007153D3" w:rsidRPr="007153D3">
        <w:rPr>
          <w:rFonts w:ascii="Times New Roman" w:hAnsi="Times New Roman"/>
          <w:noProof/>
          <w:sz w:val="22"/>
          <w:vertAlign w:val="superscript"/>
          <w:lang w:val="en-IE"/>
        </w:rPr>
        <w:t>1</w:t>
      </w:r>
      <w:r w:rsidRPr="00555462">
        <w:rPr>
          <w:rFonts w:ascii="Times New Roman" w:hAnsi="Times New Roman"/>
          <w:sz w:val="22"/>
          <w:lang w:val="en-IE"/>
        </w:rPr>
        <w:fldChar w:fldCharType="end"/>
      </w:r>
      <w:r w:rsidRPr="00555462">
        <w:rPr>
          <w:rFonts w:ascii="Times New Roman" w:hAnsi="Times New Roman"/>
          <w:sz w:val="22"/>
          <w:lang w:val="en-IE"/>
        </w:rPr>
        <w:t xml:space="preserve">, is mainly focused on disease analysis, using factor analysis to discover underlying common factors of diseases </w:t>
      </w:r>
      <w:r w:rsidRPr="00555462">
        <w:rPr>
          <w:rFonts w:ascii="Times New Roman" w:hAnsi="Times New Roman"/>
          <w:sz w:val="22"/>
          <w:lang w:val="en-IE"/>
        </w:rPr>
        <w:fldChar w:fldCharType="begin" w:fldLock="1"/>
      </w:r>
      <w:r w:rsidR="00712578">
        <w:rPr>
          <w:rFonts w:ascii="Times New Roman" w:hAnsi="Times New Roman"/>
          <w:sz w:val="22"/>
          <w:lang w:val="en-IE"/>
        </w:rPr>
        <w:instrText>ADDIN CSL_CITATION {"citationItems":[{"id":"ITEM-1","itemData":{"DOI":"10.1371/journal.pone.0032190","ISSN":"19326203","abstract":"Objectives: The primary objective of this study was to identify the existence of chronic disease multimorbidity patterns in the primary care population, describing their clinical components and analysing how these patterns change and evolve over time both in women and men. The secondary objective of this study was to generate evidence regarding the pathophysiological processes underlying multimorbidity and to understand the interactions and synergies among the various diseases. Methods: This observational, retrospective, multicentre study utilised information from the electronic medical records of 19 primary care centres from 2008. To identify multimorbidity patterns, an exploratory factor analysis was carried out based on the tetra-choric correlations between the diagnostic information of 275,682 patients who were over 14 years of age. The analysis was stratified by age group and sex. Results: Multimorbidity was found in all age groups, and its prevalence ranged from 13% in the 15 to 44 year age group to 67% in those 65 years of age or older. Goodness-of-fit indicators revealed sample values between 0.50 and 0.71. We identified five patterns of multimorbidity: cardio-metabolic, psychiatric-substance abuse, mechanical-obesity-thyroidal, psychogeriatric and depressive. Some of these patterns were found to evolve with age, and there were differences between men and women. Conclusions: Non-random associations between chronic diseases result in clinically consistent multimorbidity patterns affecting a significant proportion of the population. Underlying pathophysiological phenomena were observed upon which action can be taken both from a clinical, individual-level perspective and from a public health or population-level perspective. © 2012 Prados-Torres et al. This is an open-access article distributed under the terms of the Creative Commons Attribution License, which permits unrestricted use, distribution, and reproduction in any medium, provided the original author and source are credited.","author":[{"dropping-particle":"","family":"Prados-Torres","given":"Alexandra","non-dropping-particle":"","parse-names":false,"suffix":""},{"dropping-particle":"","family":"Poblador-Plou","given":"Beatriz","non-dropping-particle":"","parse-names":false,"suffix":""},{"dropping-particle":"","family":"Calderón-Larrañaga","given":"Amaia","non-dropping-particle":"","parse-names":false,"suffix":""},{"dropping-particle":"","family":"Gimeno-Feliu","given":"Luis Andrés","non-dropping-particle":"","parse-names":false,"suffix":""},{"dropping-particle":"","family":"González-Rubio","given":"Francisca","non-dropping-particle":"","parse-names":false,"suffix":""},{"dropping-particle":"","family":"Poncel-Falcó","given":"Antonio","non-dropping-particle":"","parse-names":false,"suffix":""},{"dropping-particle":"","family":"Sicras-Mainar","given":"Antoni","non-dropping-particle":"","parse-names":false,"suffix":""},{"dropping-particle":"","family":"Alcalá-Nalvaiz","given":"José Tomás","non-dropping-particle":"","parse-names":false,"suffix":""}],"container-title":"PLoS ONE","id":"ITEM-1","issued":{"date-parts":[["2012"]]},"title":"Multimorbidity patterns in primary care: Interactions among chronic diseases using factor analysis","type":"article-journal"},"uris":["http://www.mendeley.com/documents/?uuid=d3d8425d-c249-469b-8a72-78d99c45a435"]},{"id":"ITEM-2","itemData":{"DOI":"10.1136/bmjopen-2019-033174","ISSN":"20446055","abstract":"Objectives To characterise the comorbidities of heart failure (HF) in men and women, to explore their clustering into multimorbidity patterns, and to measure the impact of such patterns on the risk of hospitalisation and mortality. Design Observational retrospective population study based on electronic health records. Setting EpiChron Cohort (Aragón, Spain). Participants All the primary and hospital care patients of the EpiChron Cohort with a diagnosis of HF on 1 January 2011 (ie, 8488 women and 6182 men). We analysed all the chronic diseases registered in patients' electronic health records until 31 December 2011. Primary outcome We performed an exploratory factor analysis to identify the multimorbidity patterns in men and women, and logistic and Cox proportional-hazards regressions to investigate the association between the patterns and the risk of hospitalisation in 2012, and of 3-year mortality. Results Almost all HF patients (98%) had multimorbidity, with an average of 7.8 chronic diseases per patient. We identified six different multimorbidity patterns, named cardiovascular, neurovascular, coronary, metabolic, degenerative and respiratory. The most prevalent were the degenerative (64.0%) and cardiovascular (29.9%) patterns in women, and the metabolic (49.3%) and cardiovascular (43.2%) patterns in men. Every pattern was associated with higher hospitalisation risks; and the cardiovascular, neurovascular and respiratory patterns significantly increased the likelihood of 3-year mortality. Conclusions Multimorbidity is the norm rather than the exception in patients with heart failure, whose comorbidities tend to cluster together beyond simple chance in the form of multimorbidity patterns that have different impact on health outcomes. This knowledge could be useful to better understand common pathophysiological pathways underlying this condition and its comorbidities, and the factors influencing the prognosis of men and women with HF. Further large scale longitudinal studies are encouraged to confirm the existence of these patterns as well as their differential impact on health outcomes.","author":[{"dropping-particle":"","family":"Gimeno-Miguel","given":"Antonio","non-dropping-particle":"","parse-names":false,"suffix":""},{"dropping-particle":"","family":"Gracia Gutiérrez","given":"Anyuli","non-dropping-particle":"","parse-names":false,"suffix":""},{"dropping-particle":"","family":"Poblador-Plou","given":"Beatriz","non-dropping-particle":"","parse-names":false,"suffix":""},{"dropping-particle":"","family":"Coscollar-Santaliestra","given":"Carlos","non-dropping-particle":"","parse-names":false,"suffix":""},{"dropping-particle":"","family":"Pérez-Calvo","given":"J. Ignacio","non-dropping-particle":"","parse-names":false,"suffix":""},{"dropping-particle":"","family":"Divo","given":"Miguel J.","non-dropping-particle":"","parse-names":false,"suffix":""},{"dropping-particle":"","family":"Calderón-Larrañaga","given":"Amaia","non-dropping-particle":"","parse-names":false,"suffix":""},{"dropping-particle":"","family":"Prados-Torres","given":"Alexandra","non-dropping-particle":"","parse-names":false,"suffix":""},{"dropping-particle":"","family":"Ruiz-Laiglesia","given":"Fernando J.","non-dropping-particle":"","parse-names":false,"suffix":""}],"container-title":"BMJ Open","id":"ITEM-2","issued":{"date-parts":[["2019"]]},"title":"Multimorbidity patterns in patients with heart failure: An observational Spanish study based on electronic health records","type":"article-journal"},"uris":["http://www.mendeley.com/documents/?uuid=1632381e-b700-4945-9c1d-65e9c058d8e9"]}],"mendeley":{"formattedCitation":"&lt;sup&gt;2,3&lt;/sup&gt;","plainTextFormattedCitation":"2,3","previouslyFormattedCitation":"&lt;sup&gt;2,3&lt;/sup&gt;"},"properties":{"noteIndex":0},"schema":"https://github.com/citation-style-language/schema/raw/master/csl-citation.json"}</w:instrText>
      </w:r>
      <w:r w:rsidRPr="00555462">
        <w:rPr>
          <w:rFonts w:ascii="Times New Roman" w:hAnsi="Times New Roman"/>
          <w:sz w:val="22"/>
          <w:lang w:val="en-IE"/>
        </w:rPr>
        <w:fldChar w:fldCharType="separate"/>
      </w:r>
      <w:r w:rsidR="007153D3" w:rsidRPr="007153D3">
        <w:rPr>
          <w:rFonts w:ascii="Times New Roman" w:hAnsi="Times New Roman"/>
          <w:noProof/>
          <w:sz w:val="22"/>
          <w:vertAlign w:val="superscript"/>
          <w:lang w:val="en-IE"/>
        </w:rPr>
        <w:t>2,3</w:t>
      </w:r>
      <w:r w:rsidRPr="00555462">
        <w:rPr>
          <w:rFonts w:ascii="Times New Roman" w:hAnsi="Times New Roman"/>
          <w:sz w:val="22"/>
          <w:lang w:val="en-IE"/>
        </w:rPr>
        <w:fldChar w:fldCharType="end"/>
      </w:r>
      <w:r w:rsidRPr="00555462">
        <w:rPr>
          <w:rFonts w:ascii="Times New Roman" w:hAnsi="Times New Roman"/>
          <w:sz w:val="22"/>
          <w:lang w:val="en-IE"/>
        </w:rPr>
        <w:t xml:space="preserve">, clustering analysis to regroup diseases in clusters </w:t>
      </w:r>
      <w:r w:rsidRPr="00555462">
        <w:rPr>
          <w:rFonts w:ascii="Times New Roman" w:hAnsi="Times New Roman"/>
          <w:sz w:val="22"/>
          <w:lang w:val="en-IE"/>
        </w:rPr>
        <w:fldChar w:fldCharType="begin" w:fldLock="1"/>
      </w:r>
      <w:r w:rsidR="00712578">
        <w:rPr>
          <w:rFonts w:ascii="Times New Roman" w:hAnsi="Times New Roman"/>
          <w:sz w:val="22"/>
          <w:lang w:val="en-IE"/>
        </w:rPr>
        <w:instrText>ADDIN CSL_CITATION {"citationItems":[{"id":"ITEM-1","itemData":{"DOI":"10.22329/amr.v12i3.658","ISSN":"1918-1108","abstract":"Our purpose in this article is to describe and illustrate the application of cluster analysis to identify clinically relevant multimorbidity groups. Multimorbidity is the co-occurrence of 2 or more illnesses within a single person, which raises the question whether consistent, clinically useful multimorbidity groups exist among sets of chronic illnesses. Our purpose in this article is to describe and illustrate the application of cluster analysis to identify clinically relevant multimorbidity groups. Application of cluster analysis involves a sequence of critical methodological and analytic decisions that influence the quality and meaning of the clusters produced. We illustrate the application of cluster analysis to identify multimorbidity clusters in a set of 45 chronic illnesses in primary care patients (N = 1,327,328), with 2 or more chronic conditions, served by the Veterans Health Administration. Six clinically useful multimorbidity clusters were identified: a Metabolic Cluster, an Obesity Cluster, a Liver Cluster, a Neurovascular Cluster, a Stress Cluster and a Dual Diagnosis Cluster. Cluster analysis appears to be a useful technique for identifying multiple disease clusters and patterns of multimorbidity.","author":[{"dropping-particle":"","family":"Cornell","given":"John E.","non-dropping-particle":"","parse-names":false,"suffix":""},{"dropping-particle":"","family":"Pugh","given":"Jacqueline A.","non-dropping-particle":"","parse-names":false,"suffix":""},{"dropping-particle":"","family":"Williams, Jr","given":"John W.","non-dropping-particle":"","parse-names":false,"suffix":""},{"dropping-particle":"","family":"Kazis","given":"Lewis","non-dropping-particle":"","parse-names":false,"suffix":""},{"dropping-particle":"","family":"Lee","given":"Austin F.S.","non-dropping-particle":"","parse-names":false,"suffix":""},{"dropping-particle":"","family":"Parchman","given":"Michael L.","non-dropping-particle":"","parse-names":false,"suffix":""},{"dropping-particle":"","family":"Zeber","given":"John","non-dropping-particle":"","parse-names":false,"suffix":""},{"dropping-particle":"","family":"Pederson","given":"Thomas","non-dropping-particle":"","parse-names":false,"suffix":""},{"dropping-particle":"","family":"Montgomery","given":"Kelly A.","non-dropping-particle":"","parse-names":false,"suffix":""},{"dropping-particle":"","family":"Hitchcock Noël","given":"Polly","non-dropping-particle":"","parse-names":false,"suffix":""}],"container-title":"Applied Multivariate Research","id":"ITEM-1","issue":"3","issued":{"date-parts":[["2009","1","13"]]},"page":"163","publisher":"University of Windsor Leddy Library","title":"Multimorbidity Clusters: Clustering Binary Data From Multimorbidity Clusters: Clustering Binary Data From a Large Administrative Medical Database","type":"article-journal","volume":"12"},"uris":["http://www.mendeley.com/documents/?uuid=6ab8fb74-783f-315d-9e0b-2e4168bc47f1"]},{"id":"ITEM-2","itemData":{"DOI":"10.1186/s12875-018-0790-x","ISSN":"14712296","abstract":"Background: The purpose of this study was to ascertain multimorbidity patterns using a non-hierarchical cluster analysis in adult primary patients with multimorbidity attended in primary care centers in Catalonia. Methods: Cross-sectional study using electronic health records from 523,656 patients, aged 45-64 years in 274 primary health care teams in 2010 in Catalonia, Spain. Data were provided by the Information System for the Development of Research in Primary Care (SIDIAP), a population database. Diagnoses were extracted using 241 blocks of diseases (International Classification of Diseases, version 10). Multimorbidity patterns were identified using two steps: 1) multiple correspondence analysis and 2) k-means clustering. Analysis was stratified by sex. Results: The 408,994 patients who met multimorbidity criteria were included in the analysis (mean age, 54.2 years [Standard deviation, SD: 5.8], 53.3% women). Six multimorbidity patterns were obtained for each sex; the three most prevalent included 68% of the women and 66% of the men, respectively. The top cluster included coincident diseases in both men and women: Metabolic disorders, Hypertensive diseases, Mental and behavioural disorders due to psychoactive substance use, Other dorsopathies, and Other soft tissue disorders. Conclusion: Non-hierarchical cluster analysis identified multimorbidity patterns consistent with clinical practice, identifying phenotypic subgroups of patients.","author":[{"dropping-particle":"","family":"Violán","given":"Concepción","non-dropping-particle":"","parse-names":false,"suffix":""},{"dropping-particle":"","family":"Roso-Llorach","given":"Albert","non-dropping-particle":"","parse-names":false,"suffix":""},{"dropping-particle":"","family":"Foguet-Boreu","given":"Quintí","non-dropping-particle":"","parse-names":false,"suffix":""},{"dropping-particle":"","family":"Guisado-Clavero","given":"Marina","non-dropping-particle":"","parse-names":false,"suffix":""},{"dropping-particle":"","family":"Pons-Vigués","given":"Mariona","non-dropping-particle":"","parse-names":false,"suffix":""},{"dropping-particle":"","family":"Pujol-Ribera","given":"Enriqueta","non-dropping-particle":"","parse-names":false,"suffix":""},{"dropping-particle":"","family":"Valderas","given":"Jose M.","non-dropping-particle":"","parse-names":false,"suffix":""}],"container-title":"BMC Family Practice","id":"ITEM-2","issued":{"date-parts":[["2018"]]},"title":"Multimorbidity patterns with K-means nonhierarchical cluster analysis","type":"article-journal"},"uris":["http://www.mendeley.com/documents/?uuid=c780367f-d72a-4df2-947d-3cc14841dd22"]},{"id":"ITEM-3","itemData":{"DOI":"10.1038/s41598-020-59668-y","ISSN":"2045-2322","abstract":"The prevalence of non-communicable diseases is increasing worldwide. Multimorbidity and long-term medical conditions is common among these patients. This study aimed to investigate the patterns of non-communicable disease multimorbidity and their risk factors at the individual and aggregated level. Data was inquired from the nationwide survey performed in 2011, according to the WHO stepwise approach on NCD risk factors. A latent class analysis on multimorbidity components (11 chronic diseases) was performed and the association of some individual and aggregated risk factors (urbanization) with the latent subclasses was accessed using multilevel multinomial logistic regression. Latent class analysis revealed four distinct subclasses of multimorbidity among the Iranian population (10069 participants). Musculoskeletal diseases and asthma classes were seen in both genders. In males, the odds of membership in the diabetes class was 41% less by increasing physical activity; but with increased BMI, the odds of membership in the diabetes class was 1.90 times higher. Tobacco smoking increased the odds of membership in the musculoskeletal diseases class, 1.37 and 2.30 times for males and females, respectively. Increased BMI and low education increased the chances of females’ membership in all subclasses of multimorbidity. At the province level, with increase in urbanization, the odds of membership in the diabetes class was 1.28 times higher among males (P = 0.027). Increased age, higher BMI, tobacco smoking and low education are the most important risk factors associated with NCD multimorbidity among Iranians. Interventions and policies should be implemented to control these risk factors.","author":[{"dropping-particle":"","family":"Khorrami","given":"Zahra","non-dropping-particle":"","parse-names":false,"suffix":""},{"dropping-particle":"","family":"Rezapour","given":"Maysam","non-dropping-particle":"","parse-names":false,"suffix":""},{"dropping-particle":"","family":"Etemad","given":"Koorosh","non-dropping-particle":"","parse-names":false,"suffix":""},{"dropping-particle":"","family":"Yarahmadi","given":"Shahin","non-dropping-particle":"","parse-names":false,"suffix":""},{"dropping-particle":"","family":"Khodakarim","given":"Soheila","non-dropping-particle":"","parse-names":false,"suffix":""},{"dropping-particle":"","family":"Mahdavi Hezaveh","given":"Alireza","non-dropping-particle":"","parse-names":false,"suffix":""},{"dropping-particle":"","family":"Kameli","given":"Mohammadesmail","non-dropping-particle":"","parse-names":false,"suffix":""},{"dropping-particle":"","family":"Khanjani","given":"Narges","non-dropping-particle":"","parse-names":false,"suffix":""}],"container-title":"Scientific Reports","id":"ITEM-3","issue":"1","issued":{"date-parts":[["2020"]]},"page":"3034","title":"The patterns of Non-communicable disease Multimorbidity in Iran: A Multilevel Analysis","type":"article-journal","volume":"10"},"uris":["http://www.mendeley.com/documents/?uuid=1166119f-15db-4bb9-8965-36e521479618"]}],"mendeley":{"formattedCitation":"&lt;sup&gt;4–6&lt;/sup&gt;","plainTextFormattedCitation":"4–6","previouslyFormattedCitation":"&lt;sup&gt;4–6&lt;/sup&gt;"},"properties":{"noteIndex":0},"schema":"https://github.com/citation-style-language/schema/raw/master/csl-citation.json"}</w:instrText>
      </w:r>
      <w:r w:rsidRPr="00555462">
        <w:rPr>
          <w:rFonts w:ascii="Times New Roman" w:hAnsi="Times New Roman"/>
          <w:sz w:val="22"/>
          <w:lang w:val="en-IE"/>
        </w:rPr>
        <w:fldChar w:fldCharType="separate"/>
      </w:r>
      <w:r w:rsidR="007153D3" w:rsidRPr="007153D3">
        <w:rPr>
          <w:rFonts w:ascii="Times New Roman" w:hAnsi="Times New Roman"/>
          <w:noProof/>
          <w:sz w:val="22"/>
          <w:vertAlign w:val="superscript"/>
          <w:lang w:val="en-IE"/>
        </w:rPr>
        <w:t>4–6</w:t>
      </w:r>
      <w:r w:rsidRPr="00555462">
        <w:rPr>
          <w:rFonts w:ascii="Times New Roman" w:hAnsi="Times New Roman"/>
          <w:sz w:val="22"/>
          <w:lang w:val="en-IE"/>
        </w:rPr>
        <w:fldChar w:fldCharType="end"/>
      </w:r>
      <w:r w:rsidRPr="00555462">
        <w:rPr>
          <w:rFonts w:ascii="Times New Roman" w:hAnsi="Times New Roman"/>
          <w:sz w:val="22"/>
          <w:lang w:val="en-IE"/>
        </w:rPr>
        <w:t xml:space="preserve"> or network analysis to study the links between pairs of diseases </w:t>
      </w:r>
      <w:r w:rsidRPr="00555462">
        <w:rPr>
          <w:rFonts w:ascii="Times New Roman" w:hAnsi="Times New Roman"/>
          <w:sz w:val="22"/>
          <w:lang w:val="en-IE"/>
        </w:rPr>
        <w:fldChar w:fldCharType="begin" w:fldLock="1"/>
      </w:r>
      <w:r w:rsidR="00712578">
        <w:rPr>
          <w:rFonts w:ascii="Times New Roman" w:hAnsi="Times New Roman"/>
          <w:sz w:val="22"/>
          <w:lang w:val="en-IE"/>
        </w:rPr>
        <w:instrText>ADDIN CSL_CITATION {"citationItems":[{"id":"ITEM-1","itemData":{"DOI":"10.1038/s41598-018-34361-3","ISSN":"20452322","PMID":"30374096","abstract":"Multimorbidity is an emerging topic in public health policy because of its increasing prevalence and socio-economic impact. However, the age- and gender-dependent trends of disease associations at fine resolution, and the underlying genetic factors, remain incompletely understood. Here, by analyzing disease networks from electronic medical records of primary health care, we identify key conditions and shared genetic factors influencing multimorbidity. Three types of diseases are outlined: “central”, which include chronic and non-chronic conditions, have higher cumulative risks of disease associations; “community roots” have lower cumulative risks, but inform on continuing clustered disease associations with age; and “seeds of bursts”, which most are chronic, reveal outbreaks of disease associations leading to multimorbidity. The diseases with a major impact on multimorbidity are caused by genes that occupy central positions in the network of human disease genes. Alteration of lipid metabolism connects breast cancer, diabetic neuropathy and nutritional anemia. Evaluation of key disease associations by a genome-wide association study identifies shared genetic factors and further supports causal commonalities between nervous system diseases and nutritional anemias. This study also reveals many shared genetic signals with other diseases. Collectively, our results depict novel population-based multimorbidity patterns, identify key diseases within them, and highlight pleiotropy influencing multimorbidity.","author":[{"dropping-particle":"","family":"Amell","given":"A.","non-dropping-particle":"","parse-names":false,"suffix":""},{"dropping-particle":"","family":"Roso-Llorach","given":"A.","non-dropping-particle":"","parse-names":false,"suffix":""},{"dropping-particle":"","family":"Palomero","given":"L.","non-dropping-particle":"","parse-names":false,"suffix":""},{"dropping-particle":"","family":"Cuadras","given":"D.","non-dropping-particle":"","parse-names":false,"suffix":""},{"dropping-particle":"","family":"Galván-Femenía","given":"I.","non-dropping-particle":"","parse-names":false,"suffix":""},{"dropping-particle":"","family":"Serra-Musach","given":"J.","non-dropping-particle":"","parse-names":false,"suffix":""},{"dropping-particle":"","family":"Comellas","given":"F.","non-dropping-particle":"","parse-names":false,"suffix":""},{"dropping-particle":"","family":"Cid","given":"R.","non-dropping-particle":"de","parse-names":false,"suffix":""},{"dropping-particle":"","family":"Pujana","given":"M. A.","non-dropping-particle":"","parse-names":false,"suffix":""},{"dropping-particle":"","family":"Violán","given":"C.","non-dropping-particle":"","parse-names":false,"suffix":""}],"container-title":"Scientific Reports","id":"ITEM-1","issued":{"date-parts":[["2018"]]},"title":"Disease networks identify specific conditions and pleiotropy influencing multimorbidity in the general population","type":"article-journal"},"uris":["http://www.mendeley.com/documents/?uuid=3bf40d72-693f-4368-9521-846072803532"]}],"mendeley":{"formattedCitation":"&lt;sup&gt;7&lt;/sup&gt;","plainTextFormattedCitation":"7","previouslyFormattedCitation":"&lt;sup&gt;7&lt;/sup&gt;"},"properties":{"noteIndex":0},"schema":"https://github.com/citation-style-language/schema/raw/master/csl-citation.json"}</w:instrText>
      </w:r>
      <w:r w:rsidRPr="00555462">
        <w:rPr>
          <w:rFonts w:ascii="Times New Roman" w:hAnsi="Times New Roman"/>
          <w:sz w:val="22"/>
          <w:lang w:val="en-IE"/>
        </w:rPr>
        <w:fldChar w:fldCharType="separate"/>
      </w:r>
      <w:r w:rsidR="007153D3" w:rsidRPr="007153D3">
        <w:rPr>
          <w:rFonts w:ascii="Times New Roman" w:hAnsi="Times New Roman"/>
          <w:noProof/>
          <w:sz w:val="22"/>
          <w:vertAlign w:val="superscript"/>
          <w:lang w:val="en-IE"/>
        </w:rPr>
        <w:t>7</w:t>
      </w:r>
      <w:r w:rsidRPr="00555462">
        <w:rPr>
          <w:rFonts w:ascii="Times New Roman" w:hAnsi="Times New Roman"/>
          <w:sz w:val="22"/>
          <w:lang w:val="en-IE"/>
        </w:rPr>
        <w:fldChar w:fldCharType="end"/>
      </w:r>
      <w:r w:rsidRPr="00555462">
        <w:rPr>
          <w:rFonts w:ascii="Times New Roman" w:hAnsi="Times New Roman"/>
          <w:sz w:val="22"/>
          <w:lang w:val="en-IE"/>
        </w:rPr>
        <w:t xml:space="preserve">. The populations involved were mainly complex and chronic patients that represent the greatest burden on the healthcare economy. Many opportunities still exist to apply these methodologies to wider populations in new design settings, in particular longitudinal studies focused on the diseases trajectories of patients </w:t>
      </w:r>
      <w:r w:rsidRPr="00555462">
        <w:rPr>
          <w:rFonts w:ascii="Times New Roman" w:hAnsi="Times New Roman"/>
          <w:sz w:val="22"/>
          <w:lang w:val="en-IE"/>
        </w:rPr>
        <w:fldChar w:fldCharType="begin" w:fldLock="1"/>
      </w:r>
      <w:r w:rsidR="00712578">
        <w:rPr>
          <w:rFonts w:ascii="Times New Roman" w:hAnsi="Times New Roman"/>
          <w:sz w:val="22"/>
          <w:lang w:val="en-IE"/>
        </w:rPr>
        <w:instrText>ADDIN CSL_CITATION {"citationItems":[{"id":"ITEM-1","itemData":{"DOI":"10.1038/s41467-020-16780-x","ISSN":"2041-1723","abstract":"Multimorbidity—the co-occurrence of multiple diseases—is associated to poor prognosis, but the scarce knowledge of its development over time hampers the effectiveness of clinical interventions. Here we identify multimorbidity clusters, trace their evolution in older adults, and detect the clinical trajectories and mortality of single individuals as they move among clusters over 12 years. By means of a fuzzy c-means cluster algorithm, we group 2931 people ≥60 years in five clinically meaningful multimorbidity clusters (52%). The remaining 48% are part of an unspecific cluster (i.e. none of the diseases are overrepresented), which greatly fuels other clusters at follow-ups. Clusters contribute differentially to the longitudinal development of other clusters and to mortality. We report that multimorbidity clusters and their trajectories may help identifying homogeneous groups of people with similar needs and prognosis, and assisting clinicians and health care systems in the personalization of clinical interventions and preventive strategies.","author":[{"dropping-particle":"","family":"Vetrano","given":"Davide L","non-dropping-particle":"","parse-names":false,"suffix":""},{"dropping-particle":"","family":"Roso-Llorach","given":"Albert","non-dropping-particle":"","parse-names":false,"suffix":""},{"dropping-particle":"","family":"Fernández","given":"Sergio","non-dropping-particle":"","parse-names":false,"suffix":""},{"dropping-particle":"","family":"Guisado-Clavero","given":"Marina","non-dropping-particle":"","parse-names":false,"suffix":""},{"dropping-particle":"","family":"Violán","given":"Concepción","non-dropping-particle":"","parse-names":false,"suffix":""},{"dropping-particle":"","family":"Onder","given":"Graziano","non-dropping-particle":"","parse-names":false,"suffix":""},{"dropping-particle":"","family":"Fratiglioni","given":"Laura","non-dropping-particle":"","parse-names":false,"suffix":""},{"dropping-particle":"","family":"Calderón-Larrañaga","given":"Amaia","non-dropping-particle":"","parse-names":false,"suffix":""},{"dropping-particle":"","family":"Marengoni","given":"Alessandra","non-dropping-particle":"","parse-names":false,"suffix":""}],"container-title":"Nature Communications","id":"ITEM-1","issue":"1","issued":{"date-parts":[["2020"]]},"page":"3223","title":"Twelve-year clinical trajectories of multimorbidity in a population of older adults","type":"article-journal","volume":"11"},"uris":["http://www.mendeley.com/documents/?uuid=d45395b7-36cc-4f1a-a73d-2a16e946706f"]}],"mendeley":{"formattedCitation":"&lt;sup&gt;8&lt;/sup&gt;","plainTextFormattedCitation":"8","previouslyFormattedCitation":"&lt;sup&gt;8&lt;/sup&gt;"},"properties":{"noteIndex":0},"schema":"https://github.com/citation-style-language/schema/raw/master/csl-citation.json"}</w:instrText>
      </w:r>
      <w:r w:rsidRPr="00555462">
        <w:rPr>
          <w:rFonts w:ascii="Times New Roman" w:hAnsi="Times New Roman"/>
          <w:sz w:val="22"/>
          <w:lang w:val="en-IE"/>
        </w:rPr>
        <w:fldChar w:fldCharType="separate"/>
      </w:r>
      <w:r w:rsidR="007153D3" w:rsidRPr="007153D3">
        <w:rPr>
          <w:rFonts w:ascii="Times New Roman" w:hAnsi="Times New Roman"/>
          <w:noProof/>
          <w:sz w:val="22"/>
          <w:vertAlign w:val="superscript"/>
          <w:lang w:val="en-IE"/>
        </w:rPr>
        <w:t>8</w:t>
      </w:r>
      <w:r w:rsidRPr="00555462">
        <w:rPr>
          <w:rFonts w:ascii="Times New Roman" w:hAnsi="Times New Roman"/>
          <w:sz w:val="22"/>
          <w:lang w:val="en-IE"/>
        </w:rPr>
        <w:fldChar w:fldCharType="end"/>
      </w:r>
      <w:r w:rsidRPr="00555462">
        <w:rPr>
          <w:rFonts w:ascii="Times New Roman" w:hAnsi="Times New Roman"/>
          <w:sz w:val="22"/>
          <w:lang w:val="en-IE"/>
        </w:rPr>
        <w:t>, and in a broader context on the study of patient flows.</w:t>
      </w:r>
      <w:r w:rsidR="007153D3">
        <w:rPr>
          <w:rFonts w:ascii="Times New Roman" w:hAnsi="Times New Roman"/>
          <w:sz w:val="22"/>
          <w:lang w:val="en-IE"/>
        </w:rPr>
        <w:t xml:space="preserve"> </w:t>
      </w:r>
      <w:r w:rsidR="00E17A83">
        <w:rPr>
          <w:rFonts w:ascii="Times New Roman" w:hAnsi="Times New Roman"/>
          <w:sz w:val="22"/>
          <w:lang w:val="en-IE"/>
        </w:rPr>
        <w:t>In the present study, w</w:t>
      </w:r>
      <w:r w:rsidR="007153D3">
        <w:rPr>
          <w:rFonts w:ascii="Times New Roman" w:hAnsi="Times New Roman"/>
          <w:sz w:val="22"/>
          <w:lang w:val="en-IE"/>
        </w:rPr>
        <w:t xml:space="preserve">e implemented </w:t>
      </w:r>
      <w:r w:rsidR="007A36B5">
        <w:rPr>
          <w:rFonts w:ascii="Times New Roman" w:hAnsi="Times New Roman"/>
          <w:sz w:val="22"/>
          <w:lang w:val="en-IE"/>
        </w:rPr>
        <w:t xml:space="preserve">a method </w:t>
      </w:r>
      <w:r w:rsidR="007153D3">
        <w:rPr>
          <w:rFonts w:ascii="Times New Roman" w:hAnsi="Times New Roman"/>
          <w:sz w:val="22"/>
          <w:lang w:val="en-IE"/>
        </w:rPr>
        <w:t>cluste</w:t>
      </w:r>
      <w:r w:rsidR="007A36B5">
        <w:rPr>
          <w:rFonts w:ascii="Times New Roman" w:hAnsi="Times New Roman"/>
          <w:sz w:val="22"/>
          <w:lang w:val="en-IE"/>
        </w:rPr>
        <w:t>r</w:t>
      </w:r>
      <w:r w:rsidR="007153D3">
        <w:rPr>
          <w:rFonts w:ascii="Times New Roman" w:hAnsi="Times New Roman"/>
          <w:sz w:val="22"/>
          <w:lang w:val="en-IE"/>
        </w:rPr>
        <w:t xml:space="preserve"> of the emergency department (ED) patient flow </w:t>
      </w:r>
      <w:r w:rsidR="007A36B5">
        <w:rPr>
          <w:rFonts w:ascii="Times New Roman" w:hAnsi="Times New Roman"/>
          <w:sz w:val="22"/>
          <w:lang w:val="en-IE"/>
        </w:rPr>
        <w:t xml:space="preserve">visits </w:t>
      </w:r>
      <w:r w:rsidR="007153D3">
        <w:rPr>
          <w:rFonts w:ascii="Times New Roman" w:hAnsi="Times New Roman"/>
          <w:sz w:val="22"/>
          <w:lang w:val="en-IE"/>
        </w:rPr>
        <w:t>using the sequence of visits</w:t>
      </w:r>
      <w:r w:rsidR="00E17A83">
        <w:rPr>
          <w:rFonts w:ascii="Times New Roman" w:hAnsi="Times New Roman"/>
          <w:sz w:val="22"/>
          <w:lang w:val="en-IE"/>
        </w:rPr>
        <w:t xml:space="preserve"> of each patie</w:t>
      </w:r>
      <w:r w:rsidR="00712578">
        <w:rPr>
          <w:rFonts w:ascii="Times New Roman" w:hAnsi="Times New Roman"/>
          <w:sz w:val="22"/>
          <w:lang w:val="en-IE"/>
        </w:rPr>
        <w:t>n</w:t>
      </w:r>
      <w:r w:rsidR="00E17A83">
        <w:rPr>
          <w:rFonts w:ascii="Times New Roman" w:hAnsi="Times New Roman"/>
          <w:sz w:val="22"/>
          <w:lang w:val="en-IE"/>
        </w:rPr>
        <w:t>t</w:t>
      </w:r>
      <w:r w:rsidR="007153D3">
        <w:rPr>
          <w:rFonts w:ascii="Times New Roman" w:hAnsi="Times New Roman"/>
          <w:sz w:val="22"/>
          <w:lang w:val="en-IE"/>
        </w:rPr>
        <w:t>.</w:t>
      </w:r>
      <w:r w:rsidR="007A36B5">
        <w:rPr>
          <w:rFonts w:ascii="Times New Roman" w:hAnsi="Times New Roman"/>
          <w:sz w:val="22"/>
          <w:lang w:val="en-IE"/>
        </w:rPr>
        <w:t xml:space="preserve"> We did so </w:t>
      </w:r>
      <w:r w:rsidR="00581E23">
        <w:rPr>
          <w:rFonts w:ascii="Times New Roman" w:hAnsi="Times New Roman"/>
          <w:sz w:val="22"/>
          <w:lang w:val="en-IE"/>
        </w:rPr>
        <w:t>to</w:t>
      </w:r>
      <w:r w:rsidR="007A36B5" w:rsidRPr="004A7E93">
        <w:rPr>
          <w:rFonts w:ascii="Times New Roman" w:hAnsi="Times New Roman"/>
          <w:sz w:val="22"/>
          <w:lang w:val="en-IE"/>
        </w:rPr>
        <w:t xml:space="preserve"> enable </w:t>
      </w:r>
      <w:r w:rsidR="007A36B5" w:rsidRPr="004A7E93">
        <w:rPr>
          <w:rFonts w:ascii="Times New Roman" w:hAnsi="Times New Roman"/>
          <w:noProof/>
          <w:color w:val="000000"/>
          <w:sz w:val="22"/>
          <w:lang w:val="en-IE"/>
        </w:rPr>
        <w:t>a complete</w:t>
      </w:r>
      <w:r w:rsidR="00912D4C">
        <w:rPr>
          <w:rFonts w:ascii="Times New Roman" w:hAnsi="Times New Roman"/>
          <w:noProof/>
          <w:color w:val="000000"/>
          <w:sz w:val="22"/>
          <w:lang w:val="en-IE"/>
        </w:rPr>
        <w:t xml:space="preserve"> and detailed</w:t>
      </w:r>
      <w:r w:rsidR="007A36B5" w:rsidRPr="004A7E93">
        <w:rPr>
          <w:rFonts w:ascii="Times New Roman" w:hAnsi="Times New Roman"/>
          <w:noProof/>
          <w:color w:val="000000"/>
          <w:sz w:val="22"/>
          <w:lang w:val="en-IE"/>
        </w:rPr>
        <w:t xml:space="preserve"> temporal analysis of trends over time.</w:t>
      </w:r>
    </w:p>
    <w:p w14:paraId="56B005D5" w14:textId="25E350DA" w:rsidR="00843D5B" w:rsidRDefault="00E17A83" w:rsidP="00E17A83">
      <w:pPr>
        <w:spacing w:line="480" w:lineRule="auto"/>
        <w:rPr>
          <w:rFonts w:cs="Times"/>
          <w:sz w:val="22"/>
          <w:lang w:val="en-IE"/>
        </w:rPr>
      </w:pPr>
      <w:r>
        <w:rPr>
          <w:rFonts w:ascii="Times New Roman" w:hAnsi="Times New Roman"/>
          <w:sz w:val="22"/>
          <w:lang w:val="en-IE"/>
        </w:rPr>
        <w:t>T</w:t>
      </w:r>
      <w:r w:rsidR="00843D5B" w:rsidRPr="00555462">
        <w:rPr>
          <w:rFonts w:ascii="Times New Roman" w:hAnsi="Times New Roman"/>
          <w:sz w:val="22"/>
          <w:lang w:val="en-IE"/>
        </w:rPr>
        <w:t xml:space="preserve">he ICD10 diagnostic codes </w:t>
      </w:r>
      <w:r>
        <w:rPr>
          <w:rFonts w:ascii="Times New Roman" w:hAnsi="Times New Roman"/>
          <w:sz w:val="22"/>
          <w:lang w:val="en-IE"/>
        </w:rPr>
        <w:t xml:space="preserve">was used </w:t>
      </w:r>
      <w:r w:rsidR="00843D5B" w:rsidRPr="00555462">
        <w:rPr>
          <w:rFonts w:ascii="Times New Roman" w:hAnsi="Times New Roman"/>
          <w:sz w:val="22"/>
          <w:lang w:val="en-IE"/>
        </w:rPr>
        <w:t xml:space="preserve">as an active variable to characterise each ED visit. In the absence of predefined groups, such as diagnosis-related groups, we identified multimorbidity patterns based on co-occurring pairs of diagnoses </w:t>
      </w:r>
      <w:r w:rsidR="00843D5B" w:rsidRPr="00555462">
        <w:rPr>
          <w:rFonts w:ascii="Times New Roman" w:hAnsi="Times New Roman"/>
          <w:sz w:val="22"/>
          <w:lang w:val="en-IE"/>
        </w:rPr>
        <w:fldChar w:fldCharType="begin" w:fldLock="1"/>
      </w:r>
      <w:r w:rsidR="00712578">
        <w:rPr>
          <w:rFonts w:ascii="Times New Roman" w:hAnsi="Times New Roman"/>
          <w:sz w:val="22"/>
          <w:lang w:val="en-IE"/>
        </w:rPr>
        <w:instrText>ADDIN CSL_CITATION {"citationItems":[{"id":"ITEM-1","itemData":{"DOI":"10.1016/j.jclinepi.2013.09.021","ISSN":"08954356","abstract":"Objectives The aim of this review was to identify studies on patterns of associative multimorbidity, defined as the nonrandom association between diseases, focusing on the main methodological features of the studies and the similarities among the detected patterns. Study Design and Setting Studies were identified through MEDLINE and EMBASE electronic database searches from their inception to June 2012 and bibliographies. Results The final 14 articles exhibited methodological heterogeneity in terms of the sample size, age and recruitment of study participants, the data source, the number of baseline diseases considered, and the statistical procedure used. A total of 97 patterns composed of two or more diseases were identified. Among these, 63 patterns were composed of three or more diseases. Despite the methodological variability among studies, this review demonstrated relevant similarities for three groups of patterns. The first one comprised a combination of cardiovascular and metabolic diseases, the second one was related with mental health problems, and the third one with musculoskeletal disorders. Conclusion The existence of associations beyond chance among the different diseases that comprise these patterns should be considered with the aim of directing future lines of research that measure their intensity, clarify their nature, and highlight the possible causal underlying mechanisms. © 2014 Elsevier Inc. All rights reserved.","author":[{"dropping-particle":"","family":"Prados-Torres","given":"Alexandra","non-dropping-particle":"","parse-names":false,"suffix":""},{"dropping-particle":"","family":"Calderón-Larrañaga","given":"Amaia","non-dropping-particle":"","parse-names":false,"suffix":""},{"dropping-particle":"","family":"Hancco-Saavedra","given":"Jorge","non-dropping-particle":"","parse-names":false,"suffix":""},{"dropping-particle":"","family":"Poblador-Plou","given":"Beatriz","non-dropping-particle":"","parse-names":false,"suffix":""},{"dropping-particle":"","family":"Akker","given":"Marjan","non-dropping-particle":"Van Den","parse-names":false,"suffix":""}],"container-title":"Journal of Clinical Epidemiology","id":"ITEM-1","issued":{"date-parts":[["2014"]]},"title":"Multimorbidity patterns: A systematic review","type":"article"},"uris":["http://www.mendeley.com/documents/?uuid=954f9400-91d8-43d5-b6fe-6dbf06868c2e"]}],"mendeley":{"formattedCitation":"&lt;sup&gt;1&lt;/sup&gt;","plainTextFormattedCitation":"1","previouslyFormattedCitation":"&lt;sup&gt;1&lt;/sup&gt;"},"properties":{"noteIndex":0},"schema":"https://github.com/citation-style-language/schema/raw/master/csl-citation.json"}</w:instrText>
      </w:r>
      <w:r w:rsidR="00843D5B" w:rsidRPr="00555462">
        <w:rPr>
          <w:rFonts w:ascii="Times New Roman" w:hAnsi="Times New Roman"/>
          <w:sz w:val="22"/>
          <w:lang w:val="en-IE"/>
        </w:rPr>
        <w:fldChar w:fldCharType="separate"/>
      </w:r>
      <w:r w:rsidR="007153D3" w:rsidRPr="007153D3">
        <w:rPr>
          <w:rFonts w:ascii="Times New Roman" w:hAnsi="Times New Roman"/>
          <w:noProof/>
          <w:sz w:val="22"/>
          <w:vertAlign w:val="superscript"/>
          <w:lang w:val="en-IE"/>
        </w:rPr>
        <w:t>1</w:t>
      </w:r>
      <w:r w:rsidR="00843D5B" w:rsidRPr="00555462">
        <w:rPr>
          <w:rFonts w:ascii="Times New Roman" w:hAnsi="Times New Roman"/>
          <w:sz w:val="22"/>
          <w:lang w:val="en-IE"/>
        </w:rPr>
        <w:fldChar w:fldCharType="end"/>
      </w:r>
      <w:r>
        <w:rPr>
          <w:rFonts w:ascii="Times New Roman" w:hAnsi="Times New Roman"/>
          <w:sz w:val="22"/>
          <w:lang w:val="en-IE"/>
        </w:rPr>
        <w:t xml:space="preserve">. </w:t>
      </w:r>
      <w:r w:rsidR="00843D5B" w:rsidRPr="00555462">
        <w:rPr>
          <w:rFonts w:ascii="Times New Roman" w:hAnsi="Times New Roman"/>
          <w:sz w:val="22"/>
          <w:lang w:val="en-IE"/>
        </w:rPr>
        <w:t xml:space="preserve">Co-occurrences were observed over all preceding episodes of patients attending the ED during the study period. Episodes were defined as consecutive repeat visits to the ED with a maximum of 6 months between visits, </w:t>
      </w:r>
      <w:r w:rsidR="00912D4C" w:rsidRPr="00555462">
        <w:rPr>
          <w:rFonts w:ascii="Times New Roman" w:hAnsi="Times New Roman"/>
          <w:sz w:val="22"/>
          <w:lang w:val="en-IE"/>
        </w:rPr>
        <w:t>to</w:t>
      </w:r>
      <w:r w:rsidR="00843D5B" w:rsidRPr="00555462">
        <w:rPr>
          <w:rFonts w:ascii="Times New Roman" w:hAnsi="Times New Roman"/>
          <w:sz w:val="22"/>
          <w:lang w:val="en-IE"/>
        </w:rPr>
        <w:t xml:space="preserve"> limit construing associations between distinct visits that were longer apart. To ensure adequate representation in clinical and in statistical terms, diagnoses were grouped in blocks of diseases</w:t>
      </w:r>
      <w:r w:rsidR="00843D5B" w:rsidRPr="00555462">
        <w:rPr>
          <w:rFonts w:ascii="Times New Roman" w:hAnsi="Times New Roman"/>
          <w:noProof/>
          <w:sz w:val="22"/>
          <w:vertAlign w:val="superscript"/>
          <w:lang w:val="en-IE"/>
        </w:rPr>
        <w:t xml:space="preserve"> </w:t>
      </w:r>
      <w:r w:rsidR="00843D5B" w:rsidRPr="00555462">
        <w:rPr>
          <w:rFonts w:ascii="Times New Roman" w:hAnsi="Times New Roman"/>
          <w:noProof/>
          <w:sz w:val="22"/>
          <w:vertAlign w:val="superscript"/>
          <w:lang w:val="en-IE"/>
        </w:rPr>
        <w:fldChar w:fldCharType="begin" w:fldLock="1"/>
      </w:r>
      <w:r w:rsidR="00712578">
        <w:rPr>
          <w:rFonts w:ascii="Times New Roman" w:hAnsi="Times New Roman"/>
          <w:noProof/>
          <w:sz w:val="22"/>
          <w:vertAlign w:val="superscript"/>
          <w:lang w:val="en-IE"/>
        </w:rPr>
        <w:instrText>ADDIN CSL_CITATION {"citationItems":[{"id":"ITEM-1","itemData":{"DOI":"10.1186/s12875-018-0790-x","ISSN":"14712296","abstract":"Background: The purpose of this study was to ascertain multimorbidity patterns using a non-hierarchical cluster analysis in adult primary patients with multimorbidity attended in primary care centers in Catalonia. Methods: Cross-sectional study using electronic health records from 523,656 patients, aged 45-64 years in 274 primary health care teams in 2010 in Catalonia, Spain. Data were provided by the Information System for the Development of Research in Primary Care (SIDIAP), a population database. Diagnoses were extracted using 241 blocks of diseases (International Classification of Diseases, version 10). Multimorbidity patterns were identified using two steps: 1) multiple correspondence analysis and 2) k-means clustering. Analysis was stratified by sex. Results: The 408,994 patients who met multimorbidity criteria were included in the analysis (mean age, 54.2 years [Standard deviation, SD: 5.8], 53.3% women). Six multimorbidity patterns were obtained for each sex; the three most prevalent included 68% of the women and 66% of the men, respectively. The top cluster included coincident diseases in both men and women: Metabolic disorders, Hypertensive diseases, Mental and behavioural disorders due to psychoactive substance use, Other dorsopathies, and Other soft tissue disorders. Conclusion: Non-hierarchical cluster analysis identified multimorbidity patterns consistent with clinical practice, identifying phenotypic subgroups of patients.","author":[{"dropping-particle":"","family":"Violán","given":"Concepción","non-dropping-particle":"","parse-names":false,"suffix":""},{"dropping-particle":"","family":"Roso-Llorach","given":"Albert","non-dropping-particle":"","parse-names":false,"suffix":""},{"dropping-particle":"","family":"Foguet-Boreu","given":"Quintí","non-dropping-particle":"","parse-names":false,"suffix":""},{"dropping-particle":"","family":"Guisado-Clavero","given":"Marina","non-dropping-particle":"","parse-names":false,"suffix":""},{"dropping-particle":"","family":"Pons-Vigués","given":"Mariona","non-dropping-particle":"","parse-names":false,"suffix":""},{"dropping-particle":"","family":"Pujol-Ribera","given":"Enriqueta","non-dropping-particle":"","parse-names":false,"suffix":""},{"dropping-particle":"","family":"Valderas","given":"Jose M.","non-dropping-particle":"","parse-names":false,"suffix":""}],"container-title":"BMC Family Practice","id":"ITEM-1","issued":{"date-parts":[["2018"]]},"title":"Multimorbidity patterns with K-means nonhierarchical cluster analysis","type":"article-journal"},"uris":["http://www.mendeley.com/documents/?uuid=c780367f-d72a-4df2-947d-3cc14841dd22"]}],"mendeley":{"formattedCitation":"&lt;sup&gt;5&lt;/sup&gt;","plainTextFormattedCitation":"5","previouslyFormattedCitation":"&lt;sup&gt;5&lt;/sup&gt;"},"properties":{"noteIndex":0},"schema":"https://github.com/citation-style-language/schema/raw/master/csl-citation.json"}</w:instrText>
      </w:r>
      <w:r w:rsidR="00843D5B" w:rsidRPr="00555462">
        <w:rPr>
          <w:rFonts w:ascii="Times New Roman" w:hAnsi="Times New Roman"/>
          <w:noProof/>
          <w:sz w:val="22"/>
          <w:vertAlign w:val="superscript"/>
          <w:lang w:val="en-IE"/>
        </w:rPr>
        <w:fldChar w:fldCharType="separate"/>
      </w:r>
      <w:r w:rsidR="007153D3" w:rsidRPr="007153D3">
        <w:rPr>
          <w:rFonts w:ascii="Times New Roman" w:hAnsi="Times New Roman"/>
          <w:noProof/>
          <w:sz w:val="22"/>
          <w:vertAlign w:val="superscript"/>
          <w:lang w:val="en-IE"/>
        </w:rPr>
        <w:t>5</w:t>
      </w:r>
      <w:r w:rsidR="00843D5B" w:rsidRPr="00555462">
        <w:rPr>
          <w:rFonts w:ascii="Times New Roman" w:hAnsi="Times New Roman"/>
          <w:noProof/>
          <w:sz w:val="22"/>
          <w:vertAlign w:val="superscript"/>
          <w:lang w:val="en-IE"/>
        </w:rPr>
        <w:fldChar w:fldCharType="end"/>
      </w:r>
      <w:r w:rsidR="00843D5B" w:rsidRPr="00555462">
        <w:rPr>
          <w:rFonts w:ascii="Times New Roman" w:hAnsi="Times New Roman"/>
          <w:sz w:val="22"/>
          <w:lang w:val="en-IE"/>
        </w:rPr>
        <w:t>. We then</w:t>
      </w:r>
      <w:r w:rsidR="00712578" w:rsidRPr="00712578">
        <w:rPr>
          <w:rFonts w:cs="Times"/>
          <w:sz w:val="22"/>
          <w:lang w:val="en-IE"/>
        </w:rPr>
        <w:t xml:space="preserve"> </w:t>
      </w:r>
      <w:r w:rsidR="00712578" w:rsidRPr="00E54DCB">
        <w:rPr>
          <w:rFonts w:cs="Times"/>
          <w:sz w:val="22"/>
          <w:lang w:val="en-IE"/>
        </w:rPr>
        <w:t>we applied a Hierarchical Agglomerative Clustering (HAC)</w:t>
      </w:r>
      <w:r w:rsidR="00712578" w:rsidRPr="00E54DCB">
        <w:rPr>
          <w:rFonts w:cs="Times"/>
          <w:noProof/>
          <w:sz w:val="22"/>
          <w:vertAlign w:val="superscript"/>
          <w:lang w:val="en-IE"/>
        </w:rPr>
        <w:t xml:space="preserve"> </w:t>
      </w:r>
      <w:r w:rsidR="00712578" w:rsidRPr="00E54DCB">
        <w:rPr>
          <w:rFonts w:cs="Times"/>
          <w:noProof/>
          <w:sz w:val="22"/>
          <w:vertAlign w:val="superscript"/>
          <w:lang w:val="en-IE"/>
        </w:rPr>
        <w:fldChar w:fldCharType="begin" w:fldLock="1"/>
      </w:r>
      <w:r w:rsidR="00712578">
        <w:rPr>
          <w:rFonts w:cs="Times"/>
          <w:noProof/>
          <w:sz w:val="22"/>
          <w:vertAlign w:val="superscript"/>
          <w:lang w:val="en-IE"/>
        </w:rPr>
        <w:instrText>ADDIN CSL_CITATION {"citationItems":[{"id":"ITEM-1","itemData":{"DOI":"10.22329/amr.v12i3.658","ISSN":"1918-1108","abstract":"Our purpose in this article is to describe and illustrate the application of cluster analysis to identify clinically relevant multimorbidity groups. Multimorbidity is the co-occurrence of 2 or more illnesses within a single person, which raises the question whether consistent, clinically useful multimorbidity groups exist among sets of chronic illnesses. Our purpose in this article is to describe and illustrate the application of cluster analysis to identify clinically relevant multimorbidity groups. Application of cluster analysis involves a sequence of critical methodological and analytic decisions that influence the quality and meaning of the clusters produced. We illustrate the application of cluster analysis to identify multimorbidity clusters in a set of 45 chronic illnesses in primary care patients (N = 1,327,328), with 2 or more chronic conditions, served by the Veterans Health Administration. Six clinically useful multimorbidity clusters were identified: a Metabolic Cluster, an Obesity Cluster, a Liver Cluster, a Neurovascular Cluster, a Stress Cluster and a Dual Diagnosis Cluster. Cluster analysis appears to be a useful technique for identifying multiple disease clusters and patterns of multimorbidity.","author":[{"dropping-particle":"","family":"Cornell","given":"John E.","non-dropping-particle":"","parse-names":false,"suffix":""},{"dropping-particle":"","family":"Pugh","given":"Jacqueline A.","non-dropping-particle":"","parse-names":false,"suffix":""},{"dropping-particle":"","family":"Williams, Jr","given":"John W.","non-dropping-particle":"","parse-names":false,"suffix":""},{"dropping-particle":"","family":"Kazis","given":"Lewis","non-dropping-particle":"","parse-names":false,"suffix":""},{"dropping-particle":"","family":"Lee","given":"Austin F.S.","non-dropping-particle":"","parse-names":false,"suffix":""},{"dropping-particle":"","family":"Parchman","given":"Michael L.","non-dropping-particle":"","parse-names":false,"suffix":""},{"dropping-particle":"","family":"Zeber","given":"John","non-dropping-particle":"","parse-names":false,"suffix":""},{"dropping-particle":"","family":"Pederson","given":"Thomas","non-dropping-particle":"","parse-names":false,"suffix":""},{"dropping-particle":"","family":"Montgomery","given":"Kelly A.","non-dropping-particle":"","parse-names":false,"suffix":""},{"dropping-particle":"","family":"Hitchcock Noël","given":"Polly","non-dropping-particle":"","parse-names":false,"suffix":""}],"container-title":"Applied Multivariate Research","id":"ITEM-1","issue":"3","issued":{"date-parts":[["2009","1","13"]]},"page":"163","publisher":"University of Windsor Leddy Library","title":"Multimorbidity Clusters: Clustering Binary Data From Multimorbidity Clusters: Clustering Binary Data From a Large Administrative Medical Database","type":"article-journal","volume":"12"},"uris":["http://www.mendeley.com/documents/?uuid=6ab8fb74-783f-315d-9e0b-2e4168bc47f1"]}],"mendeley":{"formattedCitation":"&lt;sup&gt;4&lt;/sup&gt;","plainTextFormattedCitation":"4","previouslyFormattedCitation":"&lt;sup&gt;4&lt;/sup&gt;"},"properties":{"noteIndex":0},"schema":"https://github.com/citation-style-language/schema/raw/master/csl-citation.json"}</w:instrText>
      </w:r>
      <w:r w:rsidR="00712578" w:rsidRPr="00E54DCB">
        <w:rPr>
          <w:rFonts w:cs="Times"/>
          <w:noProof/>
          <w:sz w:val="22"/>
          <w:vertAlign w:val="superscript"/>
          <w:lang w:val="en-IE"/>
        </w:rPr>
        <w:fldChar w:fldCharType="separate"/>
      </w:r>
      <w:r w:rsidR="00712578" w:rsidRPr="00712578">
        <w:rPr>
          <w:rFonts w:cs="Times"/>
          <w:noProof/>
          <w:sz w:val="22"/>
          <w:vertAlign w:val="superscript"/>
          <w:lang w:val="en-IE"/>
        </w:rPr>
        <w:t>4</w:t>
      </w:r>
      <w:r w:rsidR="00712578" w:rsidRPr="00E54DCB">
        <w:rPr>
          <w:rFonts w:cs="Times"/>
          <w:noProof/>
          <w:sz w:val="22"/>
          <w:vertAlign w:val="superscript"/>
          <w:lang w:val="en-IE"/>
        </w:rPr>
        <w:fldChar w:fldCharType="end"/>
      </w:r>
      <w:r w:rsidR="00712578" w:rsidRPr="00E54DCB">
        <w:rPr>
          <w:rFonts w:cs="Times"/>
          <w:sz w:val="22"/>
          <w:lang w:val="en-IE"/>
        </w:rPr>
        <w:t xml:space="preserve"> with a new measure of similarity, namely the relative risk :</w:t>
      </w:r>
    </w:p>
    <w:p w14:paraId="3F4B3522" w14:textId="49A5B539" w:rsidR="00712578" w:rsidRPr="00712578" w:rsidRDefault="00712578" w:rsidP="00E17A83">
      <w:pPr>
        <w:spacing w:line="480" w:lineRule="auto"/>
        <w:rPr>
          <w:rFonts w:cs="Times"/>
          <w:sz w:val="22"/>
          <w:lang w:val="en-IE"/>
        </w:rPr>
      </w:pPr>
      <m:oMathPara>
        <m:oMath>
          <m:r>
            <m:rPr>
              <m:sty m:val="p"/>
            </m:rPr>
            <w:rPr>
              <w:rFonts w:ascii="Cambria Math" w:hAnsi="Cambria Math" w:cs="Times"/>
              <w:sz w:val="22"/>
              <w:lang w:val="en-IE"/>
            </w:rPr>
            <m:t>R</m:t>
          </m:r>
          <m:sSub>
            <m:sSubPr>
              <m:ctrlPr>
                <w:rPr>
                  <w:rFonts w:ascii="Cambria Math" w:hAnsi="Cambria Math" w:cs="Times"/>
                  <w:i/>
                  <w:sz w:val="22"/>
                  <w:lang w:val="en-IE"/>
                </w:rPr>
              </m:ctrlPr>
            </m:sSubPr>
            <m:e>
              <m:r>
                <m:rPr>
                  <m:sty m:val="p"/>
                </m:rPr>
                <w:rPr>
                  <w:rFonts w:ascii="Cambria Math" w:hAnsi="Cambria Math" w:cs="Times"/>
                  <w:sz w:val="22"/>
                  <w:lang w:val="en-IE"/>
                </w:rPr>
                <m:t>R</m:t>
              </m:r>
              <m:ctrlPr>
                <w:rPr>
                  <w:rFonts w:ascii="Cambria Math" w:hAnsi="Cambria Math" w:cs="Times"/>
                  <w:sz w:val="22"/>
                  <w:lang w:val="en-IE"/>
                </w:rPr>
              </m:ctrlPr>
            </m:e>
            <m:sub>
              <m:r>
                <m:rPr>
                  <m:sty m:val="p"/>
                </m:rPr>
                <w:rPr>
                  <w:rFonts w:ascii="Cambria Math" w:hAnsi="Cambria Math" w:cs="Times"/>
                  <w:sz w:val="22"/>
                  <w:lang w:val="en-IE"/>
                </w:rPr>
                <m:t>ij</m:t>
              </m:r>
            </m:sub>
          </m:sSub>
          <m:r>
            <w:rPr>
              <w:rFonts w:ascii="Cambria Math" w:hAnsi="Cambria Math" w:cs="Times"/>
              <w:sz w:val="22"/>
              <w:lang w:val="en-IE"/>
            </w:rPr>
            <m:t> = </m:t>
          </m:r>
          <m:f>
            <m:fPr>
              <m:ctrlPr>
                <w:rPr>
                  <w:rFonts w:ascii="Cambria Math" w:hAnsi="Cambria Math" w:cs="Times"/>
                  <w:sz w:val="22"/>
                  <w:lang w:val="en-IE"/>
                </w:rPr>
              </m:ctrlPr>
            </m:fPr>
            <m:num>
              <m:sSub>
                <m:sSubPr>
                  <m:ctrlPr>
                    <w:rPr>
                      <w:rFonts w:ascii="Cambria Math" w:hAnsi="Cambria Math" w:cs="Times"/>
                      <w:i/>
                      <w:sz w:val="22"/>
                      <w:lang w:val="en-IE"/>
                    </w:rPr>
                  </m:ctrlPr>
                </m:sSubPr>
                <m:e>
                  <m:r>
                    <m:rPr>
                      <m:sty m:val="p"/>
                    </m:rPr>
                    <w:rPr>
                      <w:rFonts w:ascii="Cambria Math" w:hAnsi="Cambria Math" w:cs="Times"/>
                      <w:sz w:val="22"/>
                      <w:lang w:val="en-IE"/>
                    </w:rPr>
                    <m:t>p</m:t>
                  </m:r>
                </m:e>
                <m:sub>
                  <m:r>
                    <m:rPr>
                      <m:sty m:val="p"/>
                    </m:rPr>
                    <w:rPr>
                      <w:rFonts w:ascii="Cambria Math" w:hAnsi="Cambria Math" w:cs="Times"/>
                      <w:sz w:val="22"/>
                      <w:lang w:val="en-IE"/>
                    </w:rPr>
                    <m:t>ij</m:t>
                  </m:r>
                </m:sub>
              </m:sSub>
              <m:ctrlPr>
                <w:rPr>
                  <w:rFonts w:ascii="Cambria Math" w:hAnsi="Cambria Math" w:cs="Times"/>
                  <w:i/>
                  <w:sz w:val="22"/>
                  <w:lang w:val="en-IE"/>
                </w:rPr>
              </m:ctrlPr>
            </m:num>
            <m:den>
              <m:sSub>
                <m:sSubPr>
                  <m:ctrlPr>
                    <w:rPr>
                      <w:rFonts w:ascii="Cambria Math" w:hAnsi="Cambria Math" w:cs="Times"/>
                      <w:i/>
                      <w:sz w:val="22"/>
                      <w:lang w:val="en-IE"/>
                    </w:rPr>
                  </m:ctrlPr>
                </m:sSubPr>
                <m:e>
                  <m:r>
                    <m:rPr>
                      <m:sty m:val="p"/>
                    </m:rPr>
                    <w:rPr>
                      <w:rFonts w:ascii="Cambria Math" w:hAnsi="Cambria Math" w:cs="Times"/>
                      <w:sz w:val="22"/>
                      <w:lang w:val="en-IE"/>
                    </w:rPr>
                    <m:t>p</m:t>
                  </m:r>
                </m:e>
                <m:sub>
                  <m:r>
                    <m:rPr>
                      <m:sty m:val="p"/>
                    </m:rPr>
                    <w:rPr>
                      <w:rFonts w:ascii="Cambria Math" w:hAnsi="Cambria Math" w:cs="Times"/>
                      <w:sz w:val="22"/>
                      <w:lang w:val="en-IE"/>
                    </w:rPr>
                    <m:t>i</m:t>
                  </m:r>
                </m:sub>
              </m:sSub>
              <m:sSub>
                <m:sSubPr>
                  <m:ctrlPr>
                    <w:rPr>
                      <w:rFonts w:ascii="Cambria Math" w:hAnsi="Cambria Math" w:cs="Times"/>
                      <w:i/>
                      <w:sz w:val="22"/>
                      <w:lang w:val="en-IE"/>
                    </w:rPr>
                  </m:ctrlPr>
                </m:sSubPr>
                <m:e>
                  <m:r>
                    <m:rPr>
                      <m:sty m:val="p"/>
                    </m:rPr>
                    <w:rPr>
                      <w:rFonts w:ascii="Cambria Math" w:hAnsi="Cambria Math" w:cs="Times"/>
                      <w:sz w:val="22"/>
                      <w:lang w:val="en-IE"/>
                    </w:rPr>
                    <m:t>p</m:t>
                  </m:r>
                  <m:ctrlPr>
                    <w:rPr>
                      <w:rFonts w:ascii="Cambria Math" w:hAnsi="Cambria Math" w:cs="Times"/>
                      <w:sz w:val="22"/>
                      <w:lang w:val="en-IE"/>
                    </w:rPr>
                  </m:ctrlPr>
                </m:e>
                <m:sub>
                  <m:r>
                    <m:rPr>
                      <m:sty m:val="p"/>
                    </m:rPr>
                    <w:rPr>
                      <w:rFonts w:ascii="Cambria Math" w:hAnsi="Cambria Math" w:cs="Times"/>
                      <w:sz w:val="22"/>
                      <w:lang w:val="en-IE"/>
                    </w:rPr>
                    <m:t>j</m:t>
                  </m:r>
                </m:sub>
              </m:sSub>
              <m:ctrlPr>
                <w:rPr>
                  <w:rFonts w:ascii="Cambria Math" w:hAnsi="Cambria Math" w:cs="Times"/>
                  <w:i/>
                  <w:sz w:val="22"/>
                  <w:lang w:val="en-IE"/>
                </w:rPr>
              </m:ctrlPr>
            </m:den>
          </m:f>
          <m:r>
            <w:rPr>
              <w:rFonts w:ascii="Cambria Math" w:hAnsi="Cambria Math" w:cs="Times"/>
              <w:sz w:val="22"/>
              <w:lang w:val="en-IE"/>
            </w:rPr>
            <m:t xml:space="preserve">   (1)</m:t>
          </m:r>
        </m:oMath>
      </m:oMathPara>
    </w:p>
    <w:p w14:paraId="427F205F" w14:textId="19C5602D" w:rsidR="00843D5B" w:rsidRDefault="00712578" w:rsidP="00D933C7">
      <w:pPr>
        <w:spacing w:line="480" w:lineRule="auto"/>
        <w:rPr>
          <w:rFonts w:ascii="Times New Roman" w:hAnsi="Times New Roman"/>
          <w:sz w:val="22"/>
          <w:lang w:val="en-IE"/>
        </w:rPr>
      </w:pPr>
      <w:r w:rsidRPr="00E54DCB">
        <w:rPr>
          <w:rFonts w:cs="Times"/>
          <w:sz w:val="22"/>
          <w:lang w:val="en-IE"/>
        </w:rPr>
        <w:t xml:space="preserve">where </w:t>
      </w:r>
      <m:oMath>
        <m:sSub>
          <m:sSubPr>
            <m:ctrlPr>
              <w:rPr>
                <w:rFonts w:ascii="Cambria Math" w:hAnsi="Cambria Math" w:cs="Times"/>
                <w:i/>
                <w:sz w:val="22"/>
                <w:lang w:val="en-IE"/>
              </w:rPr>
            </m:ctrlPr>
          </m:sSubPr>
          <m:e>
            <m:r>
              <w:rPr>
                <w:rFonts w:ascii="Cambria Math" w:hAnsi="Cambria Math" w:cs="Times"/>
                <w:sz w:val="22"/>
                <w:lang w:val="en-IE"/>
              </w:rPr>
              <m:t>p</m:t>
            </m:r>
          </m:e>
          <m:sub>
            <m:r>
              <w:rPr>
                <w:rFonts w:ascii="Cambria Math" w:hAnsi="Cambria Math" w:cs="Times"/>
                <w:sz w:val="22"/>
                <w:lang w:val="en-IE"/>
              </w:rPr>
              <m:t>ij</m:t>
            </m:r>
          </m:sub>
        </m:sSub>
      </m:oMath>
      <w:r w:rsidRPr="00E54DCB">
        <w:rPr>
          <w:rFonts w:cs="Times"/>
          <w:sz w:val="22"/>
          <w:lang w:val="en-IE"/>
        </w:rPr>
        <w:t xml:space="preserve"> designates the probability of </w:t>
      </w:r>
      <w:r>
        <w:rPr>
          <w:rFonts w:cs="Times"/>
          <w:sz w:val="22"/>
          <w:lang w:val="en-IE"/>
        </w:rPr>
        <w:t xml:space="preserve">block of </w:t>
      </w:r>
      <w:r w:rsidRPr="00E54DCB">
        <w:rPr>
          <w:rFonts w:cs="Times"/>
          <w:sz w:val="22"/>
          <w:lang w:val="en-IE"/>
        </w:rPr>
        <w:t xml:space="preserve">diagnoses </w:t>
      </w:r>
      <m:oMath>
        <m:r>
          <w:rPr>
            <w:rFonts w:ascii="Cambria Math" w:hAnsi="Cambria Math" w:cs="Times"/>
            <w:sz w:val="22"/>
            <w:lang w:val="en-IE"/>
          </w:rPr>
          <m:t>i</m:t>
        </m:r>
      </m:oMath>
      <w:r w:rsidRPr="00E54DCB">
        <w:rPr>
          <w:rFonts w:cs="Times"/>
          <w:sz w:val="22"/>
          <w:lang w:val="en-IE"/>
        </w:rPr>
        <w:t xml:space="preserve"> and </w:t>
      </w:r>
      <m:oMath>
        <m:r>
          <w:rPr>
            <w:rFonts w:ascii="Cambria Math" w:hAnsi="Cambria Math" w:cs="Times"/>
            <w:sz w:val="22"/>
            <w:lang w:val="en-IE"/>
          </w:rPr>
          <m:t>j</m:t>
        </m:r>
      </m:oMath>
      <w:r w:rsidRPr="00E54DCB">
        <w:rPr>
          <w:rFonts w:cs="Times"/>
          <w:sz w:val="22"/>
          <w:lang w:val="en-IE"/>
        </w:rPr>
        <w:t xml:space="preserve"> co-occurring in sets of patients ‘visits less than 6 months apart , and </w:t>
      </w:r>
      <m:oMath>
        <m:sSub>
          <m:sSubPr>
            <m:ctrlPr>
              <w:rPr>
                <w:rFonts w:ascii="Cambria Math" w:hAnsi="Cambria Math" w:cs="Times"/>
                <w:i/>
                <w:sz w:val="22"/>
                <w:lang w:val="en-IE"/>
              </w:rPr>
            </m:ctrlPr>
          </m:sSubPr>
          <m:e>
            <m:r>
              <w:rPr>
                <w:rFonts w:ascii="Cambria Math" w:hAnsi="Cambria Math" w:cs="Times"/>
                <w:sz w:val="22"/>
                <w:lang w:val="en-IE"/>
              </w:rPr>
              <m:t>p</m:t>
            </m:r>
          </m:e>
          <m:sub>
            <m:r>
              <w:rPr>
                <w:rFonts w:ascii="Cambria Math" w:hAnsi="Cambria Math" w:cs="Times"/>
                <w:sz w:val="22"/>
                <w:vertAlign w:val="subscript"/>
                <w:lang w:val="en-IE"/>
              </w:rPr>
              <m:t>i</m:t>
            </m:r>
          </m:sub>
        </m:sSub>
      </m:oMath>
      <w:r w:rsidRPr="00E54DCB">
        <w:rPr>
          <w:rFonts w:cs="Times"/>
          <w:sz w:val="22"/>
          <w:lang w:val="en-IE"/>
        </w:rPr>
        <w:t xml:space="preserve"> and </w:t>
      </w:r>
      <m:oMath>
        <m:sSub>
          <m:sSubPr>
            <m:ctrlPr>
              <w:rPr>
                <w:rFonts w:ascii="Cambria Math" w:hAnsi="Cambria Math" w:cs="Times"/>
                <w:i/>
                <w:sz w:val="22"/>
                <w:lang w:val="en-IE"/>
              </w:rPr>
            </m:ctrlPr>
          </m:sSubPr>
          <m:e>
            <m:r>
              <w:rPr>
                <w:rFonts w:ascii="Cambria Math" w:hAnsi="Cambria Math" w:cs="Times"/>
                <w:sz w:val="22"/>
                <w:lang w:val="en-IE"/>
              </w:rPr>
              <m:t>p</m:t>
            </m:r>
          </m:e>
          <m:sub>
            <m:r>
              <w:rPr>
                <w:rFonts w:ascii="Cambria Math" w:hAnsi="Cambria Math" w:cs="Times"/>
                <w:sz w:val="22"/>
                <w:vertAlign w:val="subscript"/>
                <w:lang w:val="en-IE"/>
              </w:rPr>
              <m:t>j</m:t>
            </m:r>
          </m:sub>
        </m:sSub>
      </m:oMath>
      <w:r w:rsidRPr="00E54DCB">
        <w:rPr>
          <w:rFonts w:cs="Times"/>
          <w:sz w:val="22"/>
          <w:lang w:val="en-IE"/>
        </w:rPr>
        <w:t xml:space="preserve">are the marginal probabilities of occurrences that are used to weight the relation </w:t>
      </w:r>
      <w:r w:rsidRPr="00E54DCB">
        <w:rPr>
          <w:rFonts w:cs="Times"/>
          <w:sz w:val="22"/>
          <w:lang w:val="en-IE"/>
        </w:rPr>
        <w:fldChar w:fldCharType="begin" w:fldLock="1"/>
      </w:r>
      <w:r w:rsidR="00057AAE">
        <w:rPr>
          <w:rFonts w:cs="Times"/>
          <w:sz w:val="22"/>
          <w:lang w:val="en-IE"/>
        </w:rPr>
        <w:instrText>ADDIN CSL_CITATION {"citationItems":[{"id":"ITEM-1","itemData":{"ISSN":"15324435","abstract":"Embedding algorithms search for a low dimensional continuous representation of data, but most algorithms only handle objects of a single type for which pairwise distances are specified. This paper describes a method for embedding objects of different types, such as images and text, into a single common Euclidean space, based on their co-occurrence statistics. The joint distributions are modeled as exponentials of Euclidean distances in the low-dimensional embedding space, which links the problem to convex optimization over positive semidefinite matrices. The local structure of the embedding corresponds to the statistical correlations via random walks in the Euclidean space. We quantify the performance of our method on two text data sets, and show that it consistently and significantly outperforms standard methods of statistical correspondence modeling, such as multidimensional scaling, IsoMap and correspondence analysis.","author":[{"dropping-particle":"","family":"Globerson","given":"Amir","non-dropping-particle":"","parse-names":false,"suffix":""},{"dropping-particle":"","family":"Chechik","given":"Gal","non-dropping-particle":"","parse-names":false,"suffix":""},{"dropping-particle":"","family":"Pereira","given":"Fernando","non-dropping-particle":"","parse-names":false,"suffix":""},{"dropping-particle":"","family":"Tishby","given":"Naftali","non-dropping-particle":"","parse-names":false,"suffix":""}],"container-title":"Journal of Machine Learning Research","id":"ITEM-1","issued":{"date-parts":[["2007"]]},"title":"Euclidean embedding of co-occurrence data","type":"article-journal"},"uris":["http://www.mendeley.com/documents/?uuid=6361a299-5f6a-40bb-bd51-bc10bee1cad1"]}],"mendeley":{"formattedCitation":"&lt;sup&gt;9&lt;/sup&gt;","plainTextFormattedCitation":"9","previouslyFormattedCitation":"&lt;sup&gt;9&lt;/sup&gt;"},"properties":{"noteIndex":0},"schema":"https://github.com/citation-style-language/schema/raw/master/csl-citation.json"}</w:instrText>
      </w:r>
      <w:r w:rsidRPr="00E54DCB">
        <w:rPr>
          <w:rFonts w:cs="Times"/>
          <w:sz w:val="22"/>
          <w:lang w:val="en-IE"/>
        </w:rPr>
        <w:fldChar w:fldCharType="separate"/>
      </w:r>
      <w:r w:rsidRPr="00712578">
        <w:rPr>
          <w:rFonts w:cs="Times"/>
          <w:noProof/>
          <w:sz w:val="22"/>
          <w:vertAlign w:val="superscript"/>
          <w:lang w:val="en-IE"/>
        </w:rPr>
        <w:t>9</w:t>
      </w:r>
      <w:r w:rsidRPr="00E54DCB">
        <w:rPr>
          <w:rFonts w:cs="Times"/>
          <w:sz w:val="22"/>
          <w:lang w:val="en-IE"/>
        </w:rPr>
        <w:fldChar w:fldCharType="end"/>
      </w:r>
      <w:r>
        <w:rPr>
          <w:rFonts w:cs="Times"/>
          <w:sz w:val="22"/>
          <w:lang w:val="en-IE"/>
        </w:rPr>
        <w:t xml:space="preserve">. </w:t>
      </w:r>
      <w:r w:rsidR="00843D5B" w:rsidRPr="00555462">
        <w:rPr>
          <w:rFonts w:ascii="Times New Roman" w:hAnsi="Times New Roman"/>
          <w:sz w:val="22"/>
          <w:lang w:val="en-IE"/>
        </w:rPr>
        <w:t>These probabilities were computed using raw empirical observations of occurrences and co-occurrences.</w:t>
      </w:r>
    </w:p>
    <w:p w14:paraId="0E09EE9F" w14:textId="450AFFE1" w:rsidR="00D933C7" w:rsidRPr="00555462" w:rsidRDefault="00712578" w:rsidP="00D933C7">
      <w:pPr>
        <w:spacing w:line="480" w:lineRule="auto"/>
        <w:rPr>
          <w:rFonts w:ascii="Times New Roman" w:hAnsi="Times New Roman"/>
          <w:sz w:val="22"/>
          <w:lang w:val="en-IE"/>
        </w:rPr>
      </w:pPr>
      <w:r>
        <w:rPr>
          <w:rFonts w:ascii="Times New Roman" w:hAnsi="Times New Roman"/>
          <w:sz w:val="22"/>
          <w:lang w:val="en-IE"/>
        </w:rPr>
        <w:lastRenderedPageBreak/>
        <w:t xml:space="preserve">The </w:t>
      </w:r>
      <w:r w:rsidR="00D933C7" w:rsidRPr="00555462">
        <w:rPr>
          <w:rFonts w:ascii="Times New Roman" w:hAnsi="Times New Roman"/>
          <w:sz w:val="22"/>
          <w:lang w:val="en-IE"/>
        </w:rPr>
        <w:t xml:space="preserve"> HAC</w:t>
      </w:r>
      <w:r w:rsidR="007A36B5">
        <w:rPr>
          <w:rFonts w:ascii="Times New Roman" w:hAnsi="Times New Roman"/>
          <w:sz w:val="22"/>
          <w:lang w:val="en-IE"/>
        </w:rPr>
        <w:t xml:space="preserve"> implemented</w:t>
      </w:r>
      <w:r w:rsidR="00D933C7" w:rsidRPr="00555462">
        <w:rPr>
          <w:rFonts w:ascii="Times New Roman" w:hAnsi="Times New Roman"/>
          <w:sz w:val="22"/>
          <w:lang w:val="en-IE"/>
        </w:rPr>
        <w:t xml:space="preserve"> iteratively agglomerates pairs of disease clusters, with one or multiple blocks of diagnoses</w:t>
      </w:r>
      <w:r w:rsidR="007A36B5">
        <w:rPr>
          <w:rFonts w:ascii="Times New Roman" w:hAnsi="Times New Roman"/>
          <w:sz w:val="22"/>
          <w:lang w:val="en-IE"/>
        </w:rPr>
        <w:t xml:space="preserve"> per clusters</w:t>
      </w:r>
      <w:r w:rsidR="00D933C7" w:rsidRPr="00555462">
        <w:rPr>
          <w:rFonts w:ascii="Times New Roman" w:hAnsi="Times New Roman"/>
          <w:sz w:val="22"/>
          <w:lang w:val="en-IE"/>
        </w:rPr>
        <w:t xml:space="preserve">, using a local rule based on the measure of similarity. Instead of using the Lance and Williams recurrence formula traditionally used to update the measures of similarity with each new agglomeration </w:t>
      </w:r>
      <w:r w:rsidR="00D933C7" w:rsidRPr="00555462">
        <w:rPr>
          <w:rFonts w:ascii="Times New Roman" w:hAnsi="Times New Roman"/>
          <w:sz w:val="22"/>
          <w:lang w:val="en-IE"/>
        </w:rPr>
        <w:fldChar w:fldCharType="begin" w:fldLock="1"/>
      </w:r>
      <w:r w:rsidR="00057AAE">
        <w:rPr>
          <w:rFonts w:ascii="Times New Roman" w:hAnsi="Times New Roman"/>
          <w:sz w:val="22"/>
          <w:lang w:val="en-IE"/>
        </w:rPr>
        <w:instrText>ADDIN CSL_CITATION {"citationItems":[{"id":"ITEM-1","itemData":{"DOI":"10.1093/comjnl/9.4.373","ISSN":"0010-4620","abstract":"It is shown that the computational behaviour of a hierarchical sorting-strategy depends on three properties, which are established for five conventional strategies and four measures. The conventional strategies are shown to be simple variants of a single linear system defined by four parameters. A new strategy is defined, enabling continuous variation of intensity of grouping by variation in a single parameter. An Appendix provides specifications of computer programs embodying the new principles.","author":[{"dropping-particle":"","family":"Lance","given":"G. N.","non-dropping-particle":"","parse-names":false,"suffix":""},{"dropping-particle":"","family":"Williams","given":"W. T.","non-dropping-particle":"","parse-names":false,"suffix":""}],"container-title":"The Computer Journal","id":"ITEM-1","issued":{"date-parts":[["1967"]]},"title":"A General Theory of Classificatory Sorting Strategies: 1. Hierarchical Systems","type":"article-journal"},"uris":["http://www.mendeley.com/documents/?uuid=fa3c11ed-b408-4f56-8b83-77b9a342b4a1","http://www.mendeley.com/documents/?uuid=12dfeb0c-e303-4097-84c7-3eca311d8c04"]}],"mendeley":{"formattedCitation":"&lt;sup&gt;10&lt;/sup&gt;","plainTextFormattedCitation":"10","previouslyFormattedCitation":"&lt;sup&gt;10&lt;/sup&gt;"},"properties":{"noteIndex":0},"schema":"https://github.com/citation-style-language/schema/raw/master/csl-citation.json"}</w:instrText>
      </w:r>
      <w:r w:rsidR="00D933C7" w:rsidRPr="00555462">
        <w:rPr>
          <w:rFonts w:ascii="Times New Roman" w:hAnsi="Times New Roman"/>
          <w:sz w:val="22"/>
          <w:lang w:val="en-IE"/>
        </w:rPr>
        <w:fldChar w:fldCharType="separate"/>
      </w:r>
      <w:r w:rsidRPr="00712578">
        <w:rPr>
          <w:rFonts w:ascii="Times New Roman" w:hAnsi="Times New Roman"/>
          <w:noProof/>
          <w:sz w:val="22"/>
          <w:vertAlign w:val="superscript"/>
          <w:lang w:val="en-IE"/>
        </w:rPr>
        <w:t>10</w:t>
      </w:r>
      <w:r w:rsidR="00D933C7" w:rsidRPr="00555462">
        <w:rPr>
          <w:rFonts w:ascii="Times New Roman" w:hAnsi="Times New Roman"/>
          <w:sz w:val="22"/>
          <w:lang w:val="en-IE"/>
        </w:rPr>
        <w:fldChar w:fldCharType="end"/>
      </w:r>
      <w:r w:rsidR="00D933C7" w:rsidRPr="00555462">
        <w:rPr>
          <w:rFonts w:ascii="Times New Roman" w:hAnsi="Times New Roman"/>
          <w:sz w:val="22"/>
          <w:lang w:val="en-IE"/>
        </w:rPr>
        <w:t>,  the relation  (1) is calculated at each stage of agglomeration for each new pair of clusters. The algorithm continues the agglomeration until an optimal criterion is reached on the number of clusters or on the quality of the clustering solution.</w:t>
      </w:r>
      <w:r w:rsidR="00D933C7" w:rsidRPr="00555462" w:rsidDel="00562174">
        <w:rPr>
          <w:rFonts w:ascii="Times New Roman" w:hAnsi="Times New Roman"/>
          <w:sz w:val="22"/>
          <w:lang w:val="en-IE"/>
        </w:rPr>
        <w:t xml:space="preserve"> </w:t>
      </w:r>
      <w:r w:rsidR="00D933C7" w:rsidRPr="00555462">
        <w:rPr>
          <w:rFonts w:ascii="Times New Roman" w:hAnsi="Times New Roman"/>
          <w:sz w:val="22"/>
          <w:lang w:val="en-IE"/>
        </w:rPr>
        <w:t xml:space="preserve">Here, the number of clusters was determined by the maximisation of a membership ratio (MR) criterion:  </w:t>
      </w:r>
    </w:p>
    <w:p w14:paraId="2E13F705" w14:textId="77777777" w:rsidR="00D933C7" w:rsidRPr="00555462" w:rsidRDefault="00D933C7" w:rsidP="00D933C7">
      <w:pPr>
        <w:spacing w:line="480" w:lineRule="auto"/>
        <w:rPr>
          <w:rFonts w:ascii="Times New Roman" w:hAnsi="Times New Roman"/>
          <w:sz w:val="22"/>
          <w:lang w:val="en-IE"/>
        </w:rPr>
      </w:pPr>
      <m:oMathPara>
        <m:oMath>
          <m:r>
            <w:rPr>
              <w:rFonts w:ascii="Cambria Math" w:hAnsi="Cambria Math"/>
              <w:sz w:val="22"/>
              <w:lang w:val="en-IE"/>
            </w:rPr>
            <m:t>MR=</m:t>
          </m:r>
          <m:f>
            <m:fPr>
              <m:ctrlPr>
                <w:rPr>
                  <w:rFonts w:ascii="Cambria Math" w:hAnsi="Cambria Math"/>
                  <w:sz w:val="22"/>
                  <w:lang w:val="en-IE"/>
                </w:rPr>
              </m:ctrlPr>
            </m:fPr>
            <m:num>
              <m:r>
                <w:rPr>
                  <w:rFonts w:ascii="Cambria Math" w:hAnsi="Cambria Math"/>
                  <w:sz w:val="22"/>
                  <w:lang w:val="en-IE"/>
                </w:rPr>
                <m:t>R</m:t>
              </m:r>
              <m:sSub>
                <m:sSubPr>
                  <m:ctrlPr>
                    <w:rPr>
                      <w:rFonts w:ascii="Cambria Math" w:hAnsi="Cambria Math"/>
                      <w:i/>
                      <w:sz w:val="22"/>
                      <w:lang w:val="en-IE"/>
                    </w:rPr>
                  </m:ctrlPr>
                </m:sSubPr>
                <m:e>
                  <m:r>
                    <w:rPr>
                      <w:rFonts w:ascii="Cambria Math" w:hAnsi="Cambria Math"/>
                      <w:sz w:val="22"/>
                      <w:lang w:val="en-IE"/>
                    </w:rPr>
                    <m:t>R</m:t>
                  </m:r>
                </m:e>
                <m:sub>
                  <m:r>
                    <w:rPr>
                      <w:rFonts w:ascii="Cambria Math" w:hAnsi="Cambria Math"/>
                      <w:sz w:val="22"/>
                      <w:lang w:val="en-IE"/>
                    </w:rPr>
                    <m:t>intra</m:t>
                  </m:r>
                </m:sub>
              </m:sSub>
              <m:ctrlPr>
                <w:rPr>
                  <w:rFonts w:ascii="Cambria Math" w:hAnsi="Cambria Math"/>
                  <w:i/>
                  <w:sz w:val="22"/>
                  <w:lang w:val="en-IE"/>
                </w:rPr>
              </m:ctrlPr>
            </m:num>
            <m:den>
              <m:r>
                <w:rPr>
                  <w:rFonts w:ascii="Cambria Math" w:hAnsi="Cambria Math"/>
                  <w:sz w:val="22"/>
                  <w:lang w:val="en-IE"/>
                </w:rPr>
                <m:t>R</m:t>
              </m:r>
              <m:sSub>
                <m:sSubPr>
                  <m:ctrlPr>
                    <w:rPr>
                      <w:rFonts w:ascii="Cambria Math" w:hAnsi="Cambria Math"/>
                      <w:i/>
                      <w:sz w:val="22"/>
                      <w:lang w:val="en-IE"/>
                    </w:rPr>
                  </m:ctrlPr>
                </m:sSubPr>
                <m:e>
                  <m:r>
                    <w:rPr>
                      <w:rFonts w:ascii="Cambria Math" w:hAnsi="Cambria Math"/>
                      <w:sz w:val="22"/>
                      <w:lang w:val="en-IE"/>
                    </w:rPr>
                    <m:t>R</m:t>
                  </m:r>
                </m:e>
                <m:sub>
                  <m:r>
                    <w:rPr>
                      <w:rFonts w:ascii="Cambria Math" w:hAnsi="Cambria Math"/>
                      <w:sz w:val="22"/>
                      <w:lang w:val="en-IE"/>
                    </w:rPr>
                    <m:t>inter</m:t>
                  </m:r>
                </m:sub>
              </m:sSub>
              <m:ctrlPr>
                <w:rPr>
                  <w:rFonts w:ascii="Cambria Math" w:hAnsi="Cambria Math"/>
                  <w:i/>
                  <w:sz w:val="22"/>
                  <w:lang w:val="en-IE"/>
                </w:rPr>
              </m:ctrlPr>
            </m:den>
          </m:f>
          <m:r>
            <w:rPr>
              <w:rFonts w:ascii="Cambria Math" w:hAnsi="Cambria Math"/>
              <w:sz w:val="22"/>
              <w:lang w:val="en-IE"/>
            </w:rPr>
            <m:t xml:space="preserve"> (2)</m:t>
          </m:r>
        </m:oMath>
      </m:oMathPara>
    </w:p>
    <w:p w14:paraId="4EF84991" w14:textId="5687AB7D" w:rsidR="00D933C7" w:rsidRPr="00555462" w:rsidRDefault="00D933C7" w:rsidP="00D933C7">
      <w:pPr>
        <w:spacing w:line="480" w:lineRule="auto"/>
        <w:rPr>
          <w:rFonts w:ascii="Times New Roman" w:hAnsi="Times New Roman"/>
          <w:sz w:val="22"/>
          <w:lang w:val="en-IE"/>
        </w:rPr>
      </w:pPr>
      <w:r w:rsidRPr="00555462">
        <w:rPr>
          <w:rFonts w:ascii="Times New Roman" w:hAnsi="Times New Roman"/>
          <w:sz w:val="22"/>
          <w:lang w:val="en-IE"/>
        </w:rPr>
        <w:t xml:space="preserve"> </w:t>
      </w:r>
      <w:bookmarkStart w:id="1" w:name="_Hlk54264559"/>
      <w:r w:rsidRPr="00555462">
        <w:rPr>
          <w:rFonts w:ascii="Times New Roman" w:hAnsi="Times New Roman"/>
          <w:sz w:val="22"/>
          <w:lang w:val="en-IE"/>
        </w:rPr>
        <w:t>where RR</w:t>
      </w:r>
      <w:r w:rsidRPr="00555462">
        <w:rPr>
          <w:rFonts w:ascii="Times New Roman" w:hAnsi="Times New Roman"/>
          <w:sz w:val="22"/>
          <w:vertAlign w:val="subscript"/>
          <w:lang w:val="en-IE"/>
        </w:rPr>
        <w:t>intra</w:t>
      </w:r>
      <w:r w:rsidRPr="00555462">
        <w:rPr>
          <w:rFonts w:ascii="Times New Roman" w:hAnsi="Times New Roman"/>
          <w:sz w:val="22"/>
          <w:lang w:val="en-IE"/>
        </w:rPr>
        <w:t xml:space="preserve"> designates the average of the relative risk of a block with the other blocks of its cluster, and where RR</w:t>
      </w:r>
      <w:r w:rsidRPr="00555462">
        <w:rPr>
          <w:rFonts w:ascii="Times New Roman" w:hAnsi="Times New Roman"/>
          <w:sz w:val="22"/>
          <w:vertAlign w:val="subscript"/>
          <w:lang w:val="en-IE"/>
        </w:rPr>
        <w:t>inter</w:t>
      </w:r>
      <w:r w:rsidRPr="00555462">
        <w:rPr>
          <w:rFonts w:ascii="Times New Roman" w:hAnsi="Times New Roman"/>
          <w:sz w:val="22"/>
          <w:lang w:val="en-IE"/>
        </w:rPr>
        <w:t xml:space="preserve"> designates the maximum average of the relative risk of a block with a cluster other than its own.</w:t>
      </w:r>
      <w:bookmarkEnd w:id="1"/>
      <w:r w:rsidRPr="00555462">
        <w:rPr>
          <w:rFonts w:ascii="Times New Roman" w:hAnsi="Times New Roman"/>
          <w:sz w:val="22"/>
          <w:lang w:val="en-IE"/>
        </w:rPr>
        <w:t xml:space="preserve"> These indicators yield a coherent measure of the intra-cluster and inter-cluster inertia to assess the quality of the clustering solution using directly categorical data</w:t>
      </w:r>
      <w:r w:rsidRPr="00555462">
        <w:rPr>
          <w:rFonts w:ascii="Times New Roman" w:hAnsi="Times New Roman"/>
          <w:sz w:val="22"/>
          <w:lang w:val="en-IE"/>
        </w:rPr>
        <w:fldChar w:fldCharType="begin" w:fldLock="1"/>
      </w:r>
      <w:r w:rsidR="00057AAE">
        <w:rPr>
          <w:rFonts w:ascii="Times New Roman" w:hAnsi="Times New Roman"/>
          <w:sz w:val="22"/>
          <w:lang w:val="en-IE"/>
        </w:rPr>
        <w:instrText>ADDIN CSL_CITATION {"citationItems":[{"id":"ITEM-1","itemData":{"DOI":"10.1016/j.eswa.2014.09.012","ISSN":"0957-4174","abstract":"Inside the clustering problem of categorical data resides the challenge of choosing the most adequate similarity measure. The existing literature presents several similarity measures, starting from the ones based on simple matching up to the most complex ones based on Entropy. The following issue, therefore, is raised: is there a similarity measure containing characteristics which offer more stability and also provides satisfactory results in databases involving categorical variables? To answer this, this work compared nine different similarity measures using the TaxMap clustering mechanism, and in order to evaluate the clustering, four quality measures were considered: NCC, Entropy, Compactness and Silhouette Index. Tests were performed in 15 different databases containing categorical data extracted from public repositories of distinct sizes and contexts. Analyzing the results from the tests, and by means of a pairwise ranking, it was observed that the coefficient of Gower, the simplest similarity measure presented in this work, obtained the best performance overall. It was considered the ideal measure since it provided satisfactory results for the databases considered.","author":[{"dropping-particle":"","family":"Santos","given":"Tiago R L","non-dropping-particle":"dos","parse-names":false,"suffix":""},{"dropping-particle":"","family":"Zárate","given":"Luis E","non-dropping-particle":"","parse-names":false,"suffix":""}],"container-title":"Expert Systems with Applications","id":"ITEM-1","issue":"3","issued":{"date-parts":[["2015"]]},"page":"1247-1260","title":"Categorical data clustering: What similarity measure to recommend?","title-short":"Categorical data clustering","type":"article-journal","volume":"42"},"uris":["http://www.mendeley.com/documents/?uuid=3fcd29fe-2c1b-33f8-a985-d3c050dd18e1"]}],"mendeley":{"formattedCitation":"&lt;sup&gt;11&lt;/sup&gt;","plainTextFormattedCitation":"11","previouslyFormattedCitation":"&lt;sup&gt;11&lt;/sup&gt;"},"properties":{"noteIndex":0},"schema":"https://github.com/citation-style-language/schema/raw/master/csl-citation.json"}</w:instrText>
      </w:r>
      <w:r w:rsidRPr="00555462">
        <w:rPr>
          <w:rFonts w:ascii="Times New Roman" w:hAnsi="Times New Roman"/>
          <w:sz w:val="22"/>
          <w:lang w:val="en-IE"/>
        </w:rPr>
        <w:fldChar w:fldCharType="separate"/>
      </w:r>
      <w:r w:rsidR="00712578" w:rsidRPr="00712578">
        <w:rPr>
          <w:rFonts w:ascii="Times New Roman" w:hAnsi="Times New Roman"/>
          <w:noProof/>
          <w:sz w:val="22"/>
          <w:vertAlign w:val="superscript"/>
          <w:lang w:val="en-IE"/>
        </w:rPr>
        <w:t>11</w:t>
      </w:r>
      <w:r w:rsidRPr="00555462">
        <w:rPr>
          <w:rFonts w:ascii="Times New Roman" w:hAnsi="Times New Roman"/>
          <w:sz w:val="22"/>
          <w:lang w:val="en-IE"/>
        </w:rPr>
        <w:fldChar w:fldCharType="end"/>
      </w:r>
      <w:r w:rsidRPr="00555462">
        <w:rPr>
          <w:rFonts w:ascii="Times New Roman" w:hAnsi="Times New Roman"/>
          <w:sz w:val="22"/>
          <w:lang w:val="en-IE"/>
        </w:rPr>
        <w:t>, they can be written as:</w:t>
      </w:r>
    </w:p>
    <w:p w14:paraId="262B15D8" w14:textId="77777777" w:rsidR="00D933C7" w:rsidRPr="00555462" w:rsidRDefault="00D933C7" w:rsidP="00D933C7">
      <w:pPr>
        <w:pStyle w:val="PrformatHTML"/>
        <w:spacing w:line="480" w:lineRule="auto"/>
        <w:rPr>
          <w:rFonts w:ascii="Cambria Math" w:hAnsi="Cambria Math" w:cs="Times New Roman"/>
          <w:sz w:val="22"/>
          <w:szCs w:val="22"/>
          <w:lang w:val="en-IE"/>
          <w:oMath/>
        </w:rPr>
      </w:pPr>
      <m:oMathPara>
        <m:oMath>
          <m:r>
            <w:rPr>
              <w:rFonts w:ascii="Cambria Math" w:hAnsi="Cambria Math" w:cs="Times New Roman"/>
              <w:sz w:val="22"/>
              <w:szCs w:val="22"/>
              <w:lang w:val="en-IE"/>
            </w:rPr>
            <m:t>R</m:t>
          </m:r>
          <m:sSub>
            <m:sSubPr>
              <m:ctrlPr>
                <w:rPr>
                  <w:rFonts w:ascii="Cambria Math" w:hAnsi="Cambria Math" w:cs="Times New Roman"/>
                  <w:i/>
                  <w:sz w:val="22"/>
                  <w:szCs w:val="22"/>
                  <w:lang w:val="en-IE"/>
                </w:rPr>
              </m:ctrlPr>
            </m:sSubPr>
            <m:e>
              <m:r>
                <w:rPr>
                  <w:rFonts w:ascii="Cambria Math" w:hAnsi="Cambria Math" w:cs="Times New Roman"/>
                  <w:sz w:val="22"/>
                  <w:szCs w:val="22"/>
                  <w:lang w:val="en-IE"/>
                </w:rPr>
                <m:t>R</m:t>
              </m:r>
            </m:e>
            <m:sub>
              <m:r>
                <w:rPr>
                  <w:rFonts w:ascii="Cambria Math" w:hAnsi="Cambria Math" w:cs="Times New Roman"/>
                  <w:sz w:val="22"/>
                  <w:szCs w:val="22"/>
                  <w:lang w:val="en-IE"/>
                </w:rPr>
                <m:t>intra</m:t>
              </m:r>
            </m:sub>
          </m:sSub>
          <m:r>
            <w:rPr>
              <w:rFonts w:ascii="Cambria Math" w:hAnsi="Cambria Math" w:cs="Times New Roman"/>
              <w:sz w:val="22"/>
              <w:szCs w:val="22"/>
              <w:lang w:val="en-IE"/>
            </w:rPr>
            <m:t>=</m:t>
          </m:r>
          <m:nary>
            <m:naryPr>
              <m:chr m:val="∑"/>
              <m:supHide m:val="1"/>
              <m:ctrlPr>
                <w:rPr>
                  <w:rFonts w:ascii="Cambria Math" w:hAnsi="Cambria Math" w:cs="Times New Roman"/>
                  <w:sz w:val="22"/>
                  <w:szCs w:val="22"/>
                  <w:lang w:val="en-IE"/>
                </w:rPr>
              </m:ctrlPr>
            </m:naryPr>
            <m:sub>
              <m:r>
                <w:rPr>
                  <w:rFonts w:ascii="Cambria Math" w:hAnsi="Cambria Math" w:cs="Times New Roman"/>
                  <w:sz w:val="22"/>
                  <w:szCs w:val="22"/>
                  <w:lang w:val="en-IE"/>
                </w:rPr>
                <m:t>i</m:t>
              </m:r>
              <m:r>
                <m:rPr>
                  <m:sty m:val="p"/>
                </m:rPr>
                <w:rPr>
                  <w:rFonts w:ascii="Cambria Math" w:hAnsi="Cambria Math" w:cs="Times New Roman"/>
                  <w:sz w:val="22"/>
                  <w:szCs w:val="22"/>
                  <w:lang w:val="en-IE"/>
                </w:rPr>
                <m:t>∈</m:t>
              </m:r>
              <m:r>
                <w:rPr>
                  <w:rFonts w:ascii="Cambria Math" w:hAnsi="Cambria Math" w:cs="Times New Roman"/>
                  <w:sz w:val="22"/>
                  <w:szCs w:val="22"/>
                  <w:lang w:val="en-IE"/>
                </w:rPr>
                <m:t>D</m:t>
              </m:r>
              <m:ctrlPr>
                <w:rPr>
                  <w:rFonts w:ascii="Cambria Math" w:hAnsi="Cambria Math" w:cs="Times New Roman"/>
                  <w:i/>
                  <w:sz w:val="22"/>
                  <w:szCs w:val="22"/>
                  <w:lang w:val="en-IE"/>
                </w:rPr>
              </m:ctrlPr>
            </m:sub>
            <m:sup>
              <m:ctrlPr>
                <w:rPr>
                  <w:rFonts w:ascii="Cambria Math" w:hAnsi="Cambria Math" w:cs="Times New Roman"/>
                  <w:i/>
                  <w:sz w:val="22"/>
                  <w:szCs w:val="22"/>
                  <w:lang w:val="en-IE"/>
                </w:rPr>
              </m:ctrlPr>
            </m:sup>
            <m:e>
              <m:sSub>
                <m:sSubPr>
                  <m:ctrlPr>
                    <w:rPr>
                      <w:rFonts w:ascii="Cambria Math" w:hAnsi="Cambria Math" w:cs="Times New Roman"/>
                      <w:i/>
                      <w:sz w:val="22"/>
                      <w:szCs w:val="22"/>
                      <w:lang w:val="en-IE"/>
                    </w:rPr>
                  </m:ctrlPr>
                </m:sSubPr>
                <m:e>
                  <m:r>
                    <w:rPr>
                      <w:rFonts w:ascii="Cambria Math" w:hAnsi="Cambria Math" w:cs="Times New Roman"/>
                      <w:sz w:val="22"/>
                      <w:szCs w:val="22"/>
                      <w:lang w:val="en-IE"/>
                    </w:rPr>
                    <m:t>p</m:t>
                  </m:r>
                </m:e>
                <m:sub>
                  <m:r>
                    <w:rPr>
                      <w:rFonts w:ascii="Cambria Math" w:hAnsi="Cambria Math" w:cs="Times New Roman"/>
                      <w:sz w:val="22"/>
                      <w:szCs w:val="22"/>
                      <w:lang w:val="en-IE"/>
                    </w:rPr>
                    <m:t>i</m:t>
                  </m:r>
                </m:sub>
              </m:sSub>
              <m:ctrlPr>
                <w:rPr>
                  <w:rFonts w:ascii="Cambria Math" w:hAnsi="Cambria Math" w:cs="Times New Roman"/>
                  <w:i/>
                  <w:sz w:val="22"/>
                  <w:szCs w:val="22"/>
                  <w:lang w:val="en-IE"/>
                </w:rPr>
              </m:ctrlPr>
            </m:e>
          </m:nary>
          <m:r>
            <w:rPr>
              <w:rFonts w:ascii="Cambria Math" w:hAnsi="Cambria Math" w:cs="Times New Roman"/>
              <w:sz w:val="22"/>
              <w:szCs w:val="22"/>
              <w:lang w:val="en-IE"/>
            </w:rPr>
            <m:t>*R</m:t>
          </m:r>
          <m:sSub>
            <m:sSubPr>
              <m:ctrlPr>
                <w:rPr>
                  <w:rFonts w:ascii="Cambria Math" w:hAnsi="Cambria Math" w:cs="Times New Roman"/>
                  <w:i/>
                  <w:sz w:val="22"/>
                  <w:szCs w:val="22"/>
                  <w:lang w:val="en-IE"/>
                </w:rPr>
              </m:ctrlPr>
            </m:sSubPr>
            <m:e>
              <m:r>
                <w:rPr>
                  <w:rFonts w:ascii="Cambria Math" w:hAnsi="Cambria Math" w:cs="Times New Roman"/>
                  <w:sz w:val="22"/>
                  <w:szCs w:val="22"/>
                  <w:lang w:val="en-IE"/>
                </w:rPr>
                <m:t>R</m:t>
              </m:r>
            </m:e>
            <m:sub>
              <m:r>
                <w:rPr>
                  <w:rFonts w:ascii="Cambria Math" w:hAnsi="Cambria Math" w:cs="Times New Roman"/>
                  <w:sz w:val="22"/>
                  <w:szCs w:val="22"/>
                  <w:lang w:val="en-IE"/>
                </w:rPr>
                <m:t>i</m:t>
              </m:r>
              <m:acc>
                <m:accPr>
                  <m:chr m:val="̃"/>
                  <m:ctrlPr>
                    <w:rPr>
                      <w:rFonts w:ascii="Cambria Math" w:hAnsi="Cambria Math" w:cs="Times New Roman"/>
                      <w:sz w:val="22"/>
                      <w:szCs w:val="22"/>
                      <w:lang w:val="en-IE"/>
                    </w:rPr>
                  </m:ctrlPr>
                </m:accPr>
                <m:e>
                  <m:r>
                    <w:rPr>
                      <w:rFonts w:ascii="Cambria Math" w:hAnsi="Cambria Math" w:cs="Times New Roman"/>
                      <w:sz w:val="22"/>
                      <w:szCs w:val="22"/>
                      <w:lang w:val="en-IE"/>
                    </w:rPr>
                    <m:t>c</m:t>
                  </m:r>
                </m:e>
              </m:acc>
              <m:d>
                <m:dPr>
                  <m:ctrlPr>
                    <w:rPr>
                      <w:rFonts w:ascii="Cambria Math" w:hAnsi="Cambria Math" w:cs="Times New Roman"/>
                      <w:i/>
                      <w:sz w:val="22"/>
                      <w:szCs w:val="22"/>
                      <w:lang w:val="en-IE"/>
                    </w:rPr>
                  </m:ctrlPr>
                </m:dPr>
                <m:e>
                  <m:r>
                    <w:rPr>
                      <w:rFonts w:ascii="Cambria Math" w:hAnsi="Cambria Math" w:cs="Times New Roman"/>
                      <w:sz w:val="22"/>
                      <w:szCs w:val="22"/>
                      <w:lang w:val="en-IE"/>
                    </w:rPr>
                    <m:t>i</m:t>
                  </m:r>
                </m:e>
              </m:d>
            </m:sub>
          </m:sSub>
          <m:r>
            <w:rPr>
              <w:rFonts w:ascii="Cambria Math" w:hAnsi="Cambria Math" w:cs="Times New Roman"/>
              <w:sz w:val="22"/>
              <w:szCs w:val="22"/>
              <w:lang w:val="en-IE"/>
            </w:rPr>
            <m:t xml:space="preserve"> (3)</m:t>
          </m:r>
        </m:oMath>
      </m:oMathPara>
    </w:p>
    <w:p w14:paraId="5DF1D4F6" w14:textId="77777777" w:rsidR="00D933C7" w:rsidRPr="00555462" w:rsidRDefault="00D933C7" w:rsidP="00D93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Times New Roman" w:hAnsi="Times New Roman"/>
          <w:sz w:val="22"/>
          <w:lang w:val="en-IE" w:eastAsia="fr-FR"/>
        </w:rPr>
      </w:pPr>
      <m:oMathPara>
        <m:oMath>
          <m:r>
            <w:rPr>
              <w:rFonts w:ascii="Cambria Math" w:eastAsia="Times New Roman" w:hAnsi="Cambria Math"/>
              <w:sz w:val="22"/>
              <w:lang w:val="en-IE" w:eastAsia="fr-FR"/>
            </w:rPr>
            <m:t>R</m:t>
          </m:r>
          <m:sSub>
            <m:sSubPr>
              <m:ctrlPr>
                <w:rPr>
                  <w:rFonts w:ascii="Cambria Math" w:eastAsia="Times New Roman" w:hAnsi="Cambria Math"/>
                  <w:i/>
                  <w:sz w:val="22"/>
                  <w:lang w:val="en-IE" w:eastAsia="fr-FR"/>
                </w:rPr>
              </m:ctrlPr>
            </m:sSubPr>
            <m:e>
              <m:r>
                <w:rPr>
                  <w:rFonts w:ascii="Cambria Math" w:eastAsia="Times New Roman" w:hAnsi="Cambria Math"/>
                  <w:sz w:val="22"/>
                  <w:lang w:val="en-IE" w:eastAsia="fr-FR"/>
                </w:rPr>
                <m:t>R</m:t>
              </m:r>
            </m:e>
            <m:sub>
              <m:r>
                <w:rPr>
                  <w:rFonts w:ascii="Cambria Math" w:eastAsia="Times New Roman" w:hAnsi="Cambria Math"/>
                  <w:sz w:val="22"/>
                  <w:lang w:val="en-IE" w:eastAsia="fr-FR"/>
                </w:rPr>
                <m:t>inter</m:t>
              </m:r>
            </m:sub>
          </m:sSub>
          <m:r>
            <w:rPr>
              <w:rFonts w:ascii="Cambria Math" w:eastAsia="Times New Roman" w:hAnsi="Cambria Math"/>
              <w:sz w:val="22"/>
              <w:lang w:val="en-IE" w:eastAsia="fr-FR"/>
            </w:rPr>
            <m:t>=</m:t>
          </m:r>
          <m:nary>
            <m:naryPr>
              <m:chr m:val="∑"/>
              <m:supHide m:val="1"/>
              <m:ctrlPr>
                <w:rPr>
                  <w:rFonts w:ascii="Cambria Math" w:eastAsia="Times New Roman" w:hAnsi="Cambria Math"/>
                  <w:sz w:val="22"/>
                  <w:lang w:val="en-IE" w:eastAsia="fr-FR"/>
                </w:rPr>
              </m:ctrlPr>
            </m:naryPr>
            <m:sub>
              <m:r>
                <w:rPr>
                  <w:rFonts w:ascii="Cambria Math" w:eastAsia="Times New Roman" w:hAnsi="Cambria Math"/>
                  <w:sz w:val="22"/>
                  <w:lang w:val="en-IE" w:eastAsia="fr-FR"/>
                </w:rPr>
                <m:t>i</m:t>
              </m:r>
              <m:r>
                <m:rPr>
                  <m:sty m:val="p"/>
                </m:rPr>
                <w:rPr>
                  <w:rFonts w:ascii="Cambria Math" w:eastAsia="Times New Roman" w:hAnsi="Cambria Math"/>
                  <w:sz w:val="22"/>
                  <w:lang w:val="en-IE" w:eastAsia="fr-FR"/>
                </w:rPr>
                <m:t>∈</m:t>
              </m:r>
              <m:r>
                <w:rPr>
                  <w:rFonts w:ascii="Cambria Math" w:eastAsia="Times New Roman" w:hAnsi="Cambria Math"/>
                  <w:sz w:val="22"/>
                  <w:lang w:val="en-IE" w:eastAsia="fr-FR"/>
                </w:rPr>
                <m:t>D</m:t>
              </m:r>
              <m:ctrlPr>
                <w:rPr>
                  <w:rFonts w:ascii="Cambria Math" w:eastAsia="Times New Roman" w:hAnsi="Cambria Math"/>
                  <w:i/>
                  <w:sz w:val="22"/>
                  <w:lang w:val="en-IE" w:eastAsia="fr-FR"/>
                </w:rPr>
              </m:ctrlPr>
            </m:sub>
            <m:sup>
              <m:ctrlPr>
                <w:rPr>
                  <w:rFonts w:ascii="Cambria Math" w:eastAsia="Times New Roman" w:hAnsi="Cambria Math"/>
                  <w:i/>
                  <w:sz w:val="22"/>
                  <w:lang w:val="en-IE" w:eastAsia="fr-FR"/>
                </w:rPr>
              </m:ctrlPr>
            </m:sup>
            <m:e>
              <m:sSub>
                <m:sSubPr>
                  <m:ctrlPr>
                    <w:rPr>
                      <w:rFonts w:ascii="Cambria Math" w:eastAsia="Times New Roman" w:hAnsi="Cambria Math"/>
                      <w:i/>
                      <w:sz w:val="22"/>
                      <w:lang w:val="en-IE" w:eastAsia="fr-FR"/>
                    </w:rPr>
                  </m:ctrlPr>
                </m:sSubPr>
                <m:e>
                  <m:r>
                    <w:rPr>
                      <w:rFonts w:ascii="Cambria Math" w:eastAsia="Times New Roman" w:hAnsi="Cambria Math"/>
                      <w:sz w:val="22"/>
                      <w:lang w:val="en-IE" w:eastAsia="fr-FR"/>
                    </w:rPr>
                    <m:t>p</m:t>
                  </m:r>
                </m:e>
                <m:sub>
                  <m:r>
                    <w:rPr>
                      <w:rFonts w:ascii="Cambria Math" w:eastAsia="Times New Roman" w:hAnsi="Cambria Math"/>
                      <w:sz w:val="22"/>
                      <w:lang w:val="en-IE" w:eastAsia="fr-FR"/>
                    </w:rPr>
                    <m:t>i</m:t>
                  </m:r>
                </m:sub>
              </m:sSub>
              <m:ctrlPr>
                <w:rPr>
                  <w:rFonts w:ascii="Cambria Math" w:eastAsia="Times New Roman" w:hAnsi="Cambria Math"/>
                  <w:i/>
                  <w:sz w:val="22"/>
                  <w:lang w:val="en-IE" w:eastAsia="fr-FR"/>
                </w:rPr>
              </m:ctrlPr>
            </m:e>
          </m:nary>
          <m:r>
            <w:rPr>
              <w:rFonts w:ascii="Cambria Math" w:eastAsia="Times New Roman" w:hAnsi="Cambria Math"/>
              <w:sz w:val="22"/>
              <w:lang w:val="en-IE" w:eastAsia="fr-FR"/>
            </w:rPr>
            <m:t>*</m:t>
          </m:r>
          <m:func>
            <m:funcPr>
              <m:ctrlPr>
                <w:rPr>
                  <w:rFonts w:ascii="Cambria Math" w:eastAsia="Times New Roman" w:hAnsi="Cambria Math"/>
                  <w:sz w:val="22"/>
                  <w:lang w:val="en-IE" w:eastAsia="fr-FR"/>
                </w:rPr>
              </m:ctrlPr>
            </m:funcPr>
            <m:fName>
              <m:limLow>
                <m:limLowPr>
                  <m:ctrlPr>
                    <w:rPr>
                      <w:rFonts w:ascii="Cambria Math" w:eastAsia="Times New Roman" w:hAnsi="Cambria Math"/>
                      <w:i/>
                      <w:sz w:val="22"/>
                      <w:lang w:val="en-IE" w:eastAsia="fr-FR"/>
                    </w:rPr>
                  </m:ctrlPr>
                </m:limLowPr>
                <m:e>
                  <m:r>
                    <m:rPr>
                      <m:sty m:val="p"/>
                    </m:rPr>
                    <w:rPr>
                      <w:rFonts w:ascii="Cambria Math" w:eastAsia="Times New Roman" w:hAnsi="Cambria Math"/>
                      <w:sz w:val="22"/>
                      <w:lang w:val="en-IE" w:eastAsia="fr-FR"/>
                    </w:rPr>
                    <m:t>max</m:t>
                  </m:r>
                </m:e>
                <m:lim>
                  <m:r>
                    <w:rPr>
                      <w:rFonts w:ascii="Cambria Math" w:eastAsia="Times New Roman" w:hAnsi="Cambria Math"/>
                      <w:sz w:val="22"/>
                      <w:lang w:val="en-IE" w:eastAsia="fr-FR"/>
                    </w:rPr>
                    <m:t>k</m:t>
                  </m:r>
                  <m:r>
                    <m:rPr>
                      <m:sty m:val="p"/>
                    </m:rPr>
                    <w:rPr>
                      <w:rFonts w:ascii="Cambria Math" w:eastAsia="Times New Roman" w:hAnsi="Cambria Math"/>
                      <w:sz w:val="22"/>
                      <w:lang w:val="en-IE" w:eastAsia="fr-FR"/>
                    </w:rPr>
                    <m:t>∈</m:t>
                  </m:r>
                  <m:r>
                    <w:rPr>
                      <w:rFonts w:ascii="Cambria Math" w:eastAsia="Times New Roman" w:hAnsi="Cambria Math"/>
                      <w:sz w:val="22"/>
                      <w:lang w:val="en-IE" w:eastAsia="fr-FR"/>
                    </w:rPr>
                    <m:t>C</m:t>
                  </m:r>
                  <m:r>
                    <m:rPr>
                      <m:lit/>
                    </m:rPr>
                    <w:rPr>
                      <w:rFonts w:ascii="Cambria Math" w:eastAsia="Times New Roman" w:hAnsi="Cambria Math"/>
                      <w:sz w:val="22"/>
                      <w:lang w:val="en-IE" w:eastAsia="fr-FR"/>
                    </w:rPr>
                    <m:t>/</m:t>
                  </m:r>
                  <m:r>
                    <w:rPr>
                      <w:rFonts w:ascii="Cambria Math" w:eastAsia="Times New Roman" w:hAnsi="Cambria Math"/>
                      <w:sz w:val="22"/>
                      <w:lang w:val="en-IE" w:eastAsia="fr-FR"/>
                    </w:rPr>
                    <m:t>k</m:t>
                  </m:r>
                  <m:r>
                    <m:rPr>
                      <m:sty m:val="p"/>
                    </m:rPr>
                    <w:rPr>
                      <w:rFonts w:ascii="Cambria Math" w:eastAsia="Times New Roman" w:hAnsi="Cambria Math"/>
                      <w:sz w:val="22"/>
                      <w:lang w:val="en-IE" w:eastAsia="fr-FR"/>
                    </w:rPr>
                    <m:t>≠</m:t>
                  </m:r>
                  <m:r>
                    <w:rPr>
                      <w:rFonts w:ascii="Cambria Math" w:eastAsia="Times New Roman" w:hAnsi="Cambria Math"/>
                      <w:sz w:val="22"/>
                      <w:lang w:val="en-IE" w:eastAsia="fr-FR"/>
                    </w:rPr>
                    <m:t>c</m:t>
                  </m:r>
                  <m:d>
                    <m:dPr>
                      <m:ctrlPr>
                        <w:rPr>
                          <w:rFonts w:ascii="Cambria Math" w:eastAsia="Times New Roman" w:hAnsi="Cambria Math"/>
                          <w:i/>
                          <w:sz w:val="22"/>
                          <w:lang w:val="en-IE" w:eastAsia="fr-FR"/>
                        </w:rPr>
                      </m:ctrlPr>
                    </m:dPr>
                    <m:e>
                      <m:r>
                        <w:rPr>
                          <w:rFonts w:ascii="Cambria Math" w:eastAsia="Times New Roman" w:hAnsi="Cambria Math"/>
                          <w:sz w:val="22"/>
                          <w:lang w:val="en-IE" w:eastAsia="fr-FR"/>
                        </w:rPr>
                        <m:t>i</m:t>
                      </m:r>
                    </m:e>
                  </m:d>
                  <m:ctrlPr>
                    <w:rPr>
                      <w:rFonts w:ascii="Cambria Math" w:eastAsia="Times New Roman" w:hAnsi="Cambria Math"/>
                      <w:sz w:val="22"/>
                      <w:lang w:val="en-IE" w:eastAsia="fr-FR"/>
                    </w:rPr>
                  </m:ctrlPr>
                </m:lim>
              </m:limLow>
              <m:ctrlPr>
                <w:rPr>
                  <w:rFonts w:ascii="Cambria Math" w:eastAsia="Times New Roman" w:hAnsi="Cambria Math"/>
                  <w:i/>
                  <w:sz w:val="22"/>
                  <w:lang w:val="en-IE" w:eastAsia="fr-FR"/>
                </w:rPr>
              </m:ctrlPr>
            </m:fName>
            <m:e>
              <m:r>
                <w:rPr>
                  <w:rFonts w:ascii="Cambria Math" w:eastAsia="Times New Roman" w:hAnsi="Cambria Math"/>
                  <w:sz w:val="22"/>
                  <w:lang w:val="en-IE" w:eastAsia="fr-FR"/>
                </w:rPr>
                <m:t>R</m:t>
              </m:r>
              <m:sSub>
                <m:sSubPr>
                  <m:ctrlPr>
                    <w:rPr>
                      <w:rFonts w:ascii="Cambria Math" w:eastAsia="Times New Roman" w:hAnsi="Cambria Math"/>
                      <w:i/>
                      <w:sz w:val="22"/>
                      <w:lang w:val="en-IE" w:eastAsia="fr-FR"/>
                    </w:rPr>
                  </m:ctrlPr>
                </m:sSubPr>
                <m:e>
                  <m:r>
                    <w:rPr>
                      <w:rFonts w:ascii="Cambria Math" w:eastAsia="Times New Roman" w:hAnsi="Cambria Math"/>
                      <w:sz w:val="22"/>
                      <w:lang w:val="en-IE" w:eastAsia="fr-FR"/>
                    </w:rPr>
                    <m:t>R</m:t>
                  </m:r>
                </m:e>
                <m:sub>
                  <m:r>
                    <w:rPr>
                      <w:rFonts w:ascii="Cambria Math" w:eastAsia="Times New Roman" w:hAnsi="Cambria Math"/>
                      <w:sz w:val="22"/>
                      <w:lang w:val="en-IE" w:eastAsia="fr-FR"/>
                    </w:rPr>
                    <m:t>ik</m:t>
                  </m:r>
                </m:sub>
              </m:sSub>
              <m:ctrlPr>
                <w:rPr>
                  <w:rFonts w:ascii="Cambria Math" w:eastAsia="Times New Roman" w:hAnsi="Cambria Math"/>
                  <w:i/>
                  <w:sz w:val="22"/>
                  <w:lang w:val="en-IE" w:eastAsia="fr-FR"/>
                </w:rPr>
              </m:ctrlPr>
            </m:e>
          </m:func>
          <m:d>
            <m:dPr>
              <m:ctrlPr>
                <w:rPr>
                  <w:rFonts w:ascii="Cambria Math" w:eastAsia="Times New Roman" w:hAnsi="Cambria Math"/>
                  <w:i/>
                  <w:sz w:val="22"/>
                  <w:lang w:val="en-IE" w:eastAsia="fr-FR"/>
                </w:rPr>
              </m:ctrlPr>
            </m:dPr>
            <m:e>
              <m:r>
                <w:rPr>
                  <w:rFonts w:ascii="Cambria Math" w:eastAsia="Times New Roman" w:hAnsi="Cambria Math"/>
                  <w:sz w:val="22"/>
                  <w:lang w:val="en-IE" w:eastAsia="fr-FR"/>
                </w:rPr>
                <m:t>4</m:t>
              </m:r>
            </m:e>
          </m:d>
        </m:oMath>
      </m:oMathPara>
    </w:p>
    <w:p w14:paraId="2183C4E0" w14:textId="77777777" w:rsidR="00D933C7" w:rsidRPr="00555462" w:rsidRDefault="00D933C7" w:rsidP="00D93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Times New Roman" w:hAnsi="Times New Roman"/>
          <w:sz w:val="22"/>
          <w:lang w:val="en-US"/>
        </w:rPr>
      </w:pPr>
      <w:r w:rsidRPr="00555462">
        <w:rPr>
          <w:rFonts w:ascii="Times New Roman" w:hAnsi="Times New Roman"/>
          <w:sz w:val="22"/>
          <w:lang w:val="en-IE" w:eastAsia="fr-FR"/>
        </w:rPr>
        <w:t xml:space="preserve">where </w:t>
      </w:r>
      <m:oMath>
        <m:r>
          <w:rPr>
            <w:rFonts w:ascii="Cambria Math" w:hAnsi="Cambria Math"/>
            <w:sz w:val="22"/>
            <w:lang w:val="en-IE" w:eastAsia="fr-FR"/>
          </w:rPr>
          <m:t>D</m:t>
        </m:r>
      </m:oMath>
      <w:r w:rsidRPr="00555462">
        <w:rPr>
          <w:rFonts w:ascii="Times New Roman" w:hAnsi="Times New Roman"/>
          <w:sz w:val="22"/>
          <w:lang w:val="en-IE" w:eastAsia="fr-FR"/>
        </w:rPr>
        <w:t xml:space="preserve"> is the set of diagnoses blocks, </w:t>
      </w:r>
      <m:oMath>
        <m:r>
          <w:rPr>
            <w:rFonts w:ascii="Cambria Math" w:hAnsi="Cambria Math"/>
            <w:sz w:val="22"/>
            <w:lang w:val="en-IE" w:eastAsia="fr-FR"/>
          </w:rPr>
          <m:t>C</m:t>
        </m:r>
      </m:oMath>
      <w:r w:rsidRPr="00555462">
        <w:rPr>
          <w:rFonts w:ascii="Times New Roman" w:hAnsi="Times New Roman"/>
          <w:sz w:val="22"/>
          <w:lang w:val="en-IE" w:eastAsia="fr-FR"/>
        </w:rPr>
        <w:t xml:space="preserve"> is the set of disease clusters of the current clustering solution, </w:t>
      </w:r>
      <m:oMath>
        <m:r>
          <w:rPr>
            <w:rFonts w:ascii="Cambria Math" w:hAnsi="Cambria Math"/>
            <w:sz w:val="22"/>
            <w:lang w:val="en-IE" w:eastAsia="fr-FR"/>
          </w:rPr>
          <m:t>i</m:t>
        </m:r>
      </m:oMath>
      <w:r w:rsidRPr="00555462">
        <w:rPr>
          <w:rFonts w:ascii="Times New Roman" w:hAnsi="Times New Roman"/>
          <w:sz w:val="22"/>
          <w:lang w:val="en-IE" w:eastAsia="fr-FR"/>
        </w:rPr>
        <w:t xml:space="preserve"> is a diagnostic block, </w:t>
      </w:r>
      <m:oMath>
        <m:sSub>
          <m:sSubPr>
            <m:ctrlPr>
              <w:rPr>
                <w:rFonts w:ascii="Cambria Math" w:hAnsi="Cambria Math"/>
                <w:i/>
                <w:sz w:val="22"/>
                <w:vertAlign w:val="subscript"/>
                <w:lang w:val="en-IE"/>
              </w:rPr>
            </m:ctrlPr>
          </m:sSubPr>
          <m:e>
            <m:r>
              <w:rPr>
                <w:rFonts w:ascii="Cambria Math" w:hAnsi="Cambria Math"/>
                <w:sz w:val="22"/>
                <w:lang w:val="en-IE"/>
              </w:rPr>
              <m:t>p</m:t>
            </m:r>
            <m:ctrlPr>
              <w:rPr>
                <w:rFonts w:ascii="Cambria Math" w:hAnsi="Cambria Math"/>
                <w:i/>
                <w:sz w:val="22"/>
                <w:lang w:val="en-IE"/>
              </w:rPr>
            </m:ctrlPr>
          </m:e>
          <m:sub>
            <m:r>
              <w:rPr>
                <w:rFonts w:ascii="Cambria Math" w:hAnsi="Cambria Math"/>
                <w:sz w:val="22"/>
                <w:vertAlign w:val="subscript"/>
                <w:lang w:val="en-IE"/>
              </w:rPr>
              <m:t>i</m:t>
            </m:r>
          </m:sub>
        </m:sSub>
      </m:oMath>
      <w:r w:rsidRPr="00555462">
        <w:rPr>
          <w:rFonts w:ascii="Times New Roman" w:hAnsi="Times New Roman"/>
          <w:sz w:val="22"/>
          <w:lang w:val="en-IE"/>
        </w:rPr>
        <w:t xml:space="preserve"> is the occurrence probability of block </w:t>
      </w:r>
      <m:oMath>
        <m:r>
          <w:rPr>
            <w:rFonts w:ascii="Cambria Math" w:hAnsi="Cambria Math"/>
            <w:sz w:val="22"/>
            <w:lang w:val="en-IE"/>
          </w:rPr>
          <m:t>i</m:t>
        </m:r>
      </m:oMath>
      <w:r w:rsidRPr="00555462">
        <w:rPr>
          <w:rFonts w:ascii="Times New Roman" w:hAnsi="Times New Roman"/>
          <w:sz w:val="22"/>
          <w:lang w:val="en-IE"/>
        </w:rPr>
        <w:t xml:space="preserve">, </w:t>
      </w:r>
      <m:oMath>
        <m:r>
          <w:rPr>
            <w:rFonts w:ascii="Cambria Math" w:hAnsi="Cambria Math"/>
            <w:sz w:val="22"/>
            <w:lang w:val="en-IE"/>
          </w:rPr>
          <m:t>c(i)</m:t>
        </m:r>
      </m:oMath>
      <w:r w:rsidRPr="00555462">
        <w:rPr>
          <w:rFonts w:ascii="Times New Roman" w:hAnsi="Times New Roman"/>
          <w:sz w:val="22"/>
          <w:lang w:val="en-IE"/>
        </w:rPr>
        <w:t xml:space="preserve"> is the disease cluster containing block </w:t>
      </w:r>
      <m:oMath>
        <m:r>
          <w:rPr>
            <w:rFonts w:ascii="Cambria Math" w:hAnsi="Cambria Math"/>
            <w:sz w:val="22"/>
            <w:lang w:val="en-IE"/>
          </w:rPr>
          <m:t>i</m:t>
        </m:r>
      </m:oMath>
      <w:r w:rsidRPr="00555462">
        <w:rPr>
          <w:rFonts w:ascii="Times New Roman" w:hAnsi="Times New Roman"/>
          <w:sz w:val="22"/>
          <w:lang w:val="en-IE"/>
        </w:rPr>
        <w:t xml:space="preserve">, </w:t>
      </w:r>
      <m:oMath>
        <m:acc>
          <m:accPr>
            <m:chr m:val="̃"/>
            <m:ctrlPr>
              <w:rPr>
                <w:rFonts w:ascii="Cambria Math" w:hAnsi="Cambria Math"/>
                <w:sz w:val="22"/>
                <w:lang w:val="en-IE"/>
              </w:rPr>
            </m:ctrlPr>
          </m:accPr>
          <m:e>
            <m:r>
              <w:rPr>
                <w:rFonts w:ascii="Cambria Math" w:hAnsi="Cambria Math"/>
                <w:sz w:val="22"/>
                <w:lang w:val="en-IE"/>
              </w:rPr>
              <m:t>c</m:t>
            </m:r>
          </m:e>
        </m:acc>
        <m:d>
          <m:dPr>
            <m:ctrlPr>
              <w:rPr>
                <w:rFonts w:ascii="Cambria Math" w:hAnsi="Cambria Math"/>
                <w:i/>
                <w:sz w:val="22"/>
                <w:lang w:val="en-IE"/>
              </w:rPr>
            </m:ctrlPr>
          </m:dPr>
          <m:e>
            <m:r>
              <w:rPr>
                <w:rFonts w:ascii="Cambria Math" w:hAnsi="Cambria Math"/>
                <w:sz w:val="22"/>
                <w:lang w:val="en-IE"/>
              </w:rPr>
              <m:t>i</m:t>
            </m:r>
          </m:e>
        </m:d>
      </m:oMath>
      <w:r w:rsidRPr="00555462">
        <w:rPr>
          <w:rFonts w:ascii="Times New Roman" w:hAnsi="Times New Roman"/>
          <w:sz w:val="22"/>
          <w:lang w:val="en-IE"/>
        </w:rPr>
        <w:t xml:space="preserve"> is the disease cluster containing block </w:t>
      </w:r>
      <m:oMath>
        <m:r>
          <w:rPr>
            <w:rFonts w:ascii="Cambria Math" w:hAnsi="Cambria Math"/>
            <w:sz w:val="22"/>
            <w:lang w:val="en-IE"/>
          </w:rPr>
          <m:t>i</m:t>
        </m:r>
      </m:oMath>
      <w:r w:rsidRPr="00555462">
        <w:rPr>
          <w:rFonts w:ascii="Times New Roman" w:hAnsi="Times New Roman"/>
          <w:sz w:val="22"/>
          <w:lang w:val="en-IE"/>
        </w:rPr>
        <w:t xml:space="preserve"> with block </w:t>
      </w:r>
      <m:oMath>
        <m:r>
          <w:rPr>
            <w:rFonts w:ascii="Cambria Math" w:hAnsi="Cambria Math"/>
            <w:sz w:val="22"/>
            <w:lang w:val="en-IE"/>
          </w:rPr>
          <m:t>i</m:t>
        </m:r>
      </m:oMath>
      <w:r w:rsidRPr="00555462">
        <w:rPr>
          <w:rFonts w:ascii="Times New Roman" w:hAnsi="Times New Roman"/>
          <w:sz w:val="22"/>
          <w:lang w:val="en-IE"/>
        </w:rPr>
        <w:t xml:space="preserve"> excluded and</w:t>
      </w:r>
      <m:oMath>
        <m:r>
          <w:rPr>
            <w:rFonts w:ascii="Cambria Math" w:hAnsi="Cambria Math"/>
            <w:sz w:val="22"/>
            <w:lang w:val="en-IE"/>
          </w:rPr>
          <m:t xml:space="preserve"> k</m:t>
        </m:r>
      </m:oMath>
      <w:r w:rsidRPr="00555462">
        <w:rPr>
          <w:rFonts w:ascii="Times New Roman" w:hAnsi="Times New Roman"/>
          <w:sz w:val="22"/>
          <w:lang w:val="en-IE"/>
        </w:rPr>
        <w:t xml:space="preserve"> a disease cluster different from </w:t>
      </w:r>
      <m:oMath>
        <m:r>
          <w:rPr>
            <w:rFonts w:ascii="Cambria Math" w:hAnsi="Cambria Math"/>
            <w:sz w:val="22"/>
            <w:lang w:val="en-IE"/>
          </w:rPr>
          <m:t>c(i).</m:t>
        </m:r>
      </m:oMath>
      <w:r w:rsidRPr="00555462">
        <w:rPr>
          <w:rFonts w:ascii="Times New Roman" w:hAnsi="Times New Roman"/>
          <w:sz w:val="22"/>
          <w:lang w:val="en-IE"/>
        </w:rPr>
        <w:t xml:space="preserve"> When a block of diagnosis </w:t>
      </w:r>
      <m:oMath>
        <m:r>
          <w:rPr>
            <w:rFonts w:ascii="Cambria Math" w:hAnsi="Cambria Math"/>
            <w:sz w:val="22"/>
            <w:lang w:val="en-IE"/>
          </w:rPr>
          <m:t>i</m:t>
        </m:r>
      </m:oMath>
      <w:r w:rsidRPr="00555462">
        <w:rPr>
          <w:rFonts w:ascii="Times New Roman" w:hAnsi="Times New Roman"/>
          <w:sz w:val="22"/>
          <w:lang w:val="en-IE"/>
        </w:rPr>
        <w:t xml:space="preserve"> is a singleton, we define </w:t>
      </w:r>
      <m:oMath>
        <m:r>
          <w:rPr>
            <w:rFonts w:ascii="Cambria Math" w:hAnsi="Cambria Math"/>
            <w:sz w:val="22"/>
            <w:lang w:val="en-US"/>
          </w:rPr>
          <m:t>R</m:t>
        </m:r>
        <m:sSub>
          <m:sSubPr>
            <m:ctrlPr>
              <w:rPr>
                <w:rFonts w:ascii="Cambria Math" w:hAnsi="Cambria Math"/>
                <w:sz w:val="22"/>
                <w:lang w:val="en-US"/>
              </w:rPr>
            </m:ctrlPr>
          </m:sSubPr>
          <m:e>
            <m:r>
              <w:rPr>
                <w:rFonts w:ascii="Cambria Math" w:hAnsi="Cambria Math"/>
                <w:sz w:val="22"/>
                <w:lang w:val="en-US"/>
              </w:rPr>
              <m:t>R</m:t>
            </m:r>
          </m:e>
          <m:sub>
            <m:r>
              <w:rPr>
                <w:rFonts w:ascii="Cambria Math" w:hAnsi="Cambria Math"/>
                <w:sz w:val="22"/>
                <w:lang w:val="en-US"/>
              </w:rPr>
              <m:t>i</m:t>
            </m:r>
            <m:r>
              <m:rPr>
                <m:sty m:val="p"/>
              </m:rPr>
              <w:rPr>
                <w:rFonts w:ascii="Cambria Math" w:hAnsi="Cambria Math"/>
                <w:sz w:val="22"/>
                <w:lang w:val="en-US"/>
              </w:rPr>
              <m:t>∅</m:t>
            </m:r>
          </m:sub>
        </m:sSub>
        <m:r>
          <m:rPr>
            <m:sty m:val="p"/>
          </m:rPr>
          <w:rPr>
            <w:rFonts w:ascii="Cambria Math" w:hAnsi="Cambria Math"/>
            <w:sz w:val="22"/>
            <w:lang w:val="en-US"/>
          </w:rPr>
          <m:t>≡1</m:t>
        </m:r>
      </m:oMath>
      <w:r w:rsidRPr="00555462">
        <w:rPr>
          <w:rFonts w:ascii="Times New Roman" w:hAnsi="Times New Roman"/>
          <w:sz w:val="22"/>
          <w:lang w:val="en-US"/>
        </w:rPr>
        <w:t>. At each agglomeration step, we select a pair of disease clusters to be agglomerated using this rule:</w:t>
      </w:r>
    </w:p>
    <w:p w14:paraId="5724813E" w14:textId="77777777" w:rsidR="00D933C7" w:rsidRPr="00555462" w:rsidRDefault="008E362A" w:rsidP="00D93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Times New Roman" w:eastAsia="Times New Roman" w:hAnsi="Times New Roman"/>
          <w:sz w:val="22"/>
          <w:lang w:val="en-US" w:eastAsia="fr-FR"/>
        </w:rPr>
      </w:pPr>
      <m:oMathPara>
        <m:oMath>
          <m:sSubSup>
            <m:sSubSupPr>
              <m:ctrlPr>
                <w:rPr>
                  <w:rFonts w:ascii="Cambria Math" w:eastAsia="Times New Roman" w:hAnsi="Cambria Math"/>
                  <w:i/>
                  <w:sz w:val="22"/>
                  <w:lang w:val="en-US" w:eastAsia="fr-FR"/>
                </w:rPr>
              </m:ctrlPr>
            </m:sSubSupPr>
            <m:e>
              <m:r>
                <w:rPr>
                  <w:rFonts w:ascii="Cambria Math" w:eastAsia="Times New Roman" w:hAnsi="Cambria Math"/>
                  <w:sz w:val="22"/>
                  <w:lang w:val="en-US" w:eastAsia="fr-FR"/>
                </w:rPr>
                <m:t>θ</m:t>
              </m:r>
              <m:ctrlPr>
                <w:rPr>
                  <w:rFonts w:ascii="Cambria Math" w:eastAsia="Times New Roman" w:hAnsi="Cambria Math"/>
                  <w:sz w:val="22"/>
                  <w:lang w:val="en-US" w:eastAsia="fr-FR"/>
                </w:rPr>
              </m:ctrlPr>
            </m:e>
            <m:sub>
              <m:r>
                <w:rPr>
                  <w:rFonts w:ascii="Cambria Math" w:eastAsia="Times New Roman" w:hAnsi="Cambria Math"/>
                  <w:sz w:val="22"/>
                  <w:lang w:val="en-US" w:eastAsia="fr-FR"/>
                </w:rPr>
                <m:t>t</m:t>
              </m:r>
            </m:sub>
            <m:sup>
              <m:r>
                <w:rPr>
                  <w:rFonts w:ascii="Cambria Math" w:eastAsia="Times New Roman" w:hAnsi="Cambria Math"/>
                  <w:sz w:val="22"/>
                  <w:lang w:val="en-US" w:eastAsia="fr-FR"/>
                </w:rPr>
                <m:t>*</m:t>
              </m:r>
            </m:sup>
          </m:sSubSup>
          <m:r>
            <w:rPr>
              <w:rFonts w:ascii="Cambria Math" w:eastAsia="Times New Roman" w:hAnsi="Cambria Math"/>
              <w:sz w:val="22"/>
              <w:lang w:val="en-US" w:eastAsia="fr-FR"/>
            </w:rPr>
            <m:t>=argma</m:t>
          </m:r>
          <m:sSub>
            <m:sSubPr>
              <m:ctrlPr>
                <w:rPr>
                  <w:rFonts w:ascii="Cambria Math" w:eastAsia="Times New Roman" w:hAnsi="Cambria Math"/>
                  <w:i/>
                  <w:sz w:val="22"/>
                  <w:lang w:val="en-US" w:eastAsia="fr-FR"/>
                </w:rPr>
              </m:ctrlPr>
            </m:sSubPr>
            <m:e>
              <m:r>
                <w:rPr>
                  <w:rFonts w:ascii="Cambria Math" w:eastAsia="Times New Roman" w:hAnsi="Cambria Math"/>
                  <w:sz w:val="22"/>
                  <w:lang w:val="en-US" w:eastAsia="fr-FR"/>
                </w:rPr>
                <m:t>x</m:t>
              </m:r>
            </m:e>
            <m:sub>
              <m:r>
                <w:rPr>
                  <w:rFonts w:ascii="Cambria Math" w:eastAsia="Times New Roman" w:hAnsi="Cambria Math"/>
                  <w:sz w:val="22"/>
                  <w:lang w:val="en-US" w:eastAsia="fr-FR"/>
                </w:rPr>
                <m:t>k,l</m:t>
              </m:r>
              <m:r>
                <m:rPr>
                  <m:sty m:val="p"/>
                </m:rPr>
                <w:rPr>
                  <w:rFonts w:ascii="Cambria Math" w:eastAsia="Times New Roman" w:hAnsi="Cambria Math"/>
                  <w:sz w:val="22"/>
                  <w:lang w:val="en-US" w:eastAsia="fr-FR"/>
                </w:rPr>
                <m:t>∈</m:t>
              </m:r>
              <m:sSub>
                <m:sSubPr>
                  <m:ctrlPr>
                    <w:rPr>
                      <w:rFonts w:ascii="Cambria Math" w:eastAsia="Times New Roman" w:hAnsi="Cambria Math"/>
                      <w:i/>
                      <w:sz w:val="22"/>
                      <w:lang w:val="en-US" w:eastAsia="fr-FR"/>
                    </w:rPr>
                  </m:ctrlPr>
                </m:sSubPr>
                <m:e>
                  <m:r>
                    <w:rPr>
                      <w:rFonts w:ascii="Cambria Math" w:eastAsia="Times New Roman" w:hAnsi="Cambria Math"/>
                      <w:sz w:val="22"/>
                      <w:lang w:val="en-US" w:eastAsia="fr-FR"/>
                    </w:rPr>
                    <m:t>C</m:t>
                  </m:r>
                  <m:ctrlPr>
                    <w:rPr>
                      <w:rFonts w:ascii="Cambria Math" w:eastAsia="Times New Roman" w:hAnsi="Cambria Math"/>
                      <w:sz w:val="22"/>
                      <w:lang w:val="en-US" w:eastAsia="fr-FR"/>
                    </w:rPr>
                  </m:ctrlPr>
                </m:e>
                <m:sub>
                  <m:r>
                    <w:rPr>
                      <w:rFonts w:ascii="Cambria Math" w:eastAsia="Times New Roman" w:hAnsi="Cambria Math"/>
                      <w:sz w:val="22"/>
                      <w:lang w:val="en-US" w:eastAsia="fr-FR"/>
                    </w:rPr>
                    <m:t>t</m:t>
                  </m:r>
                </m:sub>
              </m:sSub>
            </m:sub>
          </m:sSub>
          <m:f>
            <m:fPr>
              <m:ctrlPr>
                <w:rPr>
                  <w:rFonts w:ascii="Cambria Math" w:eastAsia="Times New Roman" w:hAnsi="Cambria Math"/>
                  <w:sz w:val="22"/>
                  <w:lang w:val="en-US" w:eastAsia="fr-FR"/>
                </w:rPr>
              </m:ctrlPr>
            </m:fPr>
            <m:num>
              <m:r>
                <w:rPr>
                  <w:rFonts w:ascii="Cambria Math" w:eastAsia="Times New Roman" w:hAnsi="Cambria Math"/>
                  <w:sz w:val="22"/>
                  <w:lang w:val="en-US" w:eastAsia="fr-FR"/>
                </w:rPr>
                <m:t>R</m:t>
              </m:r>
              <m:sSub>
                <m:sSubPr>
                  <m:ctrlPr>
                    <w:rPr>
                      <w:rFonts w:ascii="Cambria Math" w:eastAsia="Times New Roman" w:hAnsi="Cambria Math"/>
                      <w:i/>
                      <w:sz w:val="22"/>
                      <w:lang w:val="en-US" w:eastAsia="fr-FR"/>
                    </w:rPr>
                  </m:ctrlPr>
                </m:sSubPr>
                <m:e>
                  <m:r>
                    <w:rPr>
                      <w:rFonts w:ascii="Cambria Math" w:eastAsia="Times New Roman" w:hAnsi="Cambria Math"/>
                      <w:sz w:val="22"/>
                      <w:lang w:val="en-US" w:eastAsia="fr-FR"/>
                    </w:rPr>
                    <m:t>R</m:t>
                  </m:r>
                </m:e>
                <m:sub>
                  <m:r>
                    <w:rPr>
                      <w:rFonts w:ascii="Cambria Math" w:eastAsia="Times New Roman" w:hAnsi="Cambria Math"/>
                      <w:sz w:val="22"/>
                      <w:lang w:val="en-US" w:eastAsia="fr-FR"/>
                    </w:rPr>
                    <m:t>k,l</m:t>
                  </m:r>
                </m:sub>
              </m:sSub>
              <m:ctrlPr>
                <w:rPr>
                  <w:rFonts w:ascii="Cambria Math" w:eastAsia="Times New Roman" w:hAnsi="Cambria Math"/>
                  <w:i/>
                  <w:sz w:val="22"/>
                  <w:lang w:val="en-US" w:eastAsia="fr-FR"/>
                </w:rPr>
              </m:ctrlPr>
            </m:num>
            <m:den>
              <m:func>
                <m:funcPr>
                  <m:ctrlPr>
                    <w:rPr>
                      <w:rFonts w:ascii="Cambria Math" w:eastAsia="Times New Roman" w:hAnsi="Cambria Math"/>
                      <w:sz w:val="22"/>
                      <w:lang w:val="en-US" w:eastAsia="fr-FR"/>
                    </w:rPr>
                  </m:ctrlPr>
                </m:funcPr>
                <m:fName>
                  <m:r>
                    <m:rPr>
                      <m:sty m:val="p"/>
                    </m:rPr>
                    <w:rPr>
                      <w:rFonts w:ascii="Cambria Math" w:eastAsia="Times New Roman" w:hAnsi="Cambria Math"/>
                      <w:sz w:val="22"/>
                      <w:lang w:val="en-US" w:eastAsia="fr-FR"/>
                    </w:rPr>
                    <m:t>max</m:t>
                  </m:r>
                  <m:ctrlPr>
                    <w:rPr>
                      <w:rFonts w:ascii="Cambria Math" w:eastAsia="Times New Roman" w:hAnsi="Cambria Math"/>
                      <w:i/>
                      <w:sz w:val="22"/>
                      <w:lang w:val="en-US" w:eastAsia="fr-FR"/>
                    </w:rPr>
                  </m:ctrlPr>
                </m:fName>
                <m:e>
                  <m:d>
                    <m:dPr>
                      <m:ctrlPr>
                        <w:rPr>
                          <w:rFonts w:ascii="Cambria Math" w:eastAsia="Times New Roman" w:hAnsi="Cambria Math"/>
                          <w:sz w:val="22"/>
                          <w:lang w:val="en-US" w:eastAsia="fr-FR"/>
                        </w:rPr>
                      </m:ctrlPr>
                    </m:dPr>
                    <m:e>
                      <m:r>
                        <w:rPr>
                          <w:rFonts w:ascii="Cambria Math" w:eastAsia="Times New Roman" w:hAnsi="Cambria Math"/>
                          <w:sz w:val="22"/>
                          <w:lang w:val="en-US" w:eastAsia="fr-FR"/>
                        </w:rPr>
                        <m:t> </m:t>
                      </m:r>
                      <m:func>
                        <m:funcPr>
                          <m:ctrlPr>
                            <w:rPr>
                              <w:rFonts w:ascii="Cambria Math" w:eastAsia="Times New Roman" w:hAnsi="Cambria Math"/>
                              <w:sz w:val="22"/>
                              <w:lang w:val="en-US" w:eastAsia="fr-FR"/>
                            </w:rPr>
                          </m:ctrlPr>
                        </m:funcPr>
                        <m:fName>
                          <m:r>
                            <m:rPr>
                              <m:sty m:val="p"/>
                            </m:rPr>
                            <w:rPr>
                              <w:rFonts w:ascii="Cambria Math" w:eastAsia="Times New Roman" w:hAnsi="Cambria Math"/>
                              <w:sz w:val="22"/>
                              <w:lang w:val="en-US" w:eastAsia="fr-FR"/>
                            </w:rPr>
                            <m:t>min</m:t>
                          </m:r>
                          <m:ctrlPr>
                            <w:rPr>
                              <w:rFonts w:ascii="Cambria Math" w:eastAsia="Times New Roman" w:hAnsi="Cambria Math"/>
                              <w:i/>
                              <w:sz w:val="22"/>
                              <w:lang w:val="en-US" w:eastAsia="fr-FR"/>
                            </w:rPr>
                          </m:ctrlPr>
                        </m:fName>
                        <m:e>
                          <m:d>
                            <m:dPr>
                              <m:ctrlPr>
                                <w:rPr>
                                  <w:rFonts w:ascii="Cambria Math" w:eastAsia="Times New Roman" w:hAnsi="Cambria Math"/>
                                  <w:sz w:val="22"/>
                                  <w:lang w:val="en-US" w:eastAsia="fr-FR"/>
                                </w:rPr>
                              </m:ctrlPr>
                            </m:dPr>
                            <m:e>
                              <m:func>
                                <m:funcPr>
                                  <m:ctrlPr>
                                    <w:rPr>
                                      <w:rFonts w:ascii="Cambria Math" w:eastAsia="Times New Roman" w:hAnsi="Cambria Math"/>
                                      <w:sz w:val="22"/>
                                      <w:lang w:val="en-US" w:eastAsia="fr-FR"/>
                                    </w:rPr>
                                  </m:ctrlPr>
                                </m:funcPr>
                                <m:fName>
                                  <m:limLow>
                                    <m:limLowPr>
                                      <m:ctrlPr>
                                        <w:rPr>
                                          <w:rFonts w:ascii="Cambria Math" w:eastAsia="Times New Roman" w:hAnsi="Cambria Math"/>
                                          <w:i/>
                                          <w:sz w:val="22"/>
                                          <w:lang w:val="en-US" w:eastAsia="fr-FR"/>
                                        </w:rPr>
                                      </m:ctrlPr>
                                    </m:limLowPr>
                                    <m:e>
                                      <m:r>
                                        <m:rPr>
                                          <m:sty m:val="p"/>
                                        </m:rPr>
                                        <w:rPr>
                                          <w:rFonts w:ascii="Cambria Math" w:eastAsia="Times New Roman" w:hAnsi="Cambria Math"/>
                                          <w:sz w:val="22"/>
                                          <w:lang w:val="en-US" w:eastAsia="fr-FR"/>
                                        </w:rPr>
                                        <m:t>max</m:t>
                                      </m:r>
                                    </m:e>
                                    <m:lim>
                                      <m:sSup>
                                        <m:sSupPr>
                                          <m:ctrlPr>
                                            <w:rPr>
                                              <w:rFonts w:ascii="Cambria Math" w:eastAsia="Times New Roman" w:hAnsi="Cambria Math"/>
                                              <w:i/>
                                              <w:sz w:val="22"/>
                                              <w:lang w:val="en-US" w:eastAsia="fr-FR"/>
                                            </w:rPr>
                                          </m:ctrlPr>
                                        </m:sSupPr>
                                        <m:e>
                                          <m:r>
                                            <w:rPr>
                                              <w:rFonts w:ascii="Cambria Math" w:eastAsia="Times New Roman" w:hAnsi="Cambria Math"/>
                                              <w:sz w:val="22"/>
                                              <w:lang w:val="en-US" w:eastAsia="fr-FR"/>
                                            </w:rPr>
                                            <m:t>l</m:t>
                                          </m:r>
                                        </m:e>
                                        <m:sup>
                                          <m:r>
                                            <w:rPr>
                                              <w:rFonts w:ascii="Cambria Math" w:eastAsia="Times New Roman" w:hAnsi="Cambria Math"/>
                                              <w:sz w:val="22"/>
                                              <w:lang w:val="en-US" w:eastAsia="fr-FR"/>
                                            </w:rPr>
                                            <m:t>'</m:t>
                                          </m:r>
                                        </m:sup>
                                      </m:sSup>
                                      <m:r>
                                        <m:rPr>
                                          <m:sty m:val="p"/>
                                        </m:rPr>
                                        <w:rPr>
                                          <w:rFonts w:ascii="Cambria Math" w:eastAsia="Times New Roman" w:hAnsi="Cambria Math"/>
                                          <w:sz w:val="22"/>
                                          <w:lang w:val="en-US" w:eastAsia="fr-FR"/>
                                        </w:rPr>
                                        <m:t>∈</m:t>
                                      </m:r>
                                      <m:sSub>
                                        <m:sSubPr>
                                          <m:ctrlPr>
                                            <w:rPr>
                                              <w:rFonts w:ascii="Cambria Math" w:eastAsia="Times New Roman" w:hAnsi="Cambria Math"/>
                                              <w:i/>
                                              <w:sz w:val="22"/>
                                              <w:lang w:val="en-US" w:eastAsia="fr-FR"/>
                                            </w:rPr>
                                          </m:ctrlPr>
                                        </m:sSubPr>
                                        <m:e>
                                          <m:r>
                                            <w:rPr>
                                              <w:rFonts w:ascii="Cambria Math" w:eastAsia="Times New Roman" w:hAnsi="Cambria Math"/>
                                              <w:sz w:val="22"/>
                                              <w:lang w:val="en-US" w:eastAsia="fr-FR"/>
                                            </w:rPr>
                                            <m:t>C</m:t>
                                          </m:r>
                                          <m:ctrlPr>
                                            <w:rPr>
                                              <w:rFonts w:ascii="Cambria Math" w:eastAsia="Times New Roman" w:hAnsi="Cambria Math"/>
                                              <w:sz w:val="22"/>
                                              <w:lang w:val="en-US" w:eastAsia="fr-FR"/>
                                            </w:rPr>
                                          </m:ctrlPr>
                                        </m:e>
                                        <m:sub>
                                          <m:r>
                                            <w:rPr>
                                              <w:rFonts w:ascii="Cambria Math" w:eastAsia="Times New Roman" w:hAnsi="Cambria Math"/>
                                              <w:sz w:val="22"/>
                                              <w:lang w:val="en-US" w:eastAsia="fr-FR"/>
                                            </w:rPr>
                                            <m:t>t</m:t>
                                          </m:r>
                                        </m:sub>
                                      </m:sSub>
                                      <m:r>
                                        <m:rPr>
                                          <m:lit/>
                                        </m:rPr>
                                        <w:rPr>
                                          <w:rFonts w:ascii="Cambria Math" w:eastAsia="Times New Roman" w:hAnsi="Cambria Math"/>
                                          <w:sz w:val="22"/>
                                          <w:lang w:val="en-US" w:eastAsia="fr-FR"/>
                                        </w:rPr>
                                        <m:t>/</m:t>
                                      </m:r>
                                      <m:r>
                                        <w:rPr>
                                          <w:rFonts w:ascii="Cambria Math" w:eastAsia="Times New Roman" w:hAnsi="Cambria Math"/>
                                          <w:sz w:val="22"/>
                                          <w:lang w:val="en-US" w:eastAsia="fr-FR"/>
                                        </w:rPr>
                                        <m:t>l</m:t>
                                      </m:r>
                                      <m:r>
                                        <m:rPr>
                                          <m:sty m:val="p"/>
                                        </m:rPr>
                                        <w:rPr>
                                          <w:rFonts w:ascii="Cambria Math" w:eastAsia="Times New Roman" w:hAnsi="Cambria Math"/>
                                          <w:sz w:val="22"/>
                                          <w:lang w:val="en-US" w:eastAsia="fr-FR"/>
                                        </w:rPr>
                                        <m:t>≠</m:t>
                                      </m:r>
                                      <m:sSup>
                                        <m:sSupPr>
                                          <m:ctrlPr>
                                            <w:rPr>
                                              <w:rFonts w:ascii="Cambria Math" w:eastAsia="Times New Roman" w:hAnsi="Cambria Math"/>
                                              <w:i/>
                                              <w:sz w:val="22"/>
                                              <w:lang w:val="en-US" w:eastAsia="fr-FR"/>
                                            </w:rPr>
                                          </m:ctrlPr>
                                        </m:sSupPr>
                                        <m:e>
                                          <m:r>
                                            <w:rPr>
                                              <w:rFonts w:ascii="Cambria Math" w:eastAsia="Times New Roman" w:hAnsi="Cambria Math"/>
                                              <w:sz w:val="22"/>
                                              <w:lang w:val="en-US" w:eastAsia="fr-FR"/>
                                            </w:rPr>
                                            <m:t>l</m:t>
                                          </m:r>
                                          <m:ctrlPr>
                                            <w:rPr>
                                              <w:rFonts w:ascii="Cambria Math" w:eastAsia="Times New Roman" w:hAnsi="Cambria Math"/>
                                              <w:sz w:val="22"/>
                                              <w:lang w:val="en-US" w:eastAsia="fr-FR"/>
                                            </w:rPr>
                                          </m:ctrlPr>
                                        </m:e>
                                        <m:sup>
                                          <m:r>
                                            <w:rPr>
                                              <w:rFonts w:ascii="Cambria Math" w:eastAsia="Times New Roman" w:hAnsi="Cambria Math"/>
                                              <w:sz w:val="22"/>
                                              <w:lang w:val="en-US" w:eastAsia="fr-FR"/>
                                            </w:rPr>
                                            <m:t>'</m:t>
                                          </m:r>
                                        </m:sup>
                                      </m:sSup>
                                      <m:ctrlPr>
                                        <w:rPr>
                                          <w:rFonts w:ascii="Cambria Math" w:eastAsia="Times New Roman" w:hAnsi="Cambria Math"/>
                                          <w:sz w:val="22"/>
                                          <w:lang w:val="en-US" w:eastAsia="fr-FR"/>
                                        </w:rPr>
                                      </m:ctrlPr>
                                    </m:lim>
                                  </m:limLow>
                                  <m:ctrlPr>
                                    <w:rPr>
                                      <w:rFonts w:ascii="Cambria Math" w:eastAsia="Times New Roman" w:hAnsi="Cambria Math"/>
                                      <w:i/>
                                      <w:sz w:val="22"/>
                                      <w:lang w:val="en-US" w:eastAsia="fr-FR"/>
                                    </w:rPr>
                                  </m:ctrlPr>
                                </m:fName>
                                <m:e>
                                  <m:r>
                                    <w:rPr>
                                      <w:rFonts w:ascii="Cambria Math" w:eastAsia="Times New Roman" w:hAnsi="Cambria Math"/>
                                      <w:sz w:val="22"/>
                                      <w:lang w:val="en-US" w:eastAsia="fr-FR"/>
                                    </w:rPr>
                                    <m:t>R</m:t>
                                  </m:r>
                                  <m:sSub>
                                    <m:sSubPr>
                                      <m:ctrlPr>
                                        <w:rPr>
                                          <w:rFonts w:ascii="Cambria Math" w:eastAsia="Times New Roman" w:hAnsi="Cambria Math"/>
                                          <w:i/>
                                          <w:sz w:val="22"/>
                                          <w:lang w:val="en-US" w:eastAsia="fr-FR"/>
                                        </w:rPr>
                                      </m:ctrlPr>
                                    </m:sSubPr>
                                    <m:e>
                                      <m:r>
                                        <w:rPr>
                                          <w:rFonts w:ascii="Cambria Math" w:eastAsia="Times New Roman" w:hAnsi="Cambria Math"/>
                                          <w:sz w:val="22"/>
                                          <w:lang w:val="en-US" w:eastAsia="fr-FR"/>
                                        </w:rPr>
                                        <m:t>R</m:t>
                                      </m:r>
                                    </m:e>
                                    <m:sub>
                                      <m:r>
                                        <w:rPr>
                                          <w:rFonts w:ascii="Cambria Math" w:eastAsia="Times New Roman" w:hAnsi="Cambria Math"/>
                                          <w:sz w:val="22"/>
                                          <w:lang w:val="en-US" w:eastAsia="fr-FR"/>
                                        </w:rPr>
                                        <m:t>k,</m:t>
                                      </m:r>
                                      <m:sSup>
                                        <m:sSupPr>
                                          <m:ctrlPr>
                                            <w:rPr>
                                              <w:rFonts w:ascii="Cambria Math" w:eastAsia="Times New Roman" w:hAnsi="Cambria Math"/>
                                              <w:i/>
                                              <w:sz w:val="22"/>
                                              <w:lang w:val="en-US" w:eastAsia="fr-FR"/>
                                            </w:rPr>
                                          </m:ctrlPr>
                                        </m:sSupPr>
                                        <m:e>
                                          <m:r>
                                            <w:rPr>
                                              <w:rFonts w:ascii="Cambria Math" w:eastAsia="Times New Roman" w:hAnsi="Cambria Math"/>
                                              <w:sz w:val="22"/>
                                              <w:lang w:val="en-US" w:eastAsia="fr-FR"/>
                                            </w:rPr>
                                            <m:t>l</m:t>
                                          </m:r>
                                        </m:e>
                                        <m:sup>
                                          <m:r>
                                            <w:rPr>
                                              <w:rFonts w:ascii="Cambria Math" w:eastAsia="Times New Roman" w:hAnsi="Cambria Math"/>
                                              <w:sz w:val="22"/>
                                              <w:lang w:val="en-US" w:eastAsia="fr-FR"/>
                                            </w:rPr>
                                            <m:t>'</m:t>
                                          </m:r>
                                        </m:sup>
                                      </m:sSup>
                                    </m:sub>
                                  </m:sSub>
                                  <m:ctrlPr>
                                    <w:rPr>
                                      <w:rFonts w:ascii="Cambria Math" w:eastAsia="Times New Roman" w:hAnsi="Cambria Math"/>
                                      <w:i/>
                                      <w:sz w:val="22"/>
                                      <w:lang w:val="en-US" w:eastAsia="fr-FR"/>
                                    </w:rPr>
                                  </m:ctrlPr>
                                </m:e>
                              </m:func>
                              <m:r>
                                <w:rPr>
                                  <w:rFonts w:ascii="Cambria Math" w:eastAsia="Times New Roman" w:hAnsi="Cambria Math"/>
                                  <w:sz w:val="22"/>
                                  <w:lang w:val="en-US" w:eastAsia="fr-FR"/>
                                </w:rPr>
                                <m:t>,</m:t>
                              </m:r>
                              <m:func>
                                <m:funcPr>
                                  <m:ctrlPr>
                                    <w:rPr>
                                      <w:rFonts w:ascii="Cambria Math" w:eastAsia="Times New Roman" w:hAnsi="Cambria Math"/>
                                      <w:sz w:val="22"/>
                                      <w:lang w:val="en-US" w:eastAsia="fr-FR"/>
                                    </w:rPr>
                                  </m:ctrlPr>
                                </m:funcPr>
                                <m:fName>
                                  <m:limLow>
                                    <m:limLowPr>
                                      <m:ctrlPr>
                                        <w:rPr>
                                          <w:rFonts w:ascii="Cambria Math" w:eastAsia="Times New Roman" w:hAnsi="Cambria Math"/>
                                          <w:i/>
                                          <w:sz w:val="22"/>
                                          <w:lang w:val="en-US" w:eastAsia="fr-FR"/>
                                        </w:rPr>
                                      </m:ctrlPr>
                                    </m:limLowPr>
                                    <m:e>
                                      <m:r>
                                        <m:rPr>
                                          <m:sty m:val="p"/>
                                        </m:rPr>
                                        <w:rPr>
                                          <w:rFonts w:ascii="Cambria Math" w:eastAsia="Times New Roman" w:hAnsi="Cambria Math"/>
                                          <w:sz w:val="22"/>
                                          <w:lang w:val="en-US" w:eastAsia="fr-FR"/>
                                        </w:rPr>
                                        <m:t>max</m:t>
                                      </m:r>
                                    </m:e>
                                    <m:lim>
                                      <m:sSup>
                                        <m:sSupPr>
                                          <m:ctrlPr>
                                            <w:rPr>
                                              <w:rFonts w:ascii="Cambria Math" w:eastAsia="Times New Roman" w:hAnsi="Cambria Math"/>
                                              <w:i/>
                                              <w:sz w:val="22"/>
                                              <w:lang w:val="en-US" w:eastAsia="fr-FR"/>
                                            </w:rPr>
                                          </m:ctrlPr>
                                        </m:sSupPr>
                                        <m:e>
                                          <m:r>
                                            <w:rPr>
                                              <w:rFonts w:ascii="Cambria Math" w:eastAsia="Times New Roman" w:hAnsi="Cambria Math"/>
                                              <w:sz w:val="22"/>
                                              <w:lang w:val="en-US" w:eastAsia="fr-FR"/>
                                            </w:rPr>
                                            <m:t>k</m:t>
                                          </m:r>
                                        </m:e>
                                        <m:sup>
                                          <m:r>
                                            <w:rPr>
                                              <w:rFonts w:ascii="Cambria Math" w:eastAsia="Times New Roman" w:hAnsi="Cambria Math"/>
                                              <w:sz w:val="22"/>
                                              <w:lang w:val="en-US" w:eastAsia="fr-FR"/>
                                            </w:rPr>
                                            <m:t>'</m:t>
                                          </m:r>
                                        </m:sup>
                                      </m:sSup>
                                      <m:r>
                                        <m:rPr>
                                          <m:sty m:val="p"/>
                                        </m:rPr>
                                        <w:rPr>
                                          <w:rFonts w:ascii="Cambria Math" w:eastAsia="Times New Roman" w:hAnsi="Cambria Math"/>
                                          <w:sz w:val="22"/>
                                          <w:lang w:val="en-US" w:eastAsia="fr-FR"/>
                                        </w:rPr>
                                        <m:t>∈</m:t>
                                      </m:r>
                                      <m:sSub>
                                        <m:sSubPr>
                                          <m:ctrlPr>
                                            <w:rPr>
                                              <w:rFonts w:ascii="Cambria Math" w:eastAsia="Times New Roman" w:hAnsi="Cambria Math"/>
                                              <w:i/>
                                              <w:sz w:val="22"/>
                                              <w:lang w:val="en-US" w:eastAsia="fr-FR"/>
                                            </w:rPr>
                                          </m:ctrlPr>
                                        </m:sSubPr>
                                        <m:e>
                                          <m:r>
                                            <w:rPr>
                                              <w:rFonts w:ascii="Cambria Math" w:eastAsia="Times New Roman" w:hAnsi="Cambria Math"/>
                                              <w:sz w:val="22"/>
                                              <w:lang w:val="en-US" w:eastAsia="fr-FR"/>
                                            </w:rPr>
                                            <m:t>C</m:t>
                                          </m:r>
                                          <m:ctrlPr>
                                            <w:rPr>
                                              <w:rFonts w:ascii="Cambria Math" w:eastAsia="Times New Roman" w:hAnsi="Cambria Math"/>
                                              <w:sz w:val="22"/>
                                              <w:lang w:val="en-US" w:eastAsia="fr-FR"/>
                                            </w:rPr>
                                          </m:ctrlPr>
                                        </m:e>
                                        <m:sub>
                                          <m:r>
                                            <w:rPr>
                                              <w:rFonts w:ascii="Cambria Math" w:eastAsia="Times New Roman" w:hAnsi="Cambria Math"/>
                                              <w:sz w:val="22"/>
                                              <w:lang w:val="en-US" w:eastAsia="fr-FR"/>
                                            </w:rPr>
                                            <m:t>t</m:t>
                                          </m:r>
                                        </m:sub>
                                      </m:sSub>
                                      <m:r>
                                        <m:rPr>
                                          <m:lit/>
                                        </m:rPr>
                                        <w:rPr>
                                          <w:rFonts w:ascii="Cambria Math" w:eastAsia="Times New Roman" w:hAnsi="Cambria Math"/>
                                          <w:sz w:val="22"/>
                                          <w:lang w:val="en-US" w:eastAsia="fr-FR"/>
                                        </w:rPr>
                                        <m:t>/</m:t>
                                      </m:r>
                                      <m:r>
                                        <w:rPr>
                                          <w:rFonts w:ascii="Cambria Math" w:eastAsia="Times New Roman" w:hAnsi="Cambria Math"/>
                                          <w:sz w:val="22"/>
                                          <w:lang w:val="en-US" w:eastAsia="fr-FR"/>
                                        </w:rPr>
                                        <m:t>k</m:t>
                                      </m:r>
                                      <m:r>
                                        <m:rPr>
                                          <m:sty m:val="p"/>
                                        </m:rPr>
                                        <w:rPr>
                                          <w:rFonts w:ascii="Cambria Math" w:eastAsia="Times New Roman" w:hAnsi="Cambria Math"/>
                                          <w:sz w:val="22"/>
                                          <w:lang w:val="en-US" w:eastAsia="fr-FR"/>
                                        </w:rPr>
                                        <m:t>≠</m:t>
                                      </m:r>
                                      <m:sSup>
                                        <m:sSupPr>
                                          <m:ctrlPr>
                                            <w:rPr>
                                              <w:rFonts w:ascii="Cambria Math" w:eastAsia="Times New Roman" w:hAnsi="Cambria Math"/>
                                              <w:i/>
                                              <w:sz w:val="22"/>
                                              <w:lang w:val="en-US" w:eastAsia="fr-FR"/>
                                            </w:rPr>
                                          </m:ctrlPr>
                                        </m:sSupPr>
                                        <m:e>
                                          <m:r>
                                            <w:rPr>
                                              <w:rFonts w:ascii="Cambria Math" w:eastAsia="Times New Roman" w:hAnsi="Cambria Math"/>
                                              <w:sz w:val="22"/>
                                              <w:lang w:val="en-US" w:eastAsia="fr-FR"/>
                                            </w:rPr>
                                            <m:t>k</m:t>
                                          </m:r>
                                          <m:ctrlPr>
                                            <w:rPr>
                                              <w:rFonts w:ascii="Cambria Math" w:eastAsia="Times New Roman" w:hAnsi="Cambria Math"/>
                                              <w:sz w:val="22"/>
                                              <w:lang w:val="en-US" w:eastAsia="fr-FR"/>
                                            </w:rPr>
                                          </m:ctrlPr>
                                        </m:e>
                                        <m:sup>
                                          <m:r>
                                            <w:rPr>
                                              <w:rFonts w:ascii="Cambria Math" w:eastAsia="Times New Roman" w:hAnsi="Cambria Math"/>
                                              <w:sz w:val="22"/>
                                              <w:lang w:val="en-US" w:eastAsia="fr-FR"/>
                                            </w:rPr>
                                            <m:t>'</m:t>
                                          </m:r>
                                        </m:sup>
                                      </m:sSup>
                                      <m:ctrlPr>
                                        <w:rPr>
                                          <w:rFonts w:ascii="Cambria Math" w:eastAsia="Times New Roman" w:hAnsi="Cambria Math"/>
                                          <w:sz w:val="22"/>
                                          <w:lang w:val="en-US" w:eastAsia="fr-FR"/>
                                        </w:rPr>
                                      </m:ctrlPr>
                                    </m:lim>
                                  </m:limLow>
                                  <m:ctrlPr>
                                    <w:rPr>
                                      <w:rFonts w:ascii="Cambria Math" w:eastAsia="Times New Roman" w:hAnsi="Cambria Math"/>
                                      <w:i/>
                                      <w:sz w:val="22"/>
                                      <w:lang w:val="en-US" w:eastAsia="fr-FR"/>
                                    </w:rPr>
                                  </m:ctrlPr>
                                </m:fName>
                                <m:e>
                                  <m:sSub>
                                    <m:sSubPr>
                                      <m:ctrlPr>
                                        <w:rPr>
                                          <w:rFonts w:ascii="Cambria Math" w:eastAsia="Times New Roman" w:hAnsi="Cambria Math"/>
                                          <w:i/>
                                          <w:sz w:val="22"/>
                                          <w:lang w:val="en-US" w:eastAsia="fr-FR"/>
                                        </w:rPr>
                                      </m:ctrlPr>
                                    </m:sSubPr>
                                    <m:e>
                                      <m:r>
                                        <w:rPr>
                                          <w:rFonts w:ascii="Cambria Math" w:eastAsia="Times New Roman" w:hAnsi="Cambria Math"/>
                                          <w:sz w:val="22"/>
                                          <w:lang w:val="en-US" w:eastAsia="fr-FR"/>
                                        </w:rPr>
                                        <m:t>RR</m:t>
                                      </m:r>
                                    </m:e>
                                    <m:sub>
                                      <m:sSup>
                                        <m:sSupPr>
                                          <m:ctrlPr>
                                            <w:rPr>
                                              <w:rFonts w:ascii="Cambria Math" w:eastAsia="Times New Roman" w:hAnsi="Cambria Math"/>
                                              <w:i/>
                                              <w:sz w:val="22"/>
                                              <w:lang w:val="en-US" w:eastAsia="fr-FR"/>
                                            </w:rPr>
                                          </m:ctrlPr>
                                        </m:sSupPr>
                                        <m:e>
                                          <m:r>
                                            <w:rPr>
                                              <w:rFonts w:ascii="Cambria Math" w:eastAsia="Times New Roman" w:hAnsi="Cambria Math"/>
                                              <w:sz w:val="22"/>
                                              <w:lang w:val="en-US" w:eastAsia="fr-FR"/>
                                            </w:rPr>
                                            <m:t>k</m:t>
                                          </m:r>
                                        </m:e>
                                        <m:sup>
                                          <m:r>
                                            <w:rPr>
                                              <w:rFonts w:ascii="Cambria Math" w:eastAsia="Times New Roman" w:hAnsi="Cambria Math"/>
                                              <w:sz w:val="22"/>
                                              <w:lang w:val="en-US" w:eastAsia="fr-FR"/>
                                            </w:rPr>
                                            <m:t>'</m:t>
                                          </m:r>
                                        </m:sup>
                                      </m:sSup>
                                      <m:r>
                                        <w:rPr>
                                          <w:rFonts w:ascii="Cambria Math" w:eastAsia="Times New Roman" w:hAnsi="Cambria Math"/>
                                          <w:sz w:val="22"/>
                                          <w:lang w:val="en-US" w:eastAsia="fr-FR"/>
                                        </w:rPr>
                                        <m:t>,l</m:t>
                                      </m:r>
                                    </m:sub>
                                  </m:sSub>
                                  <m:ctrlPr>
                                    <w:rPr>
                                      <w:rFonts w:ascii="Cambria Math" w:eastAsia="Times New Roman" w:hAnsi="Cambria Math"/>
                                      <w:i/>
                                      <w:sz w:val="22"/>
                                      <w:lang w:val="en-US" w:eastAsia="fr-FR"/>
                                    </w:rPr>
                                  </m:ctrlPr>
                                </m:e>
                              </m:func>
                              <m:ctrlPr>
                                <w:rPr>
                                  <w:rFonts w:ascii="Cambria Math" w:eastAsia="Times New Roman" w:hAnsi="Cambria Math"/>
                                  <w:i/>
                                  <w:sz w:val="22"/>
                                  <w:lang w:val="en-US" w:eastAsia="fr-FR"/>
                                </w:rPr>
                              </m:ctrlPr>
                            </m:e>
                          </m:d>
                        </m:e>
                      </m:func>
                      <m:r>
                        <w:rPr>
                          <w:rFonts w:ascii="Cambria Math" w:eastAsia="Times New Roman" w:hAnsi="Cambria Math"/>
                          <w:sz w:val="22"/>
                          <w:lang w:val="en-US" w:eastAsia="fr-FR"/>
                        </w:rPr>
                        <m:t> ,1</m:t>
                      </m:r>
                      <m:ctrlPr>
                        <w:rPr>
                          <w:rFonts w:ascii="Cambria Math" w:eastAsia="Times New Roman" w:hAnsi="Cambria Math"/>
                          <w:i/>
                          <w:sz w:val="22"/>
                          <w:lang w:val="en-US" w:eastAsia="fr-FR"/>
                        </w:rPr>
                      </m:ctrlPr>
                    </m:e>
                  </m:d>
                </m:e>
              </m:func>
              <m:ctrlPr>
                <w:rPr>
                  <w:rFonts w:ascii="Cambria Math" w:eastAsia="Times New Roman" w:hAnsi="Cambria Math"/>
                  <w:i/>
                  <w:sz w:val="22"/>
                  <w:lang w:val="en-US" w:eastAsia="fr-FR"/>
                </w:rPr>
              </m:ctrlPr>
            </m:den>
          </m:f>
          <m:r>
            <w:rPr>
              <w:rFonts w:ascii="Cambria Math" w:eastAsia="Times New Roman" w:hAnsi="Cambria Math"/>
              <w:sz w:val="22"/>
              <w:lang w:val="en-US" w:eastAsia="fr-FR"/>
            </w:rPr>
            <m:t xml:space="preserve"> (5)</m:t>
          </m:r>
        </m:oMath>
      </m:oMathPara>
    </w:p>
    <w:p w14:paraId="2E7F0662" w14:textId="77777777" w:rsidR="00D933C7" w:rsidRPr="00555462" w:rsidRDefault="00D933C7" w:rsidP="00D93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Times New Roman" w:hAnsi="Times New Roman"/>
          <w:sz w:val="22"/>
          <w:lang w:val="en-US"/>
        </w:rPr>
      </w:pPr>
      <w:r w:rsidRPr="00555462">
        <w:rPr>
          <w:rFonts w:ascii="Times New Roman" w:eastAsia="Times New Roman" w:hAnsi="Times New Roman"/>
          <w:sz w:val="22"/>
          <w:lang w:val="en-US" w:eastAsia="fr-FR"/>
        </w:rPr>
        <w:t xml:space="preserve">where </w:t>
      </w:r>
      <m:oMath>
        <m:r>
          <w:rPr>
            <w:rFonts w:ascii="Cambria Math" w:eastAsia="Times New Roman" w:hAnsi="Cambria Math"/>
            <w:sz w:val="22"/>
            <w:lang w:val="en-US" w:eastAsia="fr-FR"/>
          </w:rPr>
          <m:t>t</m:t>
        </m:r>
        <m:r>
          <m:rPr>
            <m:sty m:val="p"/>
          </m:rPr>
          <w:rPr>
            <w:rFonts w:ascii="Cambria Math" w:eastAsia="Times New Roman" w:hAnsi="Cambria Math"/>
            <w:sz w:val="22"/>
            <w:lang w:val="en-US" w:eastAsia="fr-FR"/>
          </w:rPr>
          <m:t>∈</m:t>
        </m:r>
        <m:r>
          <m:rPr>
            <m:lit/>
          </m:rPr>
          <w:rPr>
            <w:rFonts w:ascii="Cambria Math" w:eastAsia="Times New Roman" w:hAnsi="Cambria Math"/>
            <w:sz w:val="22"/>
            <w:lang w:val="en-US" w:eastAsia="fr-FR"/>
          </w:rPr>
          <m:t>{</m:t>
        </m:r>
        <m:r>
          <w:rPr>
            <w:rFonts w:ascii="Cambria Math" w:eastAsia="Times New Roman" w:hAnsi="Cambria Math"/>
            <w:sz w:val="22"/>
            <w:lang w:val="en-US" w:eastAsia="fr-FR"/>
          </w:rPr>
          <m:t>1,2,..</m:t>
        </m:r>
        <m:d>
          <m:dPr>
            <m:begChr m:val="|"/>
            <m:endChr m:val="|"/>
            <m:ctrlPr>
              <w:rPr>
                <w:rFonts w:ascii="Cambria Math" w:eastAsia="Times New Roman" w:hAnsi="Cambria Math"/>
                <w:i/>
                <w:sz w:val="22"/>
                <w:lang w:val="en-US" w:eastAsia="fr-FR"/>
              </w:rPr>
            </m:ctrlPr>
          </m:dPr>
          <m:e>
            <m:r>
              <w:rPr>
                <w:rFonts w:ascii="Cambria Math" w:eastAsia="Times New Roman" w:hAnsi="Cambria Math"/>
                <w:sz w:val="22"/>
                <w:lang w:val="en-US" w:eastAsia="fr-FR"/>
              </w:rPr>
              <m:t>D</m:t>
            </m:r>
          </m:e>
        </m:d>
        <m:r>
          <m:rPr>
            <m:lit/>
          </m:rPr>
          <w:rPr>
            <w:rFonts w:ascii="Cambria Math" w:eastAsia="Times New Roman" w:hAnsi="Cambria Math"/>
            <w:sz w:val="22"/>
            <w:lang w:val="en-US" w:eastAsia="fr-FR"/>
          </w:rPr>
          <m:t>}</m:t>
        </m:r>
      </m:oMath>
      <w:r w:rsidRPr="00555462">
        <w:rPr>
          <w:rFonts w:ascii="Times New Roman" w:eastAsia="Times New Roman" w:hAnsi="Times New Roman"/>
          <w:sz w:val="22"/>
          <w:lang w:val="en-US" w:eastAsia="fr-FR"/>
        </w:rPr>
        <w:t xml:space="preserve"> is the agglomeration step, </w:t>
      </w:r>
      <m:oMath>
        <m:sSub>
          <m:sSubPr>
            <m:ctrlPr>
              <w:rPr>
                <w:rFonts w:ascii="Cambria Math" w:eastAsia="Times New Roman" w:hAnsi="Cambria Math"/>
                <w:i/>
                <w:sz w:val="22"/>
                <w:lang w:val="en-US" w:eastAsia="fr-FR"/>
              </w:rPr>
            </m:ctrlPr>
          </m:sSubPr>
          <m:e>
            <m:r>
              <w:rPr>
                <w:rFonts w:ascii="Cambria Math" w:eastAsia="Times New Roman" w:hAnsi="Cambria Math"/>
                <w:sz w:val="22"/>
                <w:lang w:val="en-US" w:eastAsia="fr-FR"/>
              </w:rPr>
              <m:t>C</m:t>
            </m:r>
          </m:e>
          <m:sub>
            <m:r>
              <w:rPr>
                <w:rFonts w:ascii="Cambria Math" w:eastAsia="Times New Roman" w:hAnsi="Cambria Math"/>
                <w:sz w:val="22"/>
                <w:lang w:val="en-US" w:eastAsia="fr-FR"/>
              </w:rPr>
              <m:t>t</m:t>
            </m:r>
          </m:sub>
        </m:sSub>
      </m:oMath>
      <w:r w:rsidRPr="00555462">
        <w:rPr>
          <w:rFonts w:ascii="Times New Roman" w:eastAsia="Times New Roman" w:hAnsi="Times New Roman"/>
          <w:sz w:val="22"/>
          <w:lang w:val="en-US" w:eastAsia="fr-FR"/>
        </w:rPr>
        <w:t xml:space="preserve"> is the set of disease clusters at step t and  </w:t>
      </w:r>
      <m:oMath>
        <m:sSubSup>
          <m:sSubSupPr>
            <m:ctrlPr>
              <w:rPr>
                <w:rFonts w:ascii="Cambria Math" w:eastAsia="Times New Roman" w:hAnsi="Cambria Math"/>
                <w:i/>
                <w:sz w:val="22"/>
                <w:lang w:val="en-US" w:eastAsia="fr-FR"/>
              </w:rPr>
            </m:ctrlPr>
          </m:sSubSupPr>
          <m:e>
            <m:r>
              <w:rPr>
                <w:rFonts w:ascii="Cambria Math" w:eastAsia="Times New Roman" w:hAnsi="Cambria Math"/>
                <w:sz w:val="22"/>
                <w:lang w:val="en-US" w:eastAsia="fr-FR"/>
              </w:rPr>
              <m:t>θ</m:t>
            </m:r>
            <m:ctrlPr>
              <w:rPr>
                <w:rFonts w:ascii="Cambria Math" w:eastAsia="Times New Roman" w:hAnsi="Cambria Math"/>
                <w:sz w:val="22"/>
                <w:lang w:val="en-US" w:eastAsia="fr-FR"/>
              </w:rPr>
            </m:ctrlPr>
          </m:e>
          <m:sub>
            <m:r>
              <w:rPr>
                <w:rFonts w:ascii="Cambria Math" w:eastAsia="Times New Roman" w:hAnsi="Cambria Math"/>
                <w:sz w:val="22"/>
                <w:lang w:val="en-US" w:eastAsia="fr-FR"/>
              </w:rPr>
              <m:t>t</m:t>
            </m:r>
          </m:sub>
          <m:sup>
            <m:r>
              <w:rPr>
                <w:rFonts w:ascii="Cambria Math" w:eastAsia="Times New Roman" w:hAnsi="Cambria Math"/>
                <w:sz w:val="22"/>
                <w:lang w:val="en-US" w:eastAsia="fr-FR"/>
              </w:rPr>
              <m:t>*</m:t>
            </m:r>
          </m:sup>
        </m:sSubSup>
      </m:oMath>
      <w:r w:rsidRPr="00555462">
        <w:rPr>
          <w:rFonts w:ascii="Times New Roman" w:eastAsia="Times New Roman" w:hAnsi="Times New Roman"/>
          <w:sz w:val="22"/>
          <w:lang w:val="en-US" w:eastAsia="fr-FR"/>
        </w:rPr>
        <w:t xml:space="preserve"> is the cluster link chosen for current agglomeration. This rule performs better than simply taking the link with the maximum relative risk to maximize the MR ratio. It was designed to consider the multiple relations that each disease cluster has with the others, and to select the most exclusive link.</w:t>
      </w:r>
    </w:p>
    <w:p w14:paraId="749495B0" w14:textId="3CC8870A" w:rsidR="00D933C7" w:rsidRDefault="00D933C7" w:rsidP="00D933C7">
      <w:pPr>
        <w:spacing w:line="480" w:lineRule="auto"/>
        <w:rPr>
          <w:rFonts w:ascii="Times New Roman" w:hAnsi="Times New Roman"/>
          <w:sz w:val="22"/>
          <w:lang w:val="en-IE"/>
        </w:rPr>
      </w:pPr>
      <w:r w:rsidRPr="00555462">
        <w:rPr>
          <w:rFonts w:ascii="Times New Roman" w:hAnsi="Times New Roman"/>
          <w:sz w:val="22"/>
          <w:lang w:val="en-IE"/>
        </w:rPr>
        <w:lastRenderedPageBreak/>
        <w:t>Applying the clustering strategy described above with empirical probabilities of diagnosis occurences and co-occurences during the study period, clusters were obtained, ordered by the size of the patient population concerned and named based on analysis of the blocks of diagnoses.</w:t>
      </w:r>
    </w:p>
    <w:p w14:paraId="792E1615" w14:textId="468D7B85" w:rsidR="00057AAE" w:rsidRPr="00057AAE" w:rsidRDefault="00057AAE" w:rsidP="00D933C7">
      <w:pPr>
        <w:spacing w:line="480" w:lineRule="auto"/>
        <w:rPr>
          <w:rFonts w:ascii="Times New Roman" w:hAnsi="Times New Roman"/>
          <w:i/>
          <w:iCs/>
          <w:sz w:val="22"/>
          <w:lang w:val="en-IE"/>
        </w:rPr>
      </w:pPr>
      <w:r w:rsidRPr="00057AAE">
        <w:rPr>
          <w:rFonts w:ascii="Times New Roman" w:hAnsi="Times New Roman"/>
          <w:i/>
          <w:iCs/>
          <w:sz w:val="22"/>
          <w:lang w:val="en-IE"/>
        </w:rPr>
        <w:t>Di</w:t>
      </w:r>
      <w:r>
        <w:rPr>
          <w:rFonts w:ascii="Times New Roman" w:hAnsi="Times New Roman"/>
          <w:i/>
          <w:iCs/>
          <w:sz w:val="22"/>
          <w:lang w:val="en-IE"/>
        </w:rPr>
        <w:t>s</w:t>
      </w:r>
      <w:r w:rsidRPr="00057AAE">
        <w:rPr>
          <w:rFonts w:ascii="Times New Roman" w:hAnsi="Times New Roman"/>
          <w:i/>
          <w:iCs/>
          <w:sz w:val="22"/>
          <w:lang w:val="en-IE"/>
        </w:rPr>
        <w:t>cussion of the detailed method</w:t>
      </w:r>
      <w:r>
        <w:rPr>
          <w:rFonts w:ascii="Times New Roman" w:hAnsi="Times New Roman"/>
          <w:i/>
          <w:iCs/>
          <w:sz w:val="22"/>
          <w:lang w:val="en-IE"/>
        </w:rPr>
        <w:t xml:space="preserve"> of clustering</w:t>
      </w:r>
    </w:p>
    <w:p w14:paraId="0EDC7AE7" w14:textId="69D06210" w:rsidR="00057AAE" w:rsidRDefault="00BD5C10" w:rsidP="00057AAE">
      <w:pPr>
        <w:spacing w:line="480" w:lineRule="auto"/>
        <w:rPr>
          <w:rFonts w:ascii="Times New Roman" w:hAnsi="Times New Roman"/>
          <w:noProof/>
          <w:color w:val="ED7D31" w:themeColor="accent2"/>
          <w:sz w:val="22"/>
          <w:lang w:val="en-IE"/>
        </w:rPr>
      </w:pPr>
      <w:r w:rsidRPr="004A7E93">
        <w:rPr>
          <w:rFonts w:ascii="Times New Roman" w:hAnsi="Times New Roman"/>
          <w:noProof/>
          <w:color w:val="000000"/>
          <w:sz w:val="22"/>
          <w:lang w:val="en-IE"/>
        </w:rPr>
        <w:t xml:space="preserve">The </w:t>
      </w:r>
      <w:r w:rsidRPr="004A7E93">
        <w:rPr>
          <w:rFonts w:ascii="Times New Roman" w:hAnsi="Times New Roman"/>
          <w:sz w:val="22"/>
          <w:lang w:val="en-IE"/>
        </w:rPr>
        <w:t>Hierarchical Agglomerative Clustering (HAC)</w:t>
      </w:r>
      <w:r w:rsidRPr="004A7E93">
        <w:rPr>
          <w:rFonts w:ascii="Times New Roman" w:hAnsi="Times New Roman"/>
          <w:noProof/>
          <w:color w:val="000000"/>
          <w:sz w:val="22"/>
          <w:lang w:val="en-IE"/>
        </w:rPr>
        <w:t xml:space="preserve"> technique used here is similar to that used by Cornell et al.</w:t>
      </w:r>
      <w:r w:rsidRPr="004A7E93">
        <w:rPr>
          <w:rFonts w:ascii="Times New Roman" w:hAnsi="Times New Roman"/>
          <w:noProof/>
          <w:color w:val="000000"/>
          <w:sz w:val="22"/>
          <w:lang w:val="en-IE"/>
        </w:rPr>
        <w:fldChar w:fldCharType="begin" w:fldLock="1"/>
      </w:r>
      <w:r w:rsidR="00712578">
        <w:rPr>
          <w:rFonts w:ascii="Times New Roman" w:hAnsi="Times New Roman"/>
          <w:noProof/>
          <w:color w:val="000000"/>
          <w:sz w:val="22"/>
          <w:lang w:val="en-IE"/>
        </w:rPr>
        <w:instrText>ADDIN CSL_CITATION {"citationItems":[{"id":"ITEM-1","itemData":{"DOI":"10.22329/amr.v12i3.658","ISSN":"1918-1108","abstract":"Our purpose in this article is to describe and illustrate the application of cluster analysis to identify clinically relevant multimorbidity groups. Multimorbidity is the co-occurrence of 2 or more illnesses within a single person, which raises the question whether consistent, clinically useful multimorbidity groups exist among sets of chronic illnesses. Our purpose in this article is to describe and illustrate the application of cluster analysis to identify clinically relevant multimorbidity groups. Application of cluster analysis involves a sequence of critical methodological and analytic decisions that influence the quality and meaning of the clusters produced. We illustrate the application of cluster analysis to identify multimorbidity clusters in a set of 45 chronic illnesses in primary care patients (N = 1,327,328), with 2 or more chronic conditions, served by the Veterans Health Administration. Six clinically useful multimorbidity clusters were identified: a Metabolic Cluster, an Obesity Cluster, a Liver Cluster, a Neurovascular Cluster, a Stress Cluster and a Dual Diagnosis Cluster. Cluster analysis appears to be a useful technique for identifying multiple disease clusters and patterns of multimorbidity.","author":[{"dropping-particle":"","family":"Cornell","given":"John E.","non-dropping-particle":"","parse-names":false,"suffix":""},{"dropping-particle":"","family":"Pugh","given":"Jacqueline A.","non-dropping-particle":"","parse-names":false,"suffix":""},{"dropping-particle":"","family":"Williams, Jr","given":"John W.","non-dropping-particle":"","parse-names":false,"suffix":""},{"dropping-particle":"","family":"Kazis","given":"Lewis","non-dropping-particle":"","parse-names":false,"suffix":""},{"dropping-particle":"","family":"Lee","given":"Austin F.S.","non-dropping-particle":"","parse-names":false,"suffix":""},{"dropping-particle":"","family":"Parchman","given":"Michael L.","non-dropping-particle":"","parse-names":false,"suffix":""},{"dropping-particle":"","family":"Zeber","given":"John","non-dropping-particle":"","parse-names":false,"suffix":""},{"dropping-particle":"","family":"Pederson","given":"Thomas","non-dropping-particle":"","parse-names":false,"suffix":""},{"dropping-particle":"","family":"Montgomery","given":"Kelly A.","non-dropping-particle":"","parse-names":false,"suffix":""},{"dropping-particle":"","family":"Hitchcock Noël","given":"Polly","non-dropping-particle":"","parse-names":false,"suffix":""}],"container-title":"Applied Multivariate Research","id":"ITEM-1","issue":"3","issued":{"date-parts":[["2009","1","13"]]},"page":"163","publisher":"University of Windsor Leddy Library","title":"Multimorbidity Clusters: Clustering Binary Data From Multimorbidity Clusters: Clustering Binary Data From a Large Administrative Medical Database","type":"article-journal","volume":"12"},"uris":["http://www.mendeley.com/documents/?uuid=6ab8fb74-783f-315d-9e0b-2e4168bc47f1"]}],"mendeley":{"formattedCitation":"&lt;sup&gt;4&lt;/sup&gt;","plainTextFormattedCitation":"4","previouslyFormattedCitation":"&lt;sup&gt;4&lt;/sup&gt;"},"properties":{"noteIndex":0},"schema":"https://github.com/citation-style-language/schema/raw/master/csl-citation.json"}</w:instrText>
      </w:r>
      <w:r w:rsidRPr="004A7E93">
        <w:rPr>
          <w:rFonts w:ascii="Times New Roman" w:hAnsi="Times New Roman"/>
          <w:noProof/>
          <w:color w:val="000000"/>
          <w:sz w:val="22"/>
          <w:lang w:val="en-IE"/>
        </w:rPr>
        <w:fldChar w:fldCharType="separate"/>
      </w:r>
      <w:r w:rsidR="007153D3" w:rsidRPr="007153D3">
        <w:rPr>
          <w:rFonts w:ascii="Times New Roman" w:hAnsi="Times New Roman"/>
          <w:noProof/>
          <w:color w:val="000000"/>
          <w:sz w:val="22"/>
          <w:vertAlign w:val="superscript"/>
          <w:lang w:val="en-IE"/>
        </w:rPr>
        <w:t>4</w:t>
      </w:r>
      <w:r w:rsidRPr="004A7E93">
        <w:rPr>
          <w:rFonts w:ascii="Times New Roman" w:hAnsi="Times New Roman"/>
          <w:noProof/>
          <w:color w:val="000000"/>
          <w:sz w:val="22"/>
          <w:lang w:val="en-IE"/>
        </w:rPr>
        <w:fldChar w:fldCharType="end"/>
      </w:r>
      <w:r w:rsidRPr="004A7E93">
        <w:rPr>
          <w:rFonts w:ascii="Times New Roman" w:hAnsi="Times New Roman"/>
          <w:noProof/>
          <w:color w:val="000000"/>
          <w:sz w:val="22"/>
          <w:lang w:val="en-IE"/>
        </w:rPr>
        <w:t xml:space="preserve"> and Newcomer et al.</w:t>
      </w:r>
      <w:r w:rsidRPr="004A7E93">
        <w:rPr>
          <w:rFonts w:ascii="Times New Roman" w:hAnsi="Times New Roman"/>
          <w:noProof/>
          <w:color w:val="000000"/>
          <w:sz w:val="22"/>
          <w:lang w:val="en-IE"/>
        </w:rPr>
        <w:fldChar w:fldCharType="begin" w:fldLock="1"/>
      </w:r>
      <w:r w:rsidR="00057AAE">
        <w:rPr>
          <w:rFonts w:ascii="Times New Roman" w:hAnsi="Times New Roman"/>
          <w:noProof/>
          <w:color w:val="000000"/>
          <w:sz w:val="22"/>
          <w:lang w:val="en-IE"/>
        </w:rPr>
        <w:instrText>ADDIN CSL_CITATION {"citationItems":[{"id":"ITEM-1","itemData":{"ISSN":"10880224","PMID":"21851140","abstract":"Objective: To illustrate the use of cluster analysis for identifying sub-populations of complex patients who may benefit from targeted care management strategies. Study Design: Retrospective cohort analysis. Methods: We identified a cohort of adult members of an integrated health maintenance organization who had 2 or more of 17 common chronic medical conditions and were categorized in the top 20% of total cost of care for 2 consecutive years (n = 15,480). We used agglomerative hierarchical clustering methods to identify clinically relevant subgroups based on groupings of coexisting conditions. Ward's minimum variance algorithm provided the most parsimonious solution. Results: Ward's algorithm identified 10 clinically relevant clusters grouped around single or multiple \"anchoring conditions.\" The clusters revealed distinct groups of patients including: coexisting chronic pain and mental illness, obesity and mental illness, frail elderly, cancer, specific surgical procedures, cardiac disease, chronic lung disease, gastrointestinal bleeding, diabetes, and renal disease. These conditions co-occurred with multiple other chronic conditions. Mental health diagnoses were prevalent (range 28% to 100%) in all clusters. Conclusions: Data mining procedures such as cluster analysis can be used to identify discrete groups of patients with specific combinations of comorbid conditions. These clusters suggest the need for a range of care management strategies. Although several of our clusters lend themselves to existing care and disease management protocols, care management for other subgroups is less well-defined. Cluster analysis methods can be leveraged to develop targeted care management interventions designed to improve health outcomes.","author":[{"dropping-particle":"","family":"Newcomer","given":"Sophia R.","non-dropping-particle":"","parse-names":false,"suffix":""},{"dropping-particle":"","family":"Steiner","given":"John F.","non-dropping-particle":"","parse-names":false,"suffix":""},{"dropping-particle":"","family":"Bayliss","given":"Elizabeth A.","non-dropping-particle":"","parse-names":false,"suffix":""}],"container-title":"American Journal of Managed Care","id":"ITEM-1","issued":{"date-parts":[["2011"]]},"title":"Identifying subgroups of complex patients with cluster analysis","type":"article-journal"},"uris":["http://www.mendeley.com/documents/?uuid=c4424e48-4d65-45a0-a097-1165e4440eec"]}],"mendeley":{"formattedCitation":"&lt;sup&gt;12&lt;/sup&gt;","plainTextFormattedCitation":"12","previouslyFormattedCitation":"&lt;sup&gt;12&lt;/sup&gt;"},"properties":{"noteIndex":0},"schema":"https://github.com/citation-style-language/schema/raw/master/csl-citation.json"}</w:instrText>
      </w:r>
      <w:r w:rsidRPr="004A7E93">
        <w:rPr>
          <w:rFonts w:ascii="Times New Roman" w:hAnsi="Times New Roman"/>
          <w:noProof/>
          <w:color w:val="000000"/>
          <w:sz w:val="22"/>
          <w:lang w:val="en-IE"/>
        </w:rPr>
        <w:fldChar w:fldCharType="separate"/>
      </w:r>
      <w:r w:rsidR="00712578" w:rsidRPr="00712578">
        <w:rPr>
          <w:rFonts w:ascii="Times New Roman" w:hAnsi="Times New Roman"/>
          <w:noProof/>
          <w:color w:val="000000"/>
          <w:sz w:val="22"/>
          <w:vertAlign w:val="superscript"/>
          <w:lang w:val="en-IE"/>
        </w:rPr>
        <w:t>12</w:t>
      </w:r>
      <w:r w:rsidRPr="004A7E93">
        <w:rPr>
          <w:rFonts w:ascii="Times New Roman" w:hAnsi="Times New Roman"/>
          <w:noProof/>
          <w:color w:val="000000"/>
          <w:sz w:val="22"/>
          <w:lang w:val="en-IE"/>
        </w:rPr>
        <w:fldChar w:fldCharType="end"/>
      </w:r>
      <w:r w:rsidRPr="004A7E93">
        <w:rPr>
          <w:rFonts w:ascii="Times New Roman" w:hAnsi="Times New Roman"/>
          <w:noProof/>
          <w:color w:val="000000"/>
          <w:sz w:val="22"/>
          <w:lang w:val="en-IE"/>
        </w:rPr>
        <w:t xml:space="preserve">, but uses a new measure of similarity to quantify co-occurrence phenomena through the relative risk (RR) of the co-occurrence of two diagnoses beyond the normal likelihood. Like the Jaccard coefficient, it focuses on positive matches of co-occurences that have more meaning, but also takes into account the marginal propensities of each diagnosis. Furthermore, this technique adapts the HAC to a non-distance-based measure on co-occurences of binary data using a more adequate technique than the </w:t>
      </w:r>
      <w:r w:rsidRPr="004A7E93">
        <w:rPr>
          <w:rFonts w:ascii="Times New Roman" w:hAnsi="Times New Roman"/>
          <w:sz w:val="22"/>
          <w:lang w:val="en-IE"/>
        </w:rPr>
        <w:t>Lance and Williams recurrence formula</w:t>
      </w:r>
      <w:r w:rsidRPr="004A7E93">
        <w:rPr>
          <w:rFonts w:ascii="Times New Roman" w:hAnsi="Times New Roman"/>
          <w:sz w:val="22"/>
          <w:lang w:val="en-IE"/>
        </w:rPr>
        <w:fldChar w:fldCharType="begin" w:fldLock="1"/>
      </w:r>
      <w:r w:rsidR="00057AAE">
        <w:rPr>
          <w:rFonts w:ascii="Times New Roman" w:hAnsi="Times New Roman"/>
          <w:sz w:val="22"/>
          <w:lang w:val="en-IE"/>
        </w:rPr>
        <w:instrText>ADDIN CSL_CITATION {"citationItems":[{"id":"ITEM-1","itemData":{"DOI":"10.1093/comjnl/9.4.373","ISSN":"0010-4620","abstract":"It is shown that the computational behaviour of a hierarchical sorting-strategy depends on three properties, which are established for five conventional strategies and four measures. The conventional strategies are shown to be simple variants of a single linear system defined by four parameters. A new strategy is defined, enabling continuous variation of intensity of grouping by variation in a single parameter. An Appendix provides specifications of computer programs embodying the new principles.","author":[{"dropping-particle":"","family":"Lance","given":"G. N.","non-dropping-particle":"","parse-names":false,"suffix":""},{"dropping-particle":"","family":"Williams","given":"W. T.","non-dropping-particle":"","parse-names":false,"suffix":""}],"container-title":"The Computer Journal","id":"ITEM-1","issued":{"date-parts":[["1967"]]},"title":"A General Theory of Classificatory Sorting Strategies: 1. Hierarchical Systems","type":"article-journal"},"uris":["http://www.mendeley.com/documents/?uuid=12dfeb0c-e303-4097-84c7-3eca311d8c04","http://www.mendeley.com/documents/?uuid=fa3c11ed-b408-4f56-8b83-77b9a342b4a1"]}],"mendeley":{"formattedCitation":"&lt;sup&gt;10&lt;/sup&gt;","plainTextFormattedCitation":"10","previouslyFormattedCitation":"&lt;sup&gt;10&lt;/sup&gt;"},"properties":{"noteIndex":0},"schema":"https://github.com/citation-style-language/schema/raw/master/csl-citation.json"}</w:instrText>
      </w:r>
      <w:r w:rsidRPr="004A7E93">
        <w:rPr>
          <w:rFonts w:ascii="Times New Roman" w:hAnsi="Times New Roman"/>
          <w:sz w:val="22"/>
          <w:lang w:val="en-IE"/>
        </w:rPr>
        <w:fldChar w:fldCharType="separate"/>
      </w:r>
      <w:r w:rsidR="00712578" w:rsidRPr="00712578">
        <w:rPr>
          <w:rFonts w:ascii="Times New Roman" w:hAnsi="Times New Roman"/>
          <w:noProof/>
          <w:sz w:val="22"/>
          <w:vertAlign w:val="superscript"/>
          <w:lang w:val="en-IE"/>
        </w:rPr>
        <w:t>10</w:t>
      </w:r>
      <w:r w:rsidRPr="004A7E93">
        <w:rPr>
          <w:rFonts w:ascii="Times New Roman" w:hAnsi="Times New Roman"/>
          <w:sz w:val="22"/>
          <w:lang w:val="en-IE"/>
        </w:rPr>
        <w:fldChar w:fldCharType="end"/>
      </w:r>
      <w:r w:rsidRPr="004A7E93">
        <w:rPr>
          <w:rFonts w:ascii="Times New Roman" w:hAnsi="Times New Roman"/>
          <w:sz w:val="22"/>
          <w:lang w:val="en-IE"/>
        </w:rPr>
        <w:t xml:space="preserve">. </w:t>
      </w:r>
      <w:r w:rsidRPr="004A7E93">
        <w:rPr>
          <w:rFonts w:ascii="Times New Roman" w:hAnsi="Times New Roman"/>
          <w:noProof/>
          <w:color w:val="000000"/>
          <w:sz w:val="22"/>
          <w:lang w:val="en-IE"/>
        </w:rPr>
        <w:t xml:space="preserve"> This is done by applying the relative risk measure directly between clusters and with the introduction of new indicators, it yields direct and quantifiable interpretation of the links between diagnoses, and the quality of clustering. With values above 1, the membership ratios indicate that the clusters are compact, meaning that the blocks of diagnoses have, on average, more relative risk with their own cluster than with any other</w:t>
      </w:r>
      <w:r w:rsidRPr="00BD0D2C">
        <w:rPr>
          <w:rFonts w:ascii="Times New Roman" w:hAnsi="Times New Roman"/>
          <w:noProof/>
          <w:color w:val="ED7D31" w:themeColor="accent2"/>
          <w:sz w:val="22"/>
          <w:lang w:val="en-IE"/>
        </w:rPr>
        <w:t>.</w:t>
      </w:r>
      <w:r w:rsidR="00BD0D2C" w:rsidRPr="00BD0D2C">
        <w:rPr>
          <w:rFonts w:ascii="Times New Roman" w:hAnsi="Times New Roman"/>
          <w:noProof/>
          <w:color w:val="ED7D31" w:themeColor="accent2"/>
          <w:sz w:val="22"/>
          <w:lang w:val="en-IE"/>
        </w:rPr>
        <w:t xml:space="preserve"> </w:t>
      </w:r>
      <w:r w:rsidR="00057AAE">
        <w:rPr>
          <w:rFonts w:ascii="Times New Roman" w:hAnsi="Times New Roman"/>
          <w:noProof/>
          <w:color w:val="ED7D31" w:themeColor="accent2"/>
          <w:sz w:val="22"/>
          <w:lang w:val="en-IE"/>
        </w:rPr>
        <w:t xml:space="preserve"> </w:t>
      </w:r>
    </w:p>
    <w:p w14:paraId="3B3557BD" w14:textId="5A6925D0" w:rsidR="00057AAE" w:rsidRPr="00BD0D2C" w:rsidRDefault="00057AAE" w:rsidP="00057AAE">
      <w:pPr>
        <w:spacing w:line="480" w:lineRule="auto"/>
        <w:rPr>
          <w:rFonts w:ascii="Times New Roman" w:hAnsi="Times New Roman"/>
          <w:b/>
          <w:color w:val="ED7D31" w:themeColor="accent2"/>
          <w:sz w:val="22"/>
          <w:lang w:val="en-IE"/>
        </w:rPr>
      </w:pPr>
      <w:r w:rsidRPr="00555462">
        <w:rPr>
          <w:rFonts w:ascii="Times New Roman" w:hAnsi="Times New Roman"/>
          <w:noProof/>
          <w:color w:val="000000"/>
          <w:sz w:val="22"/>
          <w:lang w:val="en-IE"/>
        </w:rPr>
        <w:t>Although some studies focused on a general primary care population</w:t>
      </w:r>
      <w:r w:rsidRPr="00555462">
        <w:rPr>
          <w:rFonts w:ascii="Times New Roman" w:hAnsi="Times New Roman"/>
          <w:noProof/>
          <w:color w:val="000000"/>
          <w:sz w:val="22"/>
          <w:lang w:val="en-IE"/>
        </w:rPr>
        <w:fldChar w:fldCharType="begin" w:fldLock="1"/>
      </w:r>
      <w:r>
        <w:rPr>
          <w:rFonts w:ascii="Times New Roman" w:hAnsi="Times New Roman"/>
          <w:noProof/>
          <w:color w:val="000000"/>
          <w:sz w:val="22"/>
          <w:lang w:val="en-IE"/>
        </w:rPr>
        <w:instrText>ADDIN CSL_CITATION {"citationItems":[{"id":"ITEM-1","itemData":{"DOI":"10.1371/journal.pone.0032190","ISSN":"19326203","abstract":"Objectives: The primary objective of this study was to identify the existence of chronic disease multimorbidity patterns in the primary care population, describing their clinical components and analysing how these patterns change and evolve over time both in women and men. The secondary objective of this study was to generate evidence regarding the pathophysiological processes underlying multimorbidity and to understand the interactions and synergies among the various diseases. Methods: This observational, retrospective, multicentre study utilised information from the electronic medical records of 19 primary care centres from 2008. To identify multimorbidity patterns, an exploratory factor analysis was carried out based on the tetra-choric correlations between the diagnostic information of 275,682 patients who were over 14 years of age. The analysis was stratified by age group and sex. Results: Multimorbidity was found in all age groups, and its prevalence ranged from 13% in the 15 to 44 year age group to 67% in those 65 years of age or older. Goodness-of-fit indicators revealed sample values between 0.50 and 0.71. We identified five patterns of multimorbidity: cardio-metabolic, psychiatric-substance abuse, mechanical-obesity-thyroidal, psychogeriatric and depressive. Some of these patterns were found to evolve with age, and there were differences between men and women. Conclusions: Non-random associations between chronic diseases result in clinically consistent multimorbidity patterns affecting a significant proportion of the population. Underlying pathophysiological phenomena were observed upon which action can be taken both from a clinical, individual-level perspective and from a public health or population-level perspective. © 2012 Prados-Torres et al. This is an open-access article distributed under the terms of the Creative Commons Attribution License, which permits unrestricted use, distribution, and reproduction in any medium, provided the original author and source are credited.","author":[{"dropping-particle":"","family":"Prados-Torres","given":"Alexandra","non-dropping-particle":"","parse-names":false,"suffix":""},{"dropping-particle":"","family":"Poblador-Plou","given":"Beatriz","non-dropping-particle":"","parse-names":false,"suffix":""},{"dropping-particle":"","family":"Calderón-Larrañaga","given":"Amaia","non-dropping-particle":"","parse-names":false,"suffix":""},{"dropping-particle":"","family":"Gimeno-Feliu","given":"Luis Andrés","non-dropping-particle":"","parse-names":false,"suffix":""},{"dropping-particle":"","family":"González-Rubio","given":"Francisca","non-dropping-particle":"","parse-names":false,"suffix":""},{"dropping-particle":"","family":"Poncel-Falcó","given":"Antonio","non-dropping-particle":"","parse-names":false,"suffix":""},{"dropping-particle":"","family":"Sicras-Mainar","given":"Antoni","non-dropping-particle":"","parse-names":false,"suffix":""},{"dropping-particle":"","family":"Alcalá-Nalvaiz","given":"José Tomás","non-dropping-particle":"","parse-names":false,"suffix":""}],"container-title":"PLoS ONE","id":"ITEM-1","issued":{"date-parts":[["2012"]]},"title":"Multimorbidity patterns in primary care: Interactions among chronic diseases using factor analysis","type":"article-journal"},"uris":["http://www.mendeley.com/documents/?uuid=d3d8425d-c249-469b-8a72-78d99c45a435"]}],"mendeley":{"formattedCitation":"&lt;sup&gt;2&lt;/sup&gt;","plainTextFormattedCitation":"2","previouslyFormattedCitation":"&lt;sup&gt;2&lt;/sup&gt;"},"properties":{"noteIndex":0},"schema":"https://github.com/citation-style-language/schema/raw/master/csl-citation.json"}</w:instrText>
      </w:r>
      <w:r w:rsidRPr="00555462">
        <w:rPr>
          <w:rFonts w:ascii="Times New Roman" w:hAnsi="Times New Roman"/>
          <w:noProof/>
          <w:color w:val="000000"/>
          <w:sz w:val="22"/>
          <w:lang w:val="en-IE"/>
        </w:rPr>
        <w:fldChar w:fldCharType="separate"/>
      </w:r>
      <w:r w:rsidRPr="007153D3">
        <w:rPr>
          <w:rFonts w:ascii="Times New Roman" w:hAnsi="Times New Roman"/>
          <w:noProof/>
          <w:color w:val="000000"/>
          <w:sz w:val="22"/>
          <w:vertAlign w:val="superscript"/>
          <w:lang w:val="en-IE"/>
        </w:rPr>
        <w:t>2</w:t>
      </w:r>
      <w:r w:rsidRPr="00555462">
        <w:rPr>
          <w:rFonts w:ascii="Times New Roman" w:hAnsi="Times New Roman"/>
          <w:noProof/>
          <w:color w:val="000000"/>
          <w:sz w:val="22"/>
          <w:lang w:val="en-IE"/>
        </w:rPr>
        <w:fldChar w:fldCharType="end"/>
      </w:r>
      <w:r w:rsidRPr="00555462">
        <w:rPr>
          <w:rFonts w:ascii="Times New Roman" w:hAnsi="Times New Roman"/>
          <w:noProof/>
          <w:color w:val="000000"/>
          <w:sz w:val="22"/>
          <w:lang w:val="en-IE"/>
        </w:rPr>
        <w:t>, they used specific exclusion criteria based on gender or age, and stratification strategies to obtain clusters more specific to the predefined categories of the population. The approach used in the present study enables the construction of clusters of diseases related to ED visits considering all ICD10 diagnostic codes, and considering the whole population without age or gender stratification. With the use of hard clusters with exclusive disease-cluster associations, this leads to a more general and comprehensive clustering that was able to classify the vast majority of ED visits (</w:t>
      </w:r>
      <w:r w:rsidRPr="00555462">
        <w:rPr>
          <w:rFonts w:ascii="Times New Roman" w:hAnsi="Times New Roman"/>
          <w:sz w:val="22"/>
          <w:lang w:val="en-IE"/>
        </w:rPr>
        <w:t>92.93%).</w:t>
      </w:r>
    </w:p>
    <w:p w14:paraId="17824216" w14:textId="62C670FF" w:rsidR="00057AAE" w:rsidRDefault="00057AAE" w:rsidP="00057AAE">
      <w:pPr>
        <w:spacing w:line="480" w:lineRule="auto"/>
        <w:rPr>
          <w:rFonts w:ascii="Times New Roman" w:hAnsi="Times New Roman"/>
          <w:sz w:val="22"/>
          <w:lang w:val="en-IE"/>
        </w:rPr>
      </w:pPr>
      <w:r w:rsidRPr="00057AAE">
        <w:rPr>
          <w:rFonts w:ascii="Times New Roman" w:hAnsi="Times New Roman"/>
          <w:sz w:val="22"/>
          <w:lang w:val="en-IE"/>
        </w:rPr>
        <w:t>One main limitation of the</w:t>
      </w:r>
      <w:r w:rsidR="00A93D54">
        <w:rPr>
          <w:rFonts w:ascii="Times New Roman" w:hAnsi="Times New Roman"/>
          <w:sz w:val="22"/>
          <w:lang w:val="en-IE"/>
        </w:rPr>
        <w:t xml:space="preserve"> present</w:t>
      </w:r>
      <w:r w:rsidRPr="00057AAE">
        <w:rPr>
          <w:rFonts w:ascii="Times New Roman" w:hAnsi="Times New Roman"/>
          <w:sz w:val="22"/>
          <w:lang w:val="en-IE"/>
        </w:rPr>
        <w:t xml:space="preserve"> methodology is that it relies on patient receiving multiple diagnoses over specific period, which is rare in the context of ED visits. Indeed, the general ED population is characterized by a low multimorbidity context : a total of 52,627 patients (69.91%) were characterized </w:t>
      </w:r>
      <w:r w:rsidRPr="00057AAE">
        <w:rPr>
          <w:rFonts w:ascii="Times New Roman" w:hAnsi="Times New Roman"/>
          <w:sz w:val="22"/>
          <w:lang w:val="en-IE"/>
        </w:rPr>
        <w:lastRenderedPageBreak/>
        <w:t xml:space="preserve">by the occurrence of 1 block of diagnoses and 21,513 patients (28.58%) with 2 or more, leading </w:t>
      </w:r>
      <w:bookmarkStart w:id="2" w:name="_Hlk54266339"/>
      <w:r w:rsidRPr="00057AAE">
        <w:rPr>
          <w:rFonts w:ascii="Times New Roman" w:hAnsi="Times New Roman"/>
          <w:sz w:val="22"/>
          <w:lang w:val="en-IE"/>
        </w:rPr>
        <w:t>to an average of 1.47±0.96 occurrences per patient</w:t>
      </w:r>
      <w:bookmarkEnd w:id="2"/>
      <w:r w:rsidR="00AA5418">
        <w:rPr>
          <w:rFonts w:ascii="Times New Roman" w:hAnsi="Times New Roman"/>
          <w:sz w:val="22"/>
          <w:lang w:val="en-IE"/>
        </w:rPr>
        <w:t>.</w:t>
      </w:r>
    </w:p>
    <w:p w14:paraId="71E9DD3F" w14:textId="77777777" w:rsidR="00AA5418" w:rsidRPr="00AA5418" w:rsidRDefault="00AA5418" w:rsidP="00057AAE">
      <w:pPr>
        <w:spacing w:line="480" w:lineRule="auto"/>
        <w:rPr>
          <w:rFonts w:ascii="Times New Roman" w:hAnsi="Times New Roman"/>
          <w:sz w:val="22"/>
          <w:lang w:val="en-US"/>
        </w:rPr>
      </w:pPr>
    </w:p>
    <w:p w14:paraId="29406C3B" w14:textId="6A3FA8E8" w:rsidR="007153D3" w:rsidRDefault="00057AAE" w:rsidP="00D933C7">
      <w:pPr>
        <w:spacing w:line="480" w:lineRule="auto"/>
        <w:rPr>
          <w:rFonts w:ascii="Times New Roman" w:hAnsi="Times New Roman"/>
          <w:b/>
          <w:bCs/>
          <w:sz w:val="22"/>
          <w:lang w:val="en-IE"/>
        </w:rPr>
      </w:pPr>
      <w:r w:rsidRPr="00057AAE">
        <w:rPr>
          <w:rFonts w:ascii="Times New Roman" w:hAnsi="Times New Roman"/>
          <w:b/>
          <w:bCs/>
          <w:sz w:val="22"/>
          <w:lang w:val="en-IE"/>
        </w:rPr>
        <w:t>References</w:t>
      </w:r>
    </w:p>
    <w:p w14:paraId="5D7488D6" w14:textId="6408158F" w:rsidR="00057AAE" w:rsidRPr="00A93D54" w:rsidRDefault="00057AAE" w:rsidP="00057AAE">
      <w:pPr>
        <w:widowControl w:val="0"/>
        <w:autoSpaceDE w:val="0"/>
        <w:autoSpaceDN w:val="0"/>
        <w:adjustRightInd w:val="0"/>
        <w:spacing w:line="480" w:lineRule="auto"/>
        <w:ind w:left="640" w:hanging="640"/>
        <w:rPr>
          <w:rFonts w:cs="Times"/>
          <w:noProof/>
          <w:sz w:val="22"/>
          <w:szCs w:val="24"/>
          <w:lang w:val="en-US"/>
        </w:rPr>
      </w:pPr>
      <w:r>
        <w:rPr>
          <w:b/>
          <w:bCs/>
          <w:sz w:val="22"/>
          <w:lang w:val="en-IE"/>
        </w:rPr>
        <w:fldChar w:fldCharType="begin" w:fldLock="1"/>
      </w:r>
      <w:r>
        <w:rPr>
          <w:b/>
          <w:bCs/>
          <w:sz w:val="22"/>
          <w:lang w:val="en-IE"/>
        </w:rPr>
        <w:instrText xml:space="preserve">ADDIN Mendeley Bibliography CSL_BIBLIOGRAPHY </w:instrText>
      </w:r>
      <w:r>
        <w:rPr>
          <w:b/>
          <w:bCs/>
          <w:sz w:val="22"/>
          <w:lang w:val="en-IE"/>
        </w:rPr>
        <w:fldChar w:fldCharType="separate"/>
      </w:r>
      <w:r w:rsidRPr="00A93D54">
        <w:rPr>
          <w:rFonts w:cs="Times"/>
          <w:noProof/>
          <w:sz w:val="22"/>
          <w:szCs w:val="24"/>
          <w:lang w:val="en-US"/>
        </w:rPr>
        <w:t>1</w:t>
      </w:r>
      <w:r w:rsidRPr="00A93D54">
        <w:rPr>
          <w:rFonts w:cs="Times"/>
          <w:noProof/>
          <w:sz w:val="22"/>
          <w:szCs w:val="24"/>
          <w:lang w:val="en-US"/>
        </w:rPr>
        <w:tab/>
        <w:t>Prados-Torres A, Calderón-Larrañaga A, Hancco-Saavedra J, Poblador-Plou B, Van Den Akker M. Multimorbidity patterns: A systematic review. J. Clin. Epidemiol. 2014. doi:10.1016/j.jclinepi.2013.09.021.</w:t>
      </w:r>
    </w:p>
    <w:p w14:paraId="5AB2662A" w14:textId="77777777" w:rsidR="00057AAE" w:rsidRPr="00057AAE" w:rsidRDefault="00057AAE" w:rsidP="00057AAE">
      <w:pPr>
        <w:widowControl w:val="0"/>
        <w:autoSpaceDE w:val="0"/>
        <w:autoSpaceDN w:val="0"/>
        <w:adjustRightInd w:val="0"/>
        <w:spacing w:line="480" w:lineRule="auto"/>
        <w:ind w:left="640" w:hanging="640"/>
        <w:rPr>
          <w:rFonts w:cs="Times"/>
          <w:noProof/>
          <w:sz w:val="22"/>
          <w:szCs w:val="24"/>
        </w:rPr>
      </w:pPr>
      <w:r w:rsidRPr="00A93D54">
        <w:rPr>
          <w:rFonts w:cs="Times"/>
          <w:noProof/>
          <w:sz w:val="22"/>
          <w:szCs w:val="24"/>
          <w:lang w:val="en-US"/>
        </w:rPr>
        <w:t>2</w:t>
      </w:r>
      <w:r w:rsidRPr="00A93D54">
        <w:rPr>
          <w:rFonts w:cs="Times"/>
          <w:noProof/>
          <w:sz w:val="22"/>
          <w:szCs w:val="24"/>
          <w:lang w:val="en-US"/>
        </w:rPr>
        <w:tab/>
        <w:t xml:space="preserve">Prados-Torres A, Poblador-Plou B, Calderón-Larrañaga A, et al. Multimorbidity patterns in primary care: Interactions among chronic diseases using factor analysis. </w:t>
      </w:r>
      <w:r w:rsidRPr="00057AAE">
        <w:rPr>
          <w:rFonts w:cs="Times"/>
          <w:i/>
          <w:iCs/>
          <w:noProof/>
          <w:sz w:val="22"/>
          <w:szCs w:val="24"/>
        </w:rPr>
        <w:t>PLoS One</w:t>
      </w:r>
      <w:r w:rsidRPr="00057AAE">
        <w:rPr>
          <w:rFonts w:cs="Times"/>
          <w:noProof/>
          <w:sz w:val="22"/>
          <w:szCs w:val="24"/>
        </w:rPr>
        <w:t xml:space="preserve"> 2012. doi:10.1371/journal.pone.0032190.</w:t>
      </w:r>
    </w:p>
    <w:p w14:paraId="09062CBB" w14:textId="77777777" w:rsidR="00057AAE" w:rsidRPr="00A93D54" w:rsidRDefault="00057AAE" w:rsidP="00057AAE">
      <w:pPr>
        <w:widowControl w:val="0"/>
        <w:autoSpaceDE w:val="0"/>
        <w:autoSpaceDN w:val="0"/>
        <w:adjustRightInd w:val="0"/>
        <w:spacing w:line="480" w:lineRule="auto"/>
        <w:ind w:left="640" w:hanging="640"/>
        <w:rPr>
          <w:rFonts w:cs="Times"/>
          <w:noProof/>
          <w:sz w:val="22"/>
          <w:szCs w:val="24"/>
          <w:lang w:val="en-US"/>
        </w:rPr>
      </w:pPr>
      <w:r w:rsidRPr="00057AAE">
        <w:rPr>
          <w:rFonts w:cs="Times"/>
          <w:noProof/>
          <w:sz w:val="22"/>
          <w:szCs w:val="24"/>
        </w:rPr>
        <w:t>3</w:t>
      </w:r>
      <w:r w:rsidRPr="00057AAE">
        <w:rPr>
          <w:rFonts w:cs="Times"/>
          <w:noProof/>
          <w:sz w:val="22"/>
          <w:szCs w:val="24"/>
        </w:rPr>
        <w:tab/>
        <w:t xml:space="preserve">Gimeno-Miguel A, Gracia Gutiérrez A, Poblador-Plou B, et al. </w:t>
      </w:r>
      <w:r w:rsidRPr="00A93D54">
        <w:rPr>
          <w:rFonts w:cs="Times"/>
          <w:noProof/>
          <w:sz w:val="22"/>
          <w:szCs w:val="24"/>
          <w:lang w:val="en-US"/>
        </w:rPr>
        <w:t xml:space="preserve">Multimorbidity patterns in patients with heart failure: An observational Spanish study based on electronic health records. </w:t>
      </w:r>
      <w:r w:rsidRPr="00A93D54">
        <w:rPr>
          <w:rFonts w:cs="Times"/>
          <w:i/>
          <w:iCs/>
          <w:noProof/>
          <w:sz w:val="22"/>
          <w:szCs w:val="24"/>
          <w:lang w:val="en-US"/>
        </w:rPr>
        <w:t>BMJ Open</w:t>
      </w:r>
      <w:r w:rsidRPr="00A93D54">
        <w:rPr>
          <w:rFonts w:cs="Times"/>
          <w:noProof/>
          <w:sz w:val="22"/>
          <w:szCs w:val="24"/>
          <w:lang w:val="en-US"/>
        </w:rPr>
        <w:t xml:space="preserve"> 2019. doi:10.1136/bmjopen-2019-033174.</w:t>
      </w:r>
    </w:p>
    <w:p w14:paraId="4CEEC2BF" w14:textId="77777777" w:rsidR="00057AAE" w:rsidRPr="00057AAE" w:rsidRDefault="00057AAE" w:rsidP="00057AAE">
      <w:pPr>
        <w:widowControl w:val="0"/>
        <w:autoSpaceDE w:val="0"/>
        <w:autoSpaceDN w:val="0"/>
        <w:adjustRightInd w:val="0"/>
        <w:spacing w:line="480" w:lineRule="auto"/>
        <w:ind w:left="640" w:hanging="640"/>
        <w:rPr>
          <w:rFonts w:cs="Times"/>
          <w:noProof/>
          <w:sz w:val="22"/>
          <w:szCs w:val="24"/>
        </w:rPr>
      </w:pPr>
      <w:r w:rsidRPr="00A93D54">
        <w:rPr>
          <w:rFonts w:cs="Times"/>
          <w:noProof/>
          <w:sz w:val="22"/>
          <w:szCs w:val="24"/>
          <w:lang w:val="en-US"/>
        </w:rPr>
        <w:t>4</w:t>
      </w:r>
      <w:r w:rsidRPr="00A93D54">
        <w:rPr>
          <w:rFonts w:cs="Times"/>
          <w:noProof/>
          <w:sz w:val="22"/>
          <w:szCs w:val="24"/>
          <w:lang w:val="en-US"/>
        </w:rPr>
        <w:tab/>
        <w:t xml:space="preserve">Cornell JE, Pugh JA, Williams, Jr JW, et al. Multimorbidity Clusters: Clustering Binary Data From Multimorbidity Clusters: Clustering Binary Data From a Large Administrative Medical Database. </w:t>
      </w:r>
      <w:r w:rsidRPr="00057AAE">
        <w:rPr>
          <w:rFonts w:cs="Times"/>
          <w:i/>
          <w:iCs/>
          <w:noProof/>
          <w:sz w:val="22"/>
          <w:szCs w:val="24"/>
        </w:rPr>
        <w:t>Appl Multivar Res</w:t>
      </w:r>
      <w:r w:rsidRPr="00057AAE">
        <w:rPr>
          <w:rFonts w:cs="Times"/>
          <w:noProof/>
          <w:sz w:val="22"/>
          <w:szCs w:val="24"/>
        </w:rPr>
        <w:t xml:space="preserve"> 2009;12:163.</w:t>
      </w:r>
    </w:p>
    <w:p w14:paraId="7EB1F7CB" w14:textId="77777777" w:rsidR="00057AAE" w:rsidRPr="00A93D54" w:rsidRDefault="00057AAE" w:rsidP="00057AAE">
      <w:pPr>
        <w:widowControl w:val="0"/>
        <w:autoSpaceDE w:val="0"/>
        <w:autoSpaceDN w:val="0"/>
        <w:adjustRightInd w:val="0"/>
        <w:spacing w:line="480" w:lineRule="auto"/>
        <w:ind w:left="640" w:hanging="640"/>
        <w:rPr>
          <w:rFonts w:cs="Times"/>
          <w:noProof/>
          <w:sz w:val="22"/>
          <w:szCs w:val="24"/>
          <w:lang w:val="en-US"/>
        </w:rPr>
      </w:pPr>
      <w:r w:rsidRPr="00057AAE">
        <w:rPr>
          <w:rFonts w:cs="Times"/>
          <w:noProof/>
          <w:sz w:val="22"/>
          <w:szCs w:val="24"/>
        </w:rPr>
        <w:t>5</w:t>
      </w:r>
      <w:r w:rsidRPr="00057AAE">
        <w:rPr>
          <w:rFonts w:cs="Times"/>
          <w:noProof/>
          <w:sz w:val="22"/>
          <w:szCs w:val="24"/>
        </w:rPr>
        <w:tab/>
        <w:t xml:space="preserve">Violán C, Roso-Llorach A, Foguet-Boreu Q, et al. </w:t>
      </w:r>
      <w:r w:rsidRPr="00A93D54">
        <w:rPr>
          <w:rFonts w:cs="Times"/>
          <w:noProof/>
          <w:sz w:val="22"/>
          <w:szCs w:val="24"/>
          <w:lang w:val="en-US"/>
        </w:rPr>
        <w:t xml:space="preserve">Multimorbidity patterns with K-means nonhierarchical cluster analysis. </w:t>
      </w:r>
      <w:r w:rsidRPr="00A93D54">
        <w:rPr>
          <w:rFonts w:cs="Times"/>
          <w:i/>
          <w:iCs/>
          <w:noProof/>
          <w:sz w:val="22"/>
          <w:szCs w:val="24"/>
          <w:lang w:val="en-US"/>
        </w:rPr>
        <w:t>BMC Fam Pract</w:t>
      </w:r>
      <w:r w:rsidRPr="00A93D54">
        <w:rPr>
          <w:rFonts w:cs="Times"/>
          <w:noProof/>
          <w:sz w:val="22"/>
          <w:szCs w:val="24"/>
          <w:lang w:val="en-US"/>
        </w:rPr>
        <w:t xml:space="preserve"> 2018. doi:10.1186/s12875-018-0790-x.</w:t>
      </w:r>
    </w:p>
    <w:p w14:paraId="0C7C21DB" w14:textId="77777777" w:rsidR="00057AAE" w:rsidRPr="00A93D54" w:rsidRDefault="00057AAE" w:rsidP="00057AAE">
      <w:pPr>
        <w:widowControl w:val="0"/>
        <w:autoSpaceDE w:val="0"/>
        <w:autoSpaceDN w:val="0"/>
        <w:adjustRightInd w:val="0"/>
        <w:spacing w:line="480" w:lineRule="auto"/>
        <w:ind w:left="640" w:hanging="640"/>
        <w:rPr>
          <w:rFonts w:cs="Times"/>
          <w:noProof/>
          <w:sz w:val="22"/>
          <w:szCs w:val="24"/>
          <w:lang w:val="en-US"/>
        </w:rPr>
      </w:pPr>
      <w:r w:rsidRPr="00A93D54">
        <w:rPr>
          <w:rFonts w:cs="Times"/>
          <w:noProof/>
          <w:sz w:val="22"/>
          <w:szCs w:val="24"/>
          <w:lang w:val="en-US"/>
        </w:rPr>
        <w:t>6</w:t>
      </w:r>
      <w:r w:rsidRPr="00A93D54">
        <w:rPr>
          <w:rFonts w:cs="Times"/>
          <w:noProof/>
          <w:sz w:val="22"/>
          <w:szCs w:val="24"/>
          <w:lang w:val="en-US"/>
        </w:rPr>
        <w:tab/>
        <w:t xml:space="preserve">Khorrami Z, Rezapour M, Etemad K, et al. The patterns of Non-communicable disease Multimorbidity in Iran: A Multilevel Analysis. </w:t>
      </w:r>
      <w:r w:rsidRPr="00A93D54">
        <w:rPr>
          <w:rFonts w:cs="Times"/>
          <w:i/>
          <w:iCs/>
          <w:noProof/>
          <w:sz w:val="22"/>
          <w:szCs w:val="24"/>
          <w:lang w:val="en-US"/>
        </w:rPr>
        <w:t>Sci Rep</w:t>
      </w:r>
      <w:r w:rsidRPr="00A93D54">
        <w:rPr>
          <w:rFonts w:cs="Times"/>
          <w:noProof/>
          <w:sz w:val="22"/>
          <w:szCs w:val="24"/>
          <w:lang w:val="en-US"/>
        </w:rPr>
        <w:t xml:space="preserve"> 2020;10:3034.</w:t>
      </w:r>
    </w:p>
    <w:p w14:paraId="112B92D2" w14:textId="77777777" w:rsidR="00057AAE" w:rsidRPr="00A93D54" w:rsidRDefault="00057AAE" w:rsidP="00057AAE">
      <w:pPr>
        <w:widowControl w:val="0"/>
        <w:autoSpaceDE w:val="0"/>
        <w:autoSpaceDN w:val="0"/>
        <w:adjustRightInd w:val="0"/>
        <w:spacing w:line="480" w:lineRule="auto"/>
        <w:ind w:left="640" w:hanging="640"/>
        <w:rPr>
          <w:rFonts w:cs="Times"/>
          <w:noProof/>
          <w:sz w:val="22"/>
          <w:szCs w:val="24"/>
          <w:lang w:val="en-US"/>
        </w:rPr>
      </w:pPr>
      <w:r w:rsidRPr="00A93D54">
        <w:rPr>
          <w:rFonts w:cs="Times"/>
          <w:noProof/>
          <w:sz w:val="22"/>
          <w:szCs w:val="24"/>
          <w:lang w:val="en-US"/>
        </w:rPr>
        <w:t>7</w:t>
      </w:r>
      <w:r w:rsidRPr="00A93D54">
        <w:rPr>
          <w:rFonts w:cs="Times"/>
          <w:noProof/>
          <w:sz w:val="22"/>
          <w:szCs w:val="24"/>
          <w:lang w:val="en-US"/>
        </w:rPr>
        <w:tab/>
        <w:t xml:space="preserve">Amell A, Roso-Llorach A, Palomero L, et al. Disease networks identify specific conditions and pleiotropy influencing multimorbidity in the general population. </w:t>
      </w:r>
      <w:r w:rsidRPr="00A93D54">
        <w:rPr>
          <w:rFonts w:cs="Times"/>
          <w:i/>
          <w:iCs/>
          <w:noProof/>
          <w:sz w:val="22"/>
          <w:szCs w:val="24"/>
          <w:lang w:val="en-US"/>
        </w:rPr>
        <w:t>Sci Rep</w:t>
      </w:r>
      <w:r w:rsidRPr="00A93D54">
        <w:rPr>
          <w:rFonts w:cs="Times"/>
          <w:noProof/>
          <w:sz w:val="22"/>
          <w:szCs w:val="24"/>
          <w:lang w:val="en-US"/>
        </w:rPr>
        <w:t xml:space="preserve"> 2018. doi:10.1038/s41598-018-34361-3.</w:t>
      </w:r>
    </w:p>
    <w:p w14:paraId="4FAC47F9" w14:textId="77777777" w:rsidR="00057AAE" w:rsidRPr="00A93D54" w:rsidRDefault="00057AAE" w:rsidP="00057AAE">
      <w:pPr>
        <w:widowControl w:val="0"/>
        <w:autoSpaceDE w:val="0"/>
        <w:autoSpaceDN w:val="0"/>
        <w:adjustRightInd w:val="0"/>
        <w:spacing w:line="480" w:lineRule="auto"/>
        <w:ind w:left="640" w:hanging="640"/>
        <w:rPr>
          <w:rFonts w:cs="Times"/>
          <w:noProof/>
          <w:sz w:val="22"/>
          <w:szCs w:val="24"/>
          <w:lang w:val="en-US"/>
        </w:rPr>
      </w:pPr>
      <w:r w:rsidRPr="00A93D54">
        <w:rPr>
          <w:rFonts w:cs="Times"/>
          <w:noProof/>
          <w:sz w:val="22"/>
          <w:szCs w:val="24"/>
          <w:lang w:val="en-US"/>
        </w:rPr>
        <w:t>8</w:t>
      </w:r>
      <w:r w:rsidRPr="00A93D54">
        <w:rPr>
          <w:rFonts w:cs="Times"/>
          <w:noProof/>
          <w:sz w:val="22"/>
          <w:szCs w:val="24"/>
          <w:lang w:val="en-US"/>
        </w:rPr>
        <w:tab/>
        <w:t xml:space="preserve">Vetrano DL, Roso-Llorach A, Fernández S, et al. Twelve-year clinical trajectories of multimorbidity in a population of older adults. </w:t>
      </w:r>
      <w:r w:rsidRPr="00A93D54">
        <w:rPr>
          <w:rFonts w:cs="Times"/>
          <w:i/>
          <w:iCs/>
          <w:noProof/>
          <w:sz w:val="22"/>
          <w:szCs w:val="24"/>
          <w:lang w:val="en-US"/>
        </w:rPr>
        <w:t>Nat Commun</w:t>
      </w:r>
      <w:r w:rsidRPr="00A93D54">
        <w:rPr>
          <w:rFonts w:cs="Times"/>
          <w:noProof/>
          <w:sz w:val="22"/>
          <w:szCs w:val="24"/>
          <w:lang w:val="en-US"/>
        </w:rPr>
        <w:t xml:space="preserve"> 2020;11:3223.</w:t>
      </w:r>
    </w:p>
    <w:p w14:paraId="1F51F273" w14:textId="77777777" w:rsidR="00057AAE" w:rsidRPr="00A93D54" w:rsidRDefault="00057AAE" w:rsidP="00057AAE">
      <w:pPr>
        <w:widowControl w:val="0"/>
        <w:autoSpaceDE w:val="0"/>
        <w:autoSpaceDN w:val="0"/>
        <w:adjustRightInd w:val="0"/>
        <w:spacing w:line="480" w:lineRule="auto"/>
        <w:ind w:left="640" w:hanging="640"/>
        <w:rPr>
          <w:rFonts w:cs="Times"/>
          <w:noProof/>
          <w:sz w:val="22"/>
          <w:szCs w:val="24"/>
          <w:lang w:val="en-US"/>
        </w:rPr>
      </w:pPr>
      <w:r w:rsidRPr="00A93D54">
        <w:rPr>
          <w:rFonts w:cs="Times"/>
          <w:noProof/>
          <w:sz w:val="22"/>
          <w:szCs w:val="24"/>
          <w:lang w:val="en-US"/>
        </w:rPr>
        <w:lastRenderedPageBreak/>
        <w:t>9</w:t>
      </w:r>
      <w:r w:rsidRPr="00A93D54">
        <w:rPr>
          <w:rFonts w:cs="Times"/>
          <w:noProof/>
          <w:sz w:val="22"/>
          <w:szCs w:val="24"/>
          <w:lang w:val="en-US"/>
        </w:rPr>
        <w:tab/>
        <w:t xml:space="preserve">Globerson A, Chechik G, Pereira F, Tishby N. Euclidean embedding of co-occurrence data. </w:t>
      </w:r>
      <w:r w:rsidRPr="00A93D54">
        <w:rPr>
          <w:rFonts w:cs="Times"/>
          <w:i/>
          <w:iCs/>
          <w:noProof/>
          <w:sz w:val="22"/>
          <w:szCs w:val="24"/>
          <w:lang w:val="en-US"/>
        </w:rPr>
        <w:t>J Mach Learn Res</w:t>
      </w:r>
      <w:r w:rsidRPr="00A93D54">
        <w:rPr>
          <w:rFonts w:cs="Times"/>
          <w:noProof/>
          <w:sz w:val="22"/>
          <w:szCs w:val="24"/>
          <w:lang w:val="en-US"/>
        </w:rPr>
        <w:t xml:space="preserve"> 2007.</w:t>
      </w:r>
    </w:p>
    <w:p w14:paraId="25CEFB33" w14:textId="77777777" w:rsidR="00057AAE" w:rsidRPr="00A93D54" w:rsidRDefault="00057AAE" w:rsidP="00057AAE">
      <w:pPr>
        <w:widowControl w:val="0"/>
        <w:autoSpaceDE w:val="0"/>
        <w:autoSpaceDN w:val="0"/>
        <w:adjustRightInd w:val="0"/>
        <w:spacing w:line="480" w:lineRule="auto"/>
        <w:ind w:left="640" w:hanging="640"/>
        <w:rPr>
          <w:rFonts w:cs="Times"/>
          <w:noProof/>
          <w:sz w:val="22"/>
          <w:szCs w:val="24"/>
          <w:lang w:val="en-US"/>
        </w:rPr>
      </w:pPr>
      <w:r w:rsidRPr="00A93D54">
        <w:rPr>
          <w:rFonts w:cs="Times"/>
          <w:noProof/>
          <w:sz w:val="22"/>
          <w:szCs w:val="24"/>
          <w:lang w:val="en-US"/>
        </w:rPr>
        <w:t>10</w:t>
      </w:r>
      <w:r w:rsidRPr="00A93D54">
        <w:rPr>
          <w:rFonts w:cs="Times"/>
          <w:noProof/>
          <w:sz w:val="22"/>
          <w:szCs w:val="24"/>
          <w:lang w:val="en-US"/>
        </w:rPr>
        <w:tab/>
        <w:t xml:space="preserve">Lance GN, Williams WT. A General Theory of Classificatory Sorting Strategies: 1. Hierarchical Systems. </w:t>
      </w:r>
      <w:r w:rsidRPr="00A93D54">
        <w:rPr>
          <w:rFonts w:cs="Times"/>
          <w:i/>
          <w:iCs/>
          <w:noProof/>
          <w:sz w:val="22"/>
          <w:szCs w:val="24"/>
          <w:lang w:val="en-US"/>
        </w:rPr>
        <w:t>Comput J</w:t>
      </w:r>
      <w:r w:rsidRPr="00A93D54">
        <w:rPr>
          <w:rFonts w:cs="Times"/>
          <w:noProof/>
          <w:sz w:val="22"/>
          <w:szCs w:val="24"/>
          <w:lang w:val="en-US"/>
        </w:rPr>
        <w:t xml:space="preserve"> 1967. doi:10.1093/comjnl/9.4.373.</w:t>
      </w:r>
    </w:p>
    <w:p w14:paraId="108789B4" w14:textId="77777777" w:rsidR="00057AAE" w:rsidRPr="00A93D54" w:rsidRDefault="00057AAE" w:rsidP="00057AAE">
      <w:pPr>
        <w:widowControl w:val="0"/>
        <w:autoSpaceDE w:val="0"/>
        <w:autoSpaceDN w:val="0"/>
        <w:adjustRightInd w:val="0"/>
        <w:spacing w:line="480" w:lineRule="auto"/>
        <w:ind w:left="640" w:hanging="640"/>
        <w:rPr>
          <w:rFonts w:cs="Times"/>
          <w:noProof/>
          <w:sz w:val="22"/>
          <w:szCs w:val="24"/>
          <w:lang w:val="en-US"/>
        </w:rPr>
      </w:pPr>
      <w:r w:rsidRPr="00A93D54">
        <w:rPr>
          <w:rFonts w:cs="Times"/>
          <w:noProof/>
          <w:sz w:val="22"/>
          <w:szCs w:val="24"/>
          <w:lang w:val="en-US"/>
        </w:rPr>
        <w:t>11</w:t>
      </w:r>
      <w:r w:rsidRPr="00A93D54">
        <w:rPr>
          <w:rFonts w:cs="Times"/>
          <w:noProof/>
          <w:sz w:val="22"/>
          <w:szCs w:val="24"/>
          <w:lang w:val="en-US"/>
        </w:rPr>
        <w:tab/>
        <w:t xml:space="preserve">dos Santos TRL, Zárate LE. Categorical data clustering: What similarity measure to recommend? </w:t>
      </w:r>
      <w:r w:rsidRPr="00A93D54">
        <w:rPr>
          <w:rFonts w:cs="Times"/>
          <w:i/>
          <w:iCs/>
          <w:noProof/>
          <w:sz w:val="22"/>
          <w:szCs w:val="24"/>
          <w:lang w:val="en-US"/>
        </w:rPr>
        <w:t>Expert Syst Appl</w:t>
      </w:r>
      <w:r w:rsidRPr="00A93D54">
        <w:rPr>
          <w:rFonts w:cs="Times"/>
          <w:noProof/>
          <w:sz w:val="22"/>
          <w:szCs w:val="24"/>
          <w:lang w:val="en-US"/>
        </w:rPr>
        <w:t xml:space="preserve"> 2015;42:1247–60.</w:t>
      </w:r>
    </w:p>
    <w:p w14:paraId="3ABA7E61" w14:textId="77777777" w:rsidR="00057AAE" w:rsidRPr="00AA5418" w:rsidRDefault="00057AAE" w:rsidP="00057AAE">
      <w:pPr>
        <w:widowControl w:val="0"/>
        <w:autoSpaceDE w:val="0"/>
        <w:autoSpaceDN w:val="0"/>
        <w:adjustRightInd w:val="0"/>
        <w:spacing w:line="480" w:lineRule="auto"/>
        <w:ind w:left="640" w:hanging="640"/>
        <w:rPr>
          <w:rFonts w:cs="Times"/>
          <w:noProof/>
          <w:sz w:val="22"/>
          <w:lang w:val="en-US"/>
        </w:rPr>
      </w:pPr>
      <w:r w:rsidRPr="00A93D54">
        <w:rPr>
          <w:rFonts w:cs="Times"/>
          <w:noProof/>
          <w:sz w:val="22"/>
          <w:szCs w:val="24"/>
          <w:lang w:val="en-US"/>
        </w:rPr>
        <w:t>12</w:t>
      </w:r>
      <w:r w:rsidRPr="00A93D54">
        <w:rPr>
          <w:rFonts w:cs="Times"/>
          <w:noProof/>
          <w:sz w:val="22"/>
          <w:szCs w:val="24"/>
          <w:lang w:val="en-US"/>
        </w:rPr>
        <w:tab/>
        <w:t xml:space="preserve">Newcomer SR, Steiner JF, Bayliss EA. Identifying subgroups of complex patients with cluster analysis. </w:t>
      </w:r>
      <w:r w:rsidRPr="00AA5418">
        <w:rPr>
          <w:rFonts w:cs="Times"/>
          <w:i/>
          <w:iCs/>
          <w:noProof/>
          <w:sz w:val="22"/>
          <w:szCs w:val="24"/>
          <w:lang w:val="en-US"/>
        </w:rPr>
        <w:t>Am J Manag Care</w:t>
      </w:r>
      <w:r w:rsidRPr="00AA5418">
        <w:rPr>
          <w:rFonts w:cs="Times"/>
          <w:noProof/>
          <w:sz w:val="22"/>
          <w:szCs w:val="24"/>
          <w:lang w:val="en-US"/>
        </w:rPr>
        <w:t xml:space="preserve"> 2011.</w:t>
      </w:r>
    </w:p>
    <w:p w14:paraId="4772C668" w14:textId="77777777" w:rsidR="00AA5418" w:rsidRDefault="00057AAE" w:rsidP="00AA5418">
      <w:pPr>
        <w:rPr>
          <w:b/>
          <w:bCs/>
          <w:lang w:val="en-US"/>
        </w:rPr>
      </w:pPr>
      <w:r>
        <w:rPr>
          <w:b/>
          <w:bCs/>
          <w:sz w:val="22"/>
          <w:lang w:val="en-IE"/>
        </w:rPr>
        <w:fldChar w:fldCharType="end"/>
      </w:r>
      <w:bookmarkStart w:id="3" w:name="_Hlk55200804"/>
      <w:r w:rsidR="00AA5418" w:rsidRPr="00AA5418">
        <w:rPr>
          <w:b/>
          <w:bCs/>
          <w:lang w:val="en-US"/>
        </w:rPr>
        <w:t xml:space="preserve"> </w:t>
      </w:r>
    </w:p>
    <w:p w14:paraId="3B0DBC25" w14:textId="77777777" w:rsidR="00AA5418" w:rsidRDefault="00AA5418" w:rsidP="00AA5418">
      <w:pPr>
        <w:rPr>
          <w:b/>
          <w:bCs/>
          <w:lang w:val="en-US"/>
        </w:rPr>
      </w:pPr>
    </w:p>
    <w:p w14:paraId="6DC11236" w14:textId="77777777" w:rsidR="00AA5418" w:rsidRDefault="00AA5418" w:rsidP="00AA5418">
      <w:pPr>
        <w:rPr>
          <w:b/>
          <w:bCs/>
          <w:lang w:val="en-US"/>
        </w:rPr>
      </w:pPr>
    </w:p>
    <w:p w14:paraId="3477B132" w14:textId="77777777" w:rsidR="00AA5418" w:rsidRDefault="00AA5418" w:rsidP="00AA5418">
      <w:pPr>
        <w:rPr>
          <w:b/>
          <w:bCs/>
          <w:lang w:val="en-US"/>
        </w:rPr>
      </w:pPr>
    </w:p>
    <w:p w14:paraId="163EBC7E" w14:textId="77777777" w:rsidR="00AA5418" w:rsidRDefault="00AA5418" w:rsidP="00AA5418">
      <w:pPr>
        <w:rPr>
          <w:b/>
          <w:bCs/>
          <w:lang w:val="en-US"/>
        </w:rPr>
      </w:pPr>
    </w:p>
    <w:p w14:paraId="35028029" w14:textId="77777777" w:rsidR="00AA5418" w:rsidRDefault="00AA5418" w:rsidP="00AA5418">
      <w:pPr>
        <w:rPr>
          <w:b/>
          <w:bCs/>
          <w:lang w:val="en-US"/>
        </w:rPr>
      </w:pPr>
    </w:p>
    <w:p w14:paraId="3811DCCD" w14:textId="77777777" w:rsidR="00AA5418" w:rsidRDefault="00AA5418" w:rsidP="00AA5418">
      <w:pPr>
        <w:rPr>
          <w:b/>
          <w:bCs/>
          <w:lang w:val="en-US"/>
        </w:rPr>
      </w:pPr>
    </w:p>
    <w:p w14:paraId="48D16E57" w14:textId="77777777" w:rsidR="00AA5418" w:rsidRDefault="00AA5418" w:rsidP="00AA5418">
      <w:pPr>
        <w:rPr>
          <w:b/>
          <w:bCs/>
          <w:lang w:val="en-US"/>
        </w:rPr>
      </w:pPr>
    </w:p>
    <w:p w14:paraId="29582B04" w14:textId="77777777" w:rsidR="00AA5418" w:rsidRDefault="00AA5418" w:rsidP="00AA5418">
      <w:pPr>
        <w:rPr>
          <w:b/>
          <w:bCs/>
          <w:lang w:val="en-US"/>
        </w:rPr>
      </w:pPr>
    </w:p>
    <w:p w14:paraId="0FEBE598" w14:textId="77777777" w:rsidR="00AA5418" w:rsidRDefault="00AA5418" w:rsidP="00AA5418">
      <w:pPr>
        <w:rPr>
          <w:b/>
          <w:bCs/>
          <w:lang w:val="en-US"/>
        </w:rPr>
      </w:pPr>
    </w:p>
    <w:p w14:paraId="41657B32" w14:textId="77777777" w:rsidR="00AA5418" w:rsidRDefault="00AA5418" w:rsidP="00AA5418">
      <w:pPr>
        <w:rPr>
          <w:b/>
          <w:bCs/>
          <w:lang w:val="en-US"/>
        </w:rPr>
      </w:pPr>
    </w:p>
    <w:p w14:paraId="7DDB5B9B" w14:textId="77777777" w:rsidR="00AA5418" w:rsidRDefault="00AA5418" w:rsidP="00AA5418">
      <w:pPr>
        <w:rPr>
          <w:b/>
          <w:bCs/>
          <w:lang w:val="en-US"/>
        </w:rPr>
      </w:pPr>
    </w:p>
    <w:p w14:paraId="7CD9A02A" w14:textId="77777777" w:rsidR="00AA5418" w:rsidRDefault="00AA5418" w:rsidP="00AA5418">
      <w:pPr>
        <w:rPr>
          <w:b/>
          <w:bCs/>
          <w:lang w:val="en-US"/>
        </w:rPr>
      </w:pPr>
    </w:p>
    <w:p w14:paraId="61B9EEBF" w14:textId="77777777" w:rsidR="00AA5418" w:rsidRDefault="00AA5418" w:rsidP="00AA5418">
      <w:pPr>
        <w:rPr>
          <w:b/>
          <w:bCs/>
          <w:lang w:val="en-US"/>
        </w:rPr>
      </w:pPr>
    </w:p>
    <w:p w14:paraId="34696340" w14:textId="77777777" w:rsidR="00AA5418" w:rsidRDefault="00AA5418" w:rsidP="00AA5418">
      <w:pPr>
        <w:rPr>
          <w:b/>
          <w:bCs/>
          <w:lang w:val="en-US"/>
        </w:rPr>
      </w:pPr>
    </w:p>
    <w:p w14:paraId="16AE04BB" w14:textId="77777777" w:rsidR="00AA5418" w:rsidRDefault="00AA5418" w:rsidP="00AA5418">
      <w:pPr>
        <w:rPr>
          <w:b/>
          <w:bCs/>
          <w:lang w:val="en-US"/>
        </w:rPr>
      </w:pPr>
    </w:p>
    <w:p w14:paraId="4ADB6552" w14:textId="77777777" w:rsidR="00AA5418" w:rsidRDefault="00AA5418" w:rsidP="00AA5418">
      <w:pPr>
        <w:rPr>
          <w:b/>
          <w:bCs/>
          <w:lang w:val="en-US"/>
        </w:rPr>
      </w:pPr>
    </w:p>
    <w:p w14:paraId="4A404B2B" w14:textId="77777777" w:rsidR="00AA5418" w:rsidRDefault="00AA5418" w:rsidP="00AA5418">
      <w:pPr>
        <w:rPr>
          <w:b/>
          <w:bCs/>
          <w:lang w:val="en-US"/>
        </w:rPr>
      </w:pPr>
    </w:p>
    <w:p w14:paraId="064ACBFC" w14:textId="77777777" w:rsidR="00AA5418" w:rsidRDefault="00AA5418" w:rsidP="00AA5418">
      <w:pPr>
        <w:rPr>
          <w:b/>
          <w:bCs/>
          <w:lang w:val="en-US"/>
        </w:rPr>
      </w:pPr>
    </w:p>
    <w:p w14:paraId="16AB411B" w14:textId="77777777" w:rsidR="00AA5418" w:rsidRDefault="00AA5418" w:rsidP="00AA5418">
      <w:pPr>
        <w:rPr>
          <w:b/>
          <w:bCs/>
          <w:lang w:val="en-US"/>
        </w:rPr>
      </w:pPr>
    </w:p>
    <w:p w14:paraId="317E4C36" w14:textId="7E802F80" w:rsidR="00AA5418" w:rsidRPr="00AA5418" w:rsidRDefault="00AA5418" w:rsidP="00AA5418">
      <w:pPr>
        <w:rPr>
          <w:b/>
          <w:bCs/>
          <w:sz w:val="22"/>
          <w:lang w:val="en-US"/>
        </w:rPr>
      </w:pPr>
      <w:r w:rsidRPr="00AA5418">
        <w:rPr>
          <w:b/>
          <w:bCs/>
          <w:sz w:val="22"/>
          <w:lang w:val="en-US"/>
        </w:rPr>
        <w:lastRenderedPageBreak/>
        <w:t xml:space="preserve">Supplementary Table S2 – </w:t>
      </w:r>
      <w:bookmarkEnd w:id="3"/>
      <w:r w:rsidRPr="00AA5418">
        <w:rPr>
          <w:b/>
          <w:bCs/>
          <w:sz w:val="22"/>
          <w:lang w:val="en-US"/>
        </w:rPr>
        <w:t>Diagnostic content and quality indicators of the 14 clusters</w:t>
      </w:r>
    </w:p>
    <w:p w14:paraId="553E89DC" w14:textId="77777777" w:rsidR="00AA5418" w:rsidRDefault="00AA5418" w:rsidP="00AA5418">
      <w:pPr>
        <w:autoSpaceDE w:val="0"/>
        <w:autoSpaceDN w:val="0"/>
        <w:adjustRightInd w:val="0"/>
        <w:spacing w:after="0" w:line="240" w:lineRule="auto"/>
        <w:rPr>
          <w:rFonts w:cs="Times"/>
          <w:color w:val="000000"/>
          <w:szCs w:val="24"/>
          <w:lang w:val="en-US"/>
        </w:rPr>
      </w:pPr>
    </w:p>
    <w:tbl>
      <w:tblPr>
        <w:tblStyle w:val="TableauGrille4-Accentuation51"/>
        <w:tblW w:w="9776" w:type="dxa"/>
        <w:tblLook w:val="04A0" w:firstRow="1" w:lastRow="0" w:firstColumn="1" w:lastColumn="0" w:noHBand="0" w:noVBand="1"/>
      </w:tblPr>
      <w:tblGrid>
        <w:gridCol w:w="1549"/>
        <w:gridCol w:w="1243"/>
        <w:gridCol w:w="4291"/>
        <w:gridCol w:w="992"/>
        <w:gridCol w:w="992"/>
        <w:gridCol w:w="709"/>
      </w:tblGrid>
      <w:tr w:rsidR="00AA5418" w:rsidRPr="00E562B1" w14:paraId="0A4876C6" w14:textId="77777777" w:rsidTr="003760FA">
        <w:trPr>
          <w:cnfStyle w:val="100000000000" w:firstRow="1" w:lastRow="0" w:firstColumn="0" w:lastColumn="0" w:oddVBand="0" w:evenVBand="0" w:oddHBand="0"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549" w:type="dxa"/>
            <w:hideMark/>
          </w:tcPr>
          <w:p w14:paraId="5B3B9962" w14:textId="77777777" w:rsidR="00AA5418" w:rsidRPr="001758ED" w:rsidRDefault="00AA5418" w:rsidP="003760FA">
            <w:pPr>
              <w:autoSpaceDE w:val="0"/>
              <w:autoSpaceDN w:val="0"/>
              <w:adjustRightInd w:val="0"/>
              <w:rPr>
                <w:rFonts w:ascii="Times New Roman" w:hAnsi="Times New Roman"/>
                <w:sz w:val="22"/>
                <w:szCs w:val="22"/>
              </w:rPr>
            </w:pPr>
            <w:r w:rsidRPr="001758ED">
              <w:rPr>
                <w:rFonts w:ascii="Times New Roman" w:hAnsi="Times New Roman"/>
                <w:sz w:val="22"/>
                <w:szCs w:val="22"/>
              </w:rPr>
              <w:t>Cluster name</w:t>
            </w:r>
          </w:p>
        </w:tc>
        <w:tc>
          <w:tcPr>
            <w:tcW w:w="1243" w:type="dxa"/>
            <w:noWrap/>
            <w:hideMark/>
          </w:tcPr>
          <w:p w14:paraId="187823FD" w14:textId="77777777" w:rsidR="00AA5418" w:rsidRPr="001758ED" w:rsidRDefault="00AA5418" w:rsidP="003760FA">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imes New Roman" w:hAnsi="Times New Roman"/>
                <w:sz w:val="22"/>
                <w:szCs w:val="22"/>
              </w:rPr>
            </w:pPr>
            <w:r w:rsidRPr="001758ED">
              <w:rPr>
                <w:rFonts w:ascii="Times New Roman" w:hAnsi="Times New Roman"/>
                <w:sz w:val="22"/>
                <w:szCs w:val="22"/>
              </w:rPr>
              <w:t xml:space="preserve">Population </w:t>
            </w:r>
          </w:p>
        </w:tc>
        <w:tc>
          <w:tcPr>
            <w:tcW w:w="4291" w:type="dxa"/>
            <w:noWrap/>
            <w:hideMark/>
          </w:tcPr>
          <w:p w14:paraId="54095D27" w14:textId="77777777" w:rsidR="00AA5418" w:rsidRPr="001758ED" w:rsidRDefault="00AA5418" w:rsidP="003760FA">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imes New Roman" w:hAnsi="Times New Roman"/>
                <w:sz w:val="22"/>
                <w:szCs w:val="22"/>
                <w:lang w:val="en-US"/>
              </w:rPr>
            </w:pPr>
            <w:r w:rsidRPr="001758ED">
              <w:rPr>
                <w:rFonts w:ascii="Times New Roman" w:hAnsi="Times New Roman"/>
                <w:sz w:val="22"/>
                <w:szCs w:val="22"/>
                <w:lang w:val="en-US"/>
              </w:rPr>
              <w:t>Composition (blocks of ICD10 diagnoses)</w:t>
            </w:r>
          </w:p>
        </w:tc>
        <w:tc>
          <w:tcPr>
            <w:tcW w:w="992" w:type="dxa"/>
            <w:noWrap/>
            <w:hideMark/>
          </w:tcPr>
          <w:p w14:paraId="06477C82" w14:textId="77777777" w:rsidR="00AA5418" w:rsidRPr="00ED456E" w:rsidRDefault="00AA5418" w:rsidP="003760FA">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imes New Roman" w:hAnsi="Times New Roman"/>
                <w:b w:val="0"/>
                <w:bCs w:val="0"/>
                <w:sz w:val="22"/>
                <w:szCs w:val="22"/>
              </w:rPr>
            </w:pPr>
            <w:r w:rsidRPr="001758ED">
              <w:rPr>
                <w:rFonts w:ascii="Times New Roman" w:hAnsi="Times New Roman"/>
                <w:sz w:val="22"/>
                <w:szCs w:val="22"/>
              </w:rPr>
              <w:t>RR</w:t>
            </w:r>
            <w:r w:rsidRPr="00ED456E">
              <w:rPr>
                <w:rFonts w:ascii="Times New Roman" w:hAnsi="Times New Roman"/>
                <w:sz w:val="22"/>
                <w:szCs w:val="22"/>
                <w:vertAlign w:val="subscript"/>
              </w:rPr>
              <w:t>intra</w:t>
            </w:r>
            <w:r>
              <w:rPr>
                <w:rFonts w:ascii="Times New Roman" w:hAnsi="Times New Roman"/>
                <w:sz w:val="22"/>
                <w:szCs w:val="22"/>
              </w:rPr>
              <w:t>*</w:t>
            </w:r>
          </w:p>
        </w:tc>
        <w:tc>
          <w:tcPr>
            <w:tcW w:w="992" w:type="dxa"/>
            <w:noWrap/>
            <w:hideMark/>
          </w:tcPr>
          <w:p w14:paraId="7F804ACF" w14:textId="77777777" w:rsidR="00AA5418" w:rsidRPr="00ED456E" w:rsidRDefault="00AA5418" w:rsidP="003760FA">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imes New Roman" w:hAnsi="Times New Roman"/>
                <w:b w:val="0"/>
                <w:bCs w:val="0"/>
                <w:sz w:val="22"/>
                <w:szCs w:val="22"/>
              </w:rPr>
            </w:pPr>
            <w:r w:rsidRPr="001758ED">
              <w:rPr>
                <w:rFonts w:ascii="Times New Roman" w:hAnsi="Times New Roman"/>
                <w:sz w:val="22"/>
                <w:szCs w:val="22"/>
              </w:rPr>
              <w:t>RR</w:t>
            </w:r>
            <w:r w:rsidRPr="00ED456E">
              <w:rPr>
                <w:rFonts w:ascii="Times New Roman" w:hAnsi="Times New Roman"/>
                <w:sz w:val="22"/>
                <w:szCs w:val="22"/>
                <w:vertAlign w:val="subscript"/>
              </w:rPr>
              <w:t>inter</w:t>
            </w:r>
            <w:r>
              <w:rPr>
                <w:rFonts w:ascii="Times New Roman" w:hAnsi="Times New Roman"/>
                <w:sz w:val="22"/>
                <w:szCs w:val="22"/>
              </w:rPr>
              <w:t>*</w:t>
            </w:r>
          </w:p>
        </w:tc>
        <w:tc>
          <w:tcPr>
            <w:tcW w:w="709" w:type="dxa"/>
            <w:noWrap/>
            <w:hideMark/>
          </w:tcPr>
          <w:p w14:paraId="77C2E141" w14:textId="77777777" w:rsidR="00AA5418" w:rsidRPr="001758ED" w:rsidRDefault="00AA5418" w:rsidP="003760FA">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imes New Roman" w:hAnsi="Times New Roman"/>
                <w:sz w:val="22"/>
                <w:szCs w:val="22"/>
              </w:rPr>
            </w:pPr>
            <w:r w:rsidRPr="001758ED">
              <w:rPr>
                <w:rFonts w:ascii="Times New Roman" w:hAnsi="Times New Roman"/>
                <w:sz w:val="22"/>
                <w:szCs w:val="22"/>
              </w:rPr>
              <w:t>MR</w:t>
            </w:r>
            <w:r>
              <w:rPr>
                <w:rFonts w:ascii="Times New Roman" w:hAnsi="Times New Roman"/>
                <w:sz w:val="22"/>
                <w:szCs w:val="22"/>
              </w:rPr>
              <w:t>*</w:t>
            </w:r>
          </w:p>
        </w:tc>
      </w:tr>
      <w:tr w:rsidR="00AA5418" w:rsidRPr="00E562B1" w14:paraId="739BD9A3" w14:textId="77777777" w:rsidTr="003760FA">
        <w:trPr>
          <w:cnfStyle w:val="000000100000" w:firstRow="0" w:lastRow="0" w:firstColumn="0" w:lastColumn="0" w:oddVBand="0" w:evenVBand="0" w:oddHBand="1" w:evenHBand="0" w:firstRowFirstColumn="0" w:firstRowLastColumn="0" w:lastRowFirstColumn="0" w:lastRowLastColumn="0"/>
          <w:trHeight w:val="2105"/>
        </w:trPr>
        <w:tc>
          <w:tcPr>
            <w:cnfStyle w:val="001000000000" w:firstRow="0" w:lastRow="0" w:firstColumn="1" w:lastColumn="0" w:oddVBand="0" w:evenVBand="0" w:oddHBand="0" w:evenHBand="0" w:firstRowFirstColumn="0" w:firstRowLastColumn="0" w:lastRowFirstColumn="0" w:lastRowLastColumn="0"/>
            <w:tcW w:w="1549" w:type="dxa"/>
            <w:hideMark/>
          </w:tcPr>
          <w:p w14:paraId="19013CA9" w14:textId="77777777" w:rsidR="00AA5418" w:rsidRPr="001758ED" w:rsidRDefault="00AA5418" w:rsidP="003760FA">
            <w:pPr>
              <w:autoSpaceDE w:val="0"/>
              <w:autoSpaceDN w:val="0"/>
              <w:adjustRightInd w:val="0"/>
              <w:rPr>
                <w:rFonts w:ascii="Times New Roman" w:hAnsi="Times New Roman"/>
                <w:color w:val="000000"/>
                <w:sz w:val="22"/>
                <w:szCs w:val="22"/>
                <w:lang w:val="en-US"/>
              </w:rPr>
            </w:pPr>
            <w:r w:rsidRPr="001758ED">
              <w:rPr>
                <w:rFonts w:ascii="Times New Roman" w:hAnsi="Times New Roman"/>
                <w:color w:val="000000"/>
                <w:sz w:val="22"/>
                <w:szCs w:val="22"/>
                <w:lang w:val="en-US"/>
              </w:rPr>
              <w:t>1 : General symptoms of chronic conditions</w:t>
            </w:r>
          </w:p>
        </w:tc>
        <w:tc>
          <w:tcPr>
            <w:tcW w:w="1243" w:type="dxa"/>
            <w:noWrap/>
            <w:hideMark/>
          </w:tcPr>
          <w:p w14:paraId="5F80D1BF"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14232</w:t>
            </w:r>
          </w:p>
        </w:tc>
        <w:tc>
          <w:tcPr>
            <w:tcW w:w="4291" w:type="dxa"/>
            <w:hideMark/>
          </w:tcPr>
          <w:p w14:paraId="6BFB689F"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lang w:val="en-US"/>
              </w:rPr>
            </w:pPr>
            <w:r w:rsidRPr="001758ED">
              <w:rPr>
                <w:rFonts w:ascii="Times New Roman" w:hAnsi="Times New Roman"/>
                <w:color w:val="000000"/>
                <w:sz w:val="22"/>
                <w:szCs w:val="22"/>
                <w:lang w:val="en-US"/>
              </w:rPr>
              <w:t>R00-R09 (41.0%); J09-J18 (11.6%); S70-S79 (8.0%); I30-I52 (6.9%); R30-R39 (4.7%); A30-A49 (4.2%); N40-N51 (3.6%); E79-E90 (3.2%); T79-T79 (2.6%); D60-D64 (2.3%); D50-D53 (2.1%); E10-E16 (2.1%); I20-I25 (2.1%); T80-T88 (1.9%); N17-N19 (1.8%); I26-I28 (1.7%); K90-K93 (1.5%); J95-J99 (1.4%); I10-I15 (1.3%); I70-I79 (1.3%); G50-G59 (1.2%); K40-K46 (1.1%); J60-J70 (1.0%); J80-J84 (0.8%); K70-K77 (0.6%); R70-R79 (0.6%); I95-I99 (0.6%); M80-M90 (0.6%); D55-D59 (0.4%); G90-G99 (0.4%); K65-K67 (0.3%); H30-H36 (0.3%); L40-L45 (0.2%); B15-B19 (0.2%); B65-B83 (0.2%); C76-C80 (0.1%); E28-E30 (0.1%); G60-G64 (0.1%); M91-M94 (0.1%); D00-D09 (0.1%); R90-R94 (0.1%); R95-R99 (0.1%)</w:t>
            </w:r>
          </w:p>
        </w:tc>
        <w:tc>
          <w:tcPr>
            <w:tcW w:w="992" w:type="dxa"/>
            <w:noWrap/>
            <w:hideMark/>
          </w:tcPr>
          <w:p w14:paraId="26E98C9B"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1.04</w:t>
            </w:r>
          </w:p>
        </w:tc>
        <w:tc>
          <w:tcPr>
            <w:tcW w:w="992" w:type="dxa"/>
            <w:noWrap/>
            <w:hideMark/>
          </w:tcPr>
          <w:p w14:paraId="68C3DF10"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0.84</w:t>
            </w:r>
          </w:p>
        </w:tc>
        <w:tc>
          <w:tcPr>
            <w:tcW w:w="709" w:type="dxa"/>
            <w:noWrap/>
            <w:hideMark/>
          </w:tcPr>
          <w:p w14:paraId="3D5150F7"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1.23</w:t>
            </w:r>
          </w:p>
        </w:tc>
      </w:tr>
      <w:tr w:rsidR="00AA5418" w:rsidRPr="00E562B1" w14:paraId="20C10AD7" w14:textId="77777777" w:rsidTr="003760FA">
        <w:trPr>
          <w:trHeight w:val="1561"/>
        </w:trPr>
        <w:tc>
          <w:tcPr>
            <w:cnfStyle w:val="001000000000" w:firstRow="0" w:lastRow="0" w:firstColumn="1" w:lastColumn="0" w:oddVBand="0" w:evenVBand="0" w:oddHBand="0" w:evenHBand="0" w:firstRowFirstColumn="0" w:firstRowLastColumn="0" w:lastRowFirstColumn="0" w:lastRowLastColumn="0"/>
            <w:tcW w:w="1549" w:type="dxa"/>
            <w:hideMark/>
          </w:tcPr>
          <w:p w14:paraId="3CF92E1D" w14:textId="77777777" w:rsidR="00AA5418" w:rsidRPr="001758ED" w:rsidRDefault="00AA5418" w:rsidP="003760FA">
            <w:pPr>
              <w:autoSpaceDE w:val="0"/>
              <w:autoSpaceDN w:val="0"/>
              <w:adjustRightInd w:val="0"/>
              <w:rPr>
                <w:rFonts w:ascii="Times New Roman" w:hAnsi="Times New Roman"/>
                <w:color w:val="000000"/>
                <w:sz w:val="22"/>
                <w:szCs w:val="22"/>
              </w:rPr>
            </w:pPr>
            <w:r w:rsidRPr="001758ED">
              <w:rPr>
                <w:rFonts w:ascii="Times New Roman" w:hAnsi="Times New Roman"/>
                <w:color w:val="000000"/>
                <w:sz w:val="22"/>
                <w:szCs w:val="22"/>
              </w:rPr>
              <w:t>2 : Digestive disorders, pregnancy, menstruation</w:t>
            </w:r>
          </w:p>
        </w:tc>
        <w:tc>
          <w:tcPr>
            <w:tcW w:w="1243" w:type="dxa"/>
            <w:noWrap/>
            <w:hideMark/>
          </w:tcPr>
          <w:p w14:paraId="3E6AD797"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14064</w:t>
            </w:r>
          </w:p>
        </w:tc>
        <w:tc>
          <w:tcPr>
            <w:tcW w:w="4291" w:type="dxa"/>
            <w:hideMark/>
          </w:tcPr>
          <w:p w14:paraId="23DD9985"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R10-R19 (40.2%); K55-K64 (18.4%); N80-N98 (9.4%); N20-N23 (7.6%); N30-N39 (5.8%); O00-O08 (5.0%); N10-N16 (4.4%); K80-K87 (4.3%); Z30-Z39 (4.2%); O20-O29 (4.0%); T20-T32 (3.8%); N70-N77 (2.4%); K35-K38 (1.7%); Z40-Z54 (1.3%); J30-J39 (0.8%); P90-P96 (0.7%); N60-N64 (0.6%); Z80-Z99 (0.5%); D37-D48 (0.4%); A50-A64 (0.3%); O85-O92 (0.3%); C15-C26 (0.3%); O60-O75 (0.2%); D10-D36 (0.2%); H20-H22 (0.2%); G35-G37 (0.1%); Q50-Q56 (0.1%); M95-M99 (0.1%)</w:t>
            </w:r>
          </w:p>
        </w:tc>
        <w:tc>
          <w:tcPr>
            <w:tcW w:w="992" w:type="dxa"/>
            <w:noWrap/>
            <w:hideMark/>
          </w:tcPr>
          <w:p w14:paraId="075738BE"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1.24</w:t>
            </w:r>
          </w:p>
        </w:tc>
        <w:tc>
          <w:tcPr>
            <w:tcW w:w="992" w:type="dxa"/>
            <w:noWrap/>
            <w:hideMark/>
          </w:tcPr>
          <w:p w14:paraId="3828980E"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0.75</w:t>
            </w:r>
          </w:p>
        </w:tc>
        <w:tc>
          <w:tcPr>
            <w:tcW w:w="709" w:type="dxa"/>
            <w:noWrap/>
            <w:hideMark/>
          </w:tcPr>
          <w:p w14:paraId="085E326C"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1.66</w:t>
            </w:r>
          </w:p>
        </w:tc>
      </w:tr>
      <w:tr w:rsidR="00AA5418" w:rsidRPr="00E562B1" w14:paraId="25B7530B" w14:textId="77777777" w:rsidTr="003760FA">
        <w:trPr>
          <w:cnfStyle w:val="000000100000" w:firstRow="0" w:lastRow="0" w:firstColumn="0" w:lastColumn="0" w:oddVBand="0" w:evenVBand="0" w:oddHBand="1" w:evenHBand="0" w:firstRowFirstColumn="0" w:firstRowLastColumn="0" w:lastRowFirstColumn="0" w:lastRowLastColumn="0"/>
          <w:trHeight w:val="698"/>
        </w:trPr>
        <w:tc>
          <w:tcPr>
            <w:cnfStyle w:val="001000000000" w:firstRow="0" w:lastRow="0" w:firstColumn="1" w:lastColumn="0" w:oddVBand="0" w:evenVBand="0" w:oddHBand="0" w:evenHBand="0" w:firstRowFirstColumn="0" w:firstRowLastColumn="0" w:lastRowFirstColumn="0" w:lastRowLastColumn="0"/>
            <w:tcW w:w="1549" w:type="dxa"/>
            <w:hideMark/>
          </w:tcPr>
          <w:p w14:paraId="28C99706" w14:textId="77777777" w:rsidR="00AA5418" w:rsidRPr="001758ED" w:rsidRDefault="00AA5418" w:rsidP="003760FA">
            <w:pPr>
              <w:autoSpaceDE w:val="0"/>
              <w:autoSpaceDN w:val="0"/>
              <w:adjustRightInd w:val="0"/>
              <w:rPr>
                <w:rFonts w:ascii="Times New Roman" w:hAnsi="Times New Roman"/>
                <w:color w:val="000000"/>
                <w:sz w:val="22"/>
                <w:szCs w:val="22"/>
                <w:lang w:val="en-US"/>
              </w:rPr>
            </w:pPr>
            <w:r w:rsidRPr="001758ED">
              <w:rPr>
                <w:rFonts w:ascii="Times New Roman" w:hAnsi="Times New Roman"/>
                <w:color w:val="000000"/>
                <w:sz w:val="22"/>
                <w:szCs w:val="22"/>
                <w:lang w:val="en-US"/>
              </w:rPr>
              <w:t>3 : General symptoms and mental disorders</w:t>
            </w:r>
          </w:p>
        </w:tc>
        <w:tc>
          <w:tcPr>
            <w:tcW w:w="1243" w:type="dxa"/>
            <w:noWrap/>
            <w:hideMark/>
          </w:tcPr>
          <w:p w14:paraId="58B38E81"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12272</w:t>
            </w:r>
          </w:p>
        </w:tc>
        <w:tc>
          <w:tcPr>
            <w:tcW w:w="4291" w:type="dxa"/>
            <w:hideMark/>
          </w:tcPr>
          <w:p w14:paraId="7B6ED615"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lang w:val="en-US"/>
              </w:rPr>
            </w:pPr>
            <w:r w:rsidRPr="001758ED">
              <w:rPr>
                <w:rFonts w:ascii="Times New Roman" w:hAnsi="Times New Roman"/>
                <w:color w:val="000000"/>
                <w:sz w:val="22"/>
                <w:szCs w:val="22"/>
                <w:lang w:val="en-US"/>
              </w:rPr>
              <w:t>R50-R69 (72.5%); G40-G47 (11.0%); R25-R29 (8.2%); I60-I69 (6.8%); H80-H83 (5.7%); Z55-Z65 (1.0%); F00-F09 (0.6%); R47-R49 (0.4%)</w:t>
            </w:r>
          </w:p>
        </w:tc>
        <w:tc>
          <w:tcPr>
            <w:tcW w:w="992" w:type="dxa"/>
            <w:noWrap/>
            <w:hideMark/>
          </w:tcPr>
          <w:p w14:paraId="6617E10F"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0.97</w:t>
            </w:r>
          </w:p>
        </w:tc>
        <w:tc>
          <w:tcPr>
            <w:tcW w:w="992" w:type="dxa"/>
            <w:noWrap/>
            <w:hideMark/>
          </w:tcPr>
          <w:p w14:paraId="3D21D8FC"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0.73</w:t>
            </w:r>
          </w:p>
        </w:tc>
        <w:tc>
          <w:tcPr>
            <w:tcW w:w="709" w:type="dxa"/>
            <w:noWrap/>
            <w:hideMark/>
          </w:tcPr>
          <w:p w14:paraId="568E21E6"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1.34</w:t>
            </w:r>
          </w:p>
        </w:tc>
      </w:tr>
      <w:tr w:rsidR="00AA5418" w:rsidRPr="00E562B1" w14:paraId="0555B239" w14:textId="77777777" w:rsidTr="003760FA">
        <w:trPr>
          <w:trHeight w:val="1065"/>
        </w:trPr>
        <w:tc>
          <w:tcPr>
            <w:cnfStyle w:val="001000000000" w:firstRow="0" w:lastRow="0" w:firstColumn="1" w:lastColumn="0" w:oddVBand="0" w:evenVBand="0" w:oddHBand="0" w:evenHBand="0" w:firstRowFirstColumn="0" w:firstRowLastColumn="0" w:lastRowFirstColumn="0" w:lastRowLastColumn="0"/>
            <w:tcW w:w="1549" w:type="dxa"/>
            <w:hideMark/>
          </w:tcPr>
          <w:p w14:paraId="04F98259" w14:textId="77777777" w:rsidR="00AA5418" w:rsidRPr="001758ED" w:rsidRDefault="00AA5418" w:rsidP="003760FA">
            <w:pPr>
              <w:autoSpaceDE w:val="0"/>
              <w:autoSpaceDN w:val="0"/>
              <w:adjustRightInd w:val="0"/>
              <w:rPr>
                <w:rFonts w:ascii="Times New Roman" w:hAnsi="Times New Roman"/>
                <w:color w:val="000000"/>
                <w:sz w:val="22"/>
                <w:szCs w:val="22"/>
              </w:rPr>
            </w:pPr>
            <w:r w:rsidRPr="001758ED">
              <w:rPr>
                <w:rFonts w:ascii="Times New Roman" w:hAnsi="Times New Roman"/>
                <w:color w:val="000000"/>
                <w:sz w:val="22"/>
                <w:szCs w:val="22"/>
              </w:rPr>
              <w:t>4 : Infectious diseases</w:t>
            </w:r>
          </w:p>
        </w:tc>
        <w:tc>
          <w:tcPr>
            <w:tcW w:w="1243" w:type="dxa"/>
            <w:noWrap/>
            <w:hideMark/>
          </w:tcPr>
          <w:p w14:paraId="730A5065"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11198</w:t>
            </w:r>
          </w:p>
        </w:tc>
        <w:tc>
          <w:tcPr>
            <w:tcW w:w="4291" w:type="dxa"/>
            <w:hideMark/>
          </w:tcPr>
          <w:p w14:paraId="6DBB1824"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J00-J06 (24.2%); Z70-Z76 (16.5%); H65-H75 (9.1%); J20-J22 (8.7%); A00-A09 (8.7%); J40-J47 (8.6%); K50-K52 (7.5%); T66-T78 (5.5%); K20-K31 (5.1%); L50-L54 (4.4%); R20-R23 (4.2%); B00-B09 (4.2%); L20-L30 (2.7%); H60-H62 (2.2%); B35-B49 (1.9%); H90-H95 (1.4%); B25-B34 (1.2%); B85-B89 (0.7%); P80-P83 (0.2%); P75-P78 (0.1%)</w:t>
            </w:r>
          </w:p>
        </w:tc>
        <w:tc>
          <w:tcPr>
            <w:tcW w:w="992" w:type="dxa"/>
            <w:noWrap/>
            <w:hideMark/>
          </w:tcPr>
          <w:p w14:paraId="3D9A1B2F"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1.34</w:t>
            </w:r>
          </w:p>
        </w:tc>
        <w:tc>
          <w:tcPr>
            <w:tcW w:w="992" w:type="dxa"/>
            <w:noWrap/>
            <w:hideMark/>
          </w:tcPr>
          <w:p w14:paraId="5C11A886"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0.75</w:t>
            </w:r>
          </w:p>
        </w:tc>
        <w:tc>
          <w:tcPr>
            <w:tcW w:w="709" w:type="dxa"/>
            <w:noWrap/>
            <w:hideMark/>
          </w:tcPr>
          <w:p w14:paraId="2C7AFD57"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1.77</w:t>
            </w:r>
          </w:p>
        </w:tc>
      </w:tr>
      <w:tr w:rsidR="00AA5418" w:rsidRPr="00E562B1" w14:paraId="1FA2B5AC" w14:textId="77777777" w:rsidTr="003760FA">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549" w:type="dxa"/>
            <w:hideMark/>
          </w:tcPr>
          <w:p w14:paraId="43A2F05A" w14:textId="77777777" w:rsidR="00AA5418" w:rsidRPr="001758ED" w:rsidRDefault="00AA5418" w:rsidP="003760FA">
            <w:pPr>
              <w:autoSpaceDE w:val="0"/>
              <w:autoSpaceDN w:val="0"/>
              <w:adjustRightInd w:val="0"/>
              <w:rPr>
                <w:rFonts w:ascii="Times New Roman" w:hAnsi="Times New Roman"/>
                <w:color w:val="000000"/>
                <w:sz w:val="22"/>
                <w:szCs w:val="22"/>
              </w:rPr>
            </w:pPr>
            <w:r w:rsidRPr="001758ED">
              <w:rPr>
                <w:rFonts w:ascii="Times New Roman" w:hAnsi="Times New Roman"/>
                <w:color w:val="000000"/>
                <w:sz w:val="22"/>
                <w:szCs w:val="22"/>
              </w:rPr>
              <w:t>5 : Head Trauma</w:t>
            </w:r>
          </w:p>
        </w:tc>
        <w:tc>
          <w:tcPr>
            <w:tcW w:w="1243" w:type="dxa"/>
            <w:noWrap/>
            <w:hideMark/>
          </w:tcPr>
          <w:p w14:paraId="5CEB76A6"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10349</w:t>
            </w:r>
          </w:p>
        </w:tc>
        <w:tc>
          <w:tcPr>
            <w:tcW w:w="4291" w:type="dxa"/>
            <w:hideMark/>
          </w:tcPr>
          <w:p w14:paraId="5033A2DC"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S00-S09 (100.0%)</w:t>
            </w:r>
          </w:p>
        </w:tc>
        <w:tc>
          <w:tcPr>
            <w:tcW w:w="992" w:type="dxa"/>
            <w:noWrap/>
            <w:hideMark/>
          </w:tcPr>
          <w:p w14:paraId="67FBA29E"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NaN</w:t>
            </w:r>
          </w:p>
        </w:tc>
        <w:tc>
          <w:tcPr>
            <w:tcW w:w="992" w:type="dxa"/>
            <w:noWrap/>
            <w:hideMark/>
          </w:tcPr>
          <w:p w14:paraId="3B9A794A"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0.41</w:t>
            </w:r>
          </w:p>
        </w:tc>
        <w:tc>
          <w:tcPr>
            <w:tcW w:w="709" w:type="dxa"/>
            <w:noWrap/>
            <w:hideMark/>
          </w:tcPr>
          <w:p w14:paraId="302BE952"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NaN</w:t>
            </w:r>
          </w:p>
        </w:tc>
      </w:tr>
      <w:tr w:rsidR="00AA5418" w:rsidRPr="00E562B1" w14:paraId="19366C12" w14:textId="77777777" w:rsidTr="003760FA">
        <w:trPr>
          <w:trHeight w:val="926"/>
        </w:trPr>
        <w:tc>
          <w:tcPr>
            <w:cnfStyle w:val="001000000000" w:firstRow="0" w:lastRow="0" w:firstColumn="1" w:lastColumn="0" w:oddVBand="0" w:evenVBand="0" w:oddHBand="0" w:evenHBand="0" w:firstRowFirstColumn="0" w:firstRowLastColumn="0" w:lastRowFirstColumn="0" w:lastRowLastColumn="0"/>
            <w:tcW w:w="1549" w:type="dxa"/>
            <w:hideMark/>
          </w:tcPr>
          <w:p w14:paraId="40205AE1" w14:textId="77777777" w:rsidR="00AA5418" w:rsidRPr="001758ED" w:rsidRDefault="00AA5418" w:rsidP="003760FA">
            <w:pPr>
              <w:autoSpaceDE w:val="0"/>
              <w:autoSpaceDN w:val="0"/>
              <w:adjustRightInd w:val="0"/>
              <w:rPr>
                <w:rFonts w:ascii="Times New Roman" w:hAnsi="Times New Roman"/>
                <w:color w:val="000000"/>
                <w:sz w:val="22"/>
                <w:szCs w:val="22"/>
                <w:lang w:val="en-US"/>
              </w:rPr>
            </w:pPr>
            <w:r w:rsidRPr="001758ED">
              <w:rPr>
                <w:rFonts w:ascii="Times New Roman" w:hAnsi="Times New Roman"/>
                <w:color w:val="000000"/>
                <w:sz w:val="22"/>
                <w:szCs w:val="22"/>
                <w:lang w:val="en-US"/>
              </w:rPr>
              <w:t>6 : Mental disorders and at-risk behaviours</w:t>
            </w:r>
          </w:p>
        </w:tc>
        <w:tc>
          <w:tcPr>
            <w:tcW w:w="1243" w:type="dxa"/>
            <w:noWrap/>
            <w:hideMark/>
          </w:tcPr>
          <w:p w14:paraId="344B49F2"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9590</w:t>
            </w:r>
          </w:p>
        </w:tc>
        <w:tc>
          <w:tcPr>
            <w:tcW w:w="4291" w:type="dxa"/>
            <w:hideMark/>
          </w:tcPr>
          <w:p w14:paraId="4760AB72"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R40-R46 (21.0%); S50-S59 (18.6%); Z00-Z13 (18.1%); F40-F49 (11.8%); F10-F19 (10.6%); T36-T50 (9.4%); F30-F39 (8.2%); T51-T65 (4.2%); S10-S19 (4.2%); F20-F29 (3.6%); F90-F98 (2.5%); F60-F69 (0.6%); C81-C96 (0.3%); L10-L14 (0.3%); F80-F89 (0.2%)</w:t>
            </w:r>
          </w:p>
        </w:tc>
        <w:tc>
          <w:tcPr>
            <w:tcW w:w="992" w:type="dxa"/>
            <w:noWrap/>
            <w:hideMark/>
          </w:tcPr>
          <w:p w14:paraId="629E08C8"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1.38</w:t>
            </w:r>
          </w:p>
        </w:tc>
        <w:tc>
          <w:tcPr>
            <w:tcW w:w="992" w:type="dxa"/>
            <w:noWrap/>
            <w:hideMark/>
          </w:tcPr>
          <w:p w14:paraId="63C3CEB9"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0.83</w:t>
            </w:r>
          </w:p>
        </w:tc>
        <w:tc>
          <w:tcPr>
            <w:tcW w:w="709" w:type="dxa"/>
            <w:noWrap/>
            <w:hideMark/>
          </w:tcPr>
          <w:p w14:paraId="69DE88E3"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1.67</w:t>
            </w:r>
          </w:p>
        </w:tc>
      </w:tr>
      <w:tr w:rsidR="00AA5418" w:rsidRPr="00E562B1" w14:paraId="16F2750D" w14:textId="77777777" w:rsidTr="003760FA">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549" w:type="dxa"/>
            <w:hideMark/>
          </w:tcPr>
          <w:p w14:paraId="57DCAED4" w14:textId="77777777" w:rsidR="00AA5418" w:rsidRPr="001758ED" w:rsidRDefault="00AA5418" w:rsidP="003760FA">
            <w:pPr>
              <w:autoSpaceDE w:val="0"/>
              <w:autoSpaceDN w:val="0"/>
              <w:adjustRightInd w:val="0"/>
              <w:rPr>
                <w:rFonts w:ascii="Times New Roman" w:hAnsi="Times New Roman"/>
                <w:color w:val="000000"/>
                <w:sz w:val="22"/>
                <w:szCs w:val="22"/>
              </w:rPr>
            </w:pPr>
            <w:r w:rsidRPr="001758ED">
              <w:rPr>
                <w:rFonts w:ascii="Times New Roman" w:hAnsi="Times New Roman"/>
                <w:color w:val="000000"/>
                <w:sz w:val="22"/>
                <w:szCs w:val="22"/>
              </w:rPr>
              <w:lastRenderedPageBreak/>
              <w:t>7 : Hand and Wrist Trauma</w:t>
            </w:r>
          </w:p>
        </w:tc>
        <w:tc>
          <w:tcPr>
            <w:tcW w:w="1243" w:type="dxa"/>
            <w:noWrap/>
            <w:hideMark/>
          </w:tcPr>
          <w:p w14:paraId="482BCF03"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6313</w:t>
            </w:r>
          </w:p>
        </w:tc>
        <w:tc>
          <w:tcPr>
            <w:tcW w:w="4291" w:type="dxa"/>
            <w:hideMark/>
          </w:tcPr>
          <w:p w14:paraId="53B17151"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S60-S69 (100.0%)</w:t>
            </w:r>
          </w:p>
        </w:tc>
        <w:tc>
          <w:tcPr>
            <w:tcW w:w="992" w:type="dxa"/>
            <w:noWrap/>
            <w:hideMark/>
          </w:tcPr>
          <w:p w14:paraId="5955185A"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NaN</w:t>
            </w:r>
          </w:p>
        </w:tc>
        <w:tc>
          <w:tcPr>
            <w:tcW w:w="992" w:type="dxa"/>
            <w:noWrap/>
            <w:hideMark/>
          </w:tcPr>
          <w:p w14:paraId="30940C10"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0.48</w:t>
            </w:r>
          </w:p>
        </w:tc>
        <w:tc>
          <w:tcPr>
            <w:tcW w:w="709" w:type="dxa"/>
            <w:noWrap/>
            <w:hideMark/>
          </w:tcPr>
          <w:p w14:paraId="3A9F93B6"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NaN</w:t>
            </w:r>
          </w:p>
        </w:tc>
      </w:tr>
      <w:tr w:rsidR="00AA5418" w:rsidRPr="00E562B1" w14:paraId="47E668E6" w14:textId="77777777" w:rsidTr="003760FA">
        <w:trPr>
          <w:trHeight w:val="303"/>
        </w:trPr>
        <w:tc>
          <w:tcPr>
            <w:cnfStyle w:val="001000000000" w:firstRow="0" w:lastRow="0" w:firstColumn="1" w:lastColumn="0" w:oddVBand="0" w:evenVBand="0" w:oddHBand="0" w:evenHBand="0" w:firstRowFirstColumn="0" w:firstRowLastColumn="0" w:lastRowFirstColumn="0" w:lastRowLastColumn="0"/>
            <w:tcW w:w="1549" w:type="dxa"/>
            <w:hideMark/>
          </w:tcPr>
          <w:p w14:paraId="6E813595" w14:textId="77777777" w:rsidR="00AA5418" w:rsidRPr="001758ED" w:rsidRDefault="00AA5418" w:rsidP="003760FA">
            <w:pPr>
              <w:autoSpaceDE w:val="0"/>
              <w:autoSpaceDN w:val="0"/>
              <w:adjustRightInd w:val="0"/>
              <w:rPr>
                <w:rFonts w:ascii="Times New Roman" w:hAnsi="Times New Roman"/>
                <w:color w:val="000000"/>
                <w:sz w:val="22"/>
                <w:szCs w:val="22"/>
              </w:rPr>
            </w:pPr>
            <w:r w:rsidRPr="001758ED">
              <w:rPr>
                <w:rFonts w:ascii="Times New Roman" w:hAnsi="Times New Roman"/>
                <w:color w:val="000000"/>
                <w:sz w:val="22"/>
                <w:szCs w:val="22"/>
              </w:rPr>
              <w:t>8 : Spine disorders</w:t>
            </w:r>
          </w:p>
        </w:tc>
        <w:tc>
          <w:tcPr>
            <w:tcW w:w="1243" w:type="dxa"/>
            <w:noWrap/>
            <w:hideMark/>
          </w:tcPr>
          <w:p w14:paraId="6DF1885E"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3476</w:t>
            </w:r>
          </w:p>
        </w:tc>
        <w:tc>
          <w:tcPr>
            <w:tcW w:w="4291" w:type="dxa"/>
            <w:hideMark/>
          </w:tcPr>
          <w:p w14:paraId="66096612"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M40-M54 (79.4%); S30-S39 (21.7%)</w:t>
            </w:r>
          </w:p>
        </w:tc>
        <w:tc>
          <w:tcPr>
            <w:tcW w:w="992" w:type="dxa"/>
            <w:noWrap/>
            <w:hideMark/>
          </w:tcPr>
          <w:p w14:paraId="119DBE59"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1.26</w:t>
            </w:r>
          </w:p>
        </w:tc>
        <w:tc>
          <w:tcPr>
            <w:tcW w:w="992" w:type="dxa"/>
            <w:noWrap/>
            <w:hideMark/>
          </w:tcPr>
          <w:p w14:paraId="6B9C0ED5"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0.54</w:t>
            </w:r>
          </w:p>
        </w:tc>
        <w:tc>
          <w:tcPr>
            <w:tcW w:w="709" w:type="dxa"/>
            <w:noWrap/>
            <w:hideMark/>
          </w:tcPr>
          <w:p w14:paraId="5CF1EB8D"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2.33</w:t>
            </w:r>
          </w:p>
        </w:tc>
      </w:tr>
      <w:tr w:rsidR="00AA5418" w:rsidRPr="00E562B1" w14:paraId="0263F6BD" w14:textId="77777777" w:rsidTr="003760FA">
        <w:trPr>
          <w:cnfStyle w:val="000000100000" w:firstRow="0" w:lastRow="0" w:firstColumn="0" w:lastColumn="0" w:oddVBand="0" w:evenVBand="0" w:oddHBand="1" w:evenHBand="0" w:firstRowFirstColumn="0" w:firstRowLastColumn="0" w:lastRowFirstColumn="0" w:lastRowLastColumn="0"/>
          <w:trHeight w:val="698"/>
        </w:trPr>
        <w:tc>
          <w:tcPr>
            <w:cnfStyle w:val="001000000000" w:firstRow="0" w:lastRow="0" w:firstColumn="1" w:lastColumn="0" w:oddVBand="0" w:evenVBand="0" w:oddHBand="0" w:evenHBand="0" w:firstRowFirstColumn="0" w:firstRowLastColumn="0" w:lastRowFirstColumn="0" w:lastRowLastColumn="0"/>
            <w:tcW w:w="1549" w:type="dxa"/>
            <w:hideMark/>
          </w:tcPr>
          <w:p w14:paraId="6D530FE0" w14:textId="77777777" w:rsidR="00AA5418" w:rsidRPr="001758ED" w:rsidRDefault="00AA5418" w:rsidP="003760FA">
            <w:pPr>
              <w:autoSpaceDE w:val="0"/>
              <w:autoSpaceDN w:val="0"/>
              <w:adjustRightInd w:val="0"/>
              <w:rPr>
                <w:rFonts w:ascii="Times New Roman" w:hAnsi="Times New Roman"/>
                <w:color w:val="000000"/>
                <w:sz w:val="22"/>
                <w:szCs w:val="22"/>
              </w:rPr>
            </w:pPr>
            <w:r w:rsidRPr="001758ED">
              <w:rPr>
                <w:rFonts w:ascii="Times New Roman" w:hAnsi="Times New Roman"/>
                <w:color w:val="000000"/>
                <w:sz w:val="22"/>
                <w:szCs w:val="22"/>
              </w:rPr>
              <w:t>9 : Occulomotor disorders</w:t>
            </w:r>
          </w:p>
        </w:tc>
        <w:tc>
          <w:tcPr>
            <w:tcW w:w="1243" w:type="dxa"/>
            <w:noWrap/>
            <w:hideMark/>
          </w:tcPr>
          <w:p w14:paraId="2694F9CA"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3047</w:t>
            </w:r>
          </w:p>
        </w:tc>
        <w:tc>
          <w:tcPr>
            <w:tcW w:w="4291" w:type="dxa"/>
            <w:hideMark/>
          </w:tcPr>
          <w:p w14:paraId="3C3F8623"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T15-T19 (37.4%); H10-H13 (23.1%); H55-H59 (16.7%); H53-H54 (9.4%); H15-H19 (6.8%); H00-H06 (5.3%); B50-B64 (1.1%); H43-H45 (1.1%); G70-G73 (1.0%); G80-G83 (0.5%); N00-N08 (0.4%)</w:t>
            </w:r>
          </w:p>
        </w:tc>
        <w:tc>
          <w:tcPr>
            <w:tcW w:w="992" w:type="dxa"/>
            <w:noWrap/>
            <w:hideMark/>
          </w:tcPr>
          <w:p w14:paraId="6C09B8B1"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1.27</w:t>
            </w:r>
          </w:p>
        </w:tc>
        <w:tc>
          <w:tcPr>
            <w:tcW w:w="992" w:type="dxa"/>
            <w:noWrap/>
            <w:hideMark/>
          </w:tcPr>
          <w:p w14:paraId="4BFF3F2F"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0.50</w:t>
            </w:r>
          </w:p>
        </w:tc>
        <w:tc>
          <w:tcPr>
            <w:tcW w:w="709" w:type="dxa"/>
            <w:noWrap/>
            <w:hideMark/>
          </w:tcPr>
          <w:p w14:paraId="1A27C2AC"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2.57</w:t>
            </w:r>
          </w:p>
        </w:tc>
      </w:tr>
      <w:tr w:rsidR="00AA5418" w:rsidRPr="00E562B1" w14:paraId="11925F1A" w14:textId="77777777" w:rsidTr="003760FA">
        <w:trPr>
          <w:trHeight w:val="614"/>
        </w:trPr>
        <w:tc>
          <w:tcPr>
            <w:cnfStyle w:val="001000000000" w:firstRow="0" w:lastRow="0" w:firstColumn="1" w:lastColumn="0" w:oddVBand="0" w:evenVBand="0" w:oddHBand="0" w:evenHBand="0" w:firstRowFirstColumn="0" w:firstRowLastColumn="0" w:lastRowFirstColumn="0" w:lastRowLastColumn="0"/>
            <w:tcW w:w="1549" w:type="dxa"/>
            <w:hideMark/>
          </w:tcPr>
          <w:p w14:paraId="4FFD5141" w14:textId="77777777" w:rsidR="00AA5418" w:rsidRPr="001758ED" w:rsidRDefault="00AA5418" w:rsidP="003760FA">
            <w:pPr>
              <w:autoSpaceDE w:val="0"/>
              <w:autoSpaceDN w:val="0"/>
              <w:adjustRightInd w:val="0"/>
              <w:rPr>
                <w:rFonts w:ascii="Times New Roman" w:hAnsi="Times New Roman"/>
                <w:color w:val="000000"/>
                <w:sz w:val="22"/>
                <w:szCs w:val="22"/>
                <w:lang w:val="en-US"/>
              </w:rPr>
            </w:pPr>
            <w:r w:rsidRPr="001758ED">
              <w:rPr>
                <w:rFonts w:ascii="Times New Roman" w:hAnsi="Times New Roman"/>
                <w:color w:val="000000"/>
                <w:sz w:val="22"/>
                <w:szCs w:val="22"/>
                <w:lang w:val="en-US"/>
              </w:rPr>
              <w:t>10 : Lower limb trauma and hemopathy</w:t>
            </w:r>
          </w:p>
        </w:tc>
        <w:tc>
          <w:tcPr>
            <w:tcW w:w="1243" w:type="dxa"/>
            <w:noWrap/>
            <w:hideMark/>
          </w:tcPr>
          <w:p w14:paraId="442304FB"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3020</w:t>
            </w:r>
          </w:p>
        </w:tc>
        <w:tc>
          <w:tcPr>
            <w:tcW w:w="4291" w:type="dxa"/>
            <w:hideMark/>
          </w:tcPr>
          <w:p w14:paraId="0E82DDEA"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S80-S89 (97.1%); D65-D69 (3.1%)</w:t>
            </w:r>
          </w:p>
        </w:tc>
        <w:tc>
          <w:tcPr>
            <w:tcW w:w="992" w:type="dxa"/>
            <w:noWrap/>
            <w:hideMark/>
          </w:tcPr>
          <w:p w14:paraId="4D880D7C"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1.75</w:t>
            </w:r>
          </w:p>
        </w:tc>
        <w:tc>
          <w:tcPr>
            <w:tcW w:w="992" w:type="dxa"/>
            <w:noWrap/>
            <w:hideMark/>
          </w:tcPr>
          <w:p w14:paraId="777A1FB7"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0.65</w:t>
            </w:r>
          </w:p>
        </w:tc>
        <w:tc>
          <w:tcPr>
            <w:tcW w:w="709" w:type="dxa"/>
            <w:noWrap/>
            <w:hideMark/>
          </w:tcPr>
          <w:p w14:paraId="231FAF3C"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2.69</w:t>
            </w:r>
          </w:p>
        </w:tc>
      </w:tr>
      <w:tr w:rsidR="00AA5418" w:rsidRPr="00E562B1" w14:paraId="3EED33B2" w14:textId="77777777" w:rsidTr="003760FA">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549" w:type="dxa"/>
            <w:hideMark/>
          </w:tcPr>
          <w:p w14:paraId="375714CE" w14:textId="77777777" w:rsidR="00AA5418" w:rsidRPr="001758ED" w:rsidRDefault="00AA5418" w:rsidP="003760FA">
            <w:pPr>
              <w:autoSpaceDE w:val="0"/>
              <w:autoSpaceDN w:val="0"/>
              <w:adjustRightInd w:val="0"/>
              <w:rPr>
                <w:rFonts w:ascii="Times New Roman" w:hAnsi="Times New Roman"/>
                <w:color w:val="000000"/>
                <w:sz w:val="22"/>
                <w:szCs w:val="22"/>
              </w:rPr>
            </w:pPr>
            <w:r w:rsidRPr="001758ED">
              <w:rPr>
                <w:rFonts w:ascii="Times New Roman" w:hAnsi="Times New Roman"/>
                <w:color w:val="000000"/>
                <w:sz w:val="22"/>
                <w:szCs w:val="22"/>
              </w:rPr>
              <w:t>11 : Arthropathies</w:t>
            </w:r>
          </w:p>
        </w:tc>
        <w:tc>
          <w:tcPr>
            <w:tcW w:w="1243" w:type="dxa"/>
            <w:noWrap/>
            <w:hideMark/>
          </w:tcPr>
          <w:p w14:paraId="22C5EAB2"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2623</w:t>
            </w:r>
          </w:p>
        </w:tc>
        <w:tc>
          <w:tcPr>
            <w:tcW w:w="4291" w:type="dxa"/>
            <w:hideMark/>
          </w:tcPr>
          <w:p w14:paraId="1DC9698F"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M60-M79 (72.4%); M00-M25 (29.2%)</w:t>
            </w:r>
          </w:p>
        </w:tc>
        <w:tc>
          <w:tcPr>
            <w:tcW w:w="992" w:type="dxa"/>
            <w:noWrap/>
            <w:hideMark/>
          </w:tcPr>
          <w:p w14:paraId="52E363F2"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1.88</w:t>
            </w:r>
          </w:p>
        </w:tc>
        <w:tc>
          <w:tcPr>
            <w:tcW w:w="992" w:type="dxa"/>
            <w:noWrap/>
            <w:hideMark/>
          </w:tcPr>
          <w:p w14:paraId="787E2250"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0.69</w:t>
            </w:r>
          </w:p>
        </w:tc>
        <w:tc>
          <w:tcPr>
            <w:tcW w:w="709" w:type="dxa"/>
            <w:noWrap/>
            <w:hideMark/>
          </w:tcPr>
          <w:p w14:paraId="19F74A61"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2.73</w:t>
            </w:r>
          </w:p>
        </w:tc>
      </w:tr>
      <w:tr w:rsidR="00AA5418" w:rsidRPr="00E562B1" w14:paraId="73835959" w14:textId="77777777" w:rsidTr="003760FA">
        <w:trPr>
          <w:trHeight w:val="698"/>
        </w:trPr>
        <w:tc>
          <w:tcPr>
            <w:cnfStyle w:val="001000000000" w:firstRow="0" w:lastRow="0" w:firstColumn="1" w:lastColumn="0" w:oddVBand="0" w:evenVBand="0" w:oddHBand="0" w:evenHBand="0" w:firstRowFirstColumn="0" w:firstRowLastColumn="0" w:lastRowFirstColumn="0" w:lastRowLastColumn="0"/>
            <w:tcW w:w="1549" w:type="dxa"/>
            <w:hideMark/>
          </w:tcPr>
          <w:p w14:paraId="2CE4FFF1" w14:textId="77777777" w:rsidR="00AA5418" w:rsidRPr="001758ED" w:rsidRDefault="00AA5418" w:rsidP="003760FA">
            <w:pPr>
              <w:autoSpaceDE w:val="0"/>
              <w:autoSpaceDN w:val="0"/>
              <w:adjustRightInd w:val="0"/>
              <w:rPr>
                <w:rFonts w:ascii="Times New Roman" w:hAnsi="Times New Roman"/>
                <w:color w:val="000000"/>
                <w:sz w:val="22"/>
                <w:szCs w:val="22"/>
                <w:lang w:val="en-US"/>
              </w:rPr>
            </w:pPr>
            <w:r w:rsidRPr="001758ED">
              <w:rPr>
                <w:rFonts w:ascii="Times New Roman" w:hAnsi="Times New Roman"/>
                <w:color w:val="000000"/>
                <w:sz w:val="22"/>
                <w:szCs w:val="22"/>
                <w:lang w:val="en-US"/>
              </w:rPr>
              <w:t>12 : Chest trauma and at-risk behaviours</w:t>
            </w:r>
          </w:p>
        </w:tc>
        <w:tc>
          <w:tcPr>
            <w:tcW w:w="1243" w:type="dxa"/>
            <w:noWrap/>
            <w:hideMark/>
          </w:tcPr>
          <w:p w14:paraId="683B96F1"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2108</w:t>
            </w:r>
          </w:p>
        </w:tc>
        <w:tc>
          <w:tcPr>
            <w:tcW w:w="4291" w:type="dxa"/>
            <w:hideMark/>
          </w:tcPr>
          <w:p w14:paraId="511A85F3"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lang w:val="en-US"/>
              </w:rPr>
            </w:pPr>
            <w:r w:rsidRPr="001758ED">
              <w:rPr>
                <w:rFonts w:ascii="Times New Roman" w:hAnsi="Times New Roman"/>
                <w:color w:val="000000"/>
                <w:sz w:val="22"/>
                <w:szCs w:val="22"/>
                <w:lang w:val="en-US"/>
              </w:rPr>
              <w:t>S20-S29 (43.4%); I80-I89 (20.5%); Z20-Z29 (20.1%); J90-J94 (9.2%); L80-L99 (3.6%); O30-O48 (2.1%); G00-G09 (1.3%); A20-A28 (1.0%); A80-A89 (0.6%)</w:t>
            </w:r>
          </w:p>
        </w:tc>
        <w:tc>
          <w:tcPr>
            <w:tcW w:w="992" w:type="dxa"/>
            <w:noWrap/>
            <w:hideMark/>
          </w:tcPr>
          <w:p w14:paraId="0191926C"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1.48</w:t>
            </w:r>
          </w:p>
        </w:tc>
        <w:tc>
          <w:tcPr>
            <w:tcW w:w="992" w:type="dxa"/>
            <w:noWrap/>
            <w:hideMark/>
          </w:tcPr>
          <w:p w14:paraId="48AAF63A"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0.91</w:t>
            </w:r>
          </w:p>
        </w:tc>
        <w:tc>
          <w:tcPr>
            <w:tcW w:w="709" w:type="dxa"/>
            <w:noWrap/>
            <w:hideMark/>
          </w:tcPr>
          <w:p w14:paraId="61B4E35D"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1.62</w:t>
            </w:r>
          </w:p>
        </w:tc>
      </w:tr>
      <w:tr w:rsidR="00AA5418" w:rsidRPr="00E562B1" w14:paraId="0D736390" w14:textId="77777777" w:rsidTr="003760FA">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549" w:type="dxa"/>
            <w:hideMark/>
          </w:tcPr>
          <w:p w14:paraId="1107A11F" w14:textId="77777777" w:rsidR="00AA5418" w:rsidRPr="001758ED" w:rsidRDefault="00AA5418" w:rsidP="003760FA">
            <w:pPr>
              <w:autoSpaceDE w:val="0"/>
              <w:autoSpaceDN w:val="0"/>
              <w:adjustRightInd w:val="0"/>
              <w:rPr>
                <w:rFonts w:ascii="Times New Roman" w:hAnsi="Times New Roman"/>
                <w:color w:val="000000"/>
                <w:sz w:val="22"/>
                <w:szCs w:val="22"/>
              </w:rPr>
            </w:pPr>
            <w:r w:rsidRPr="001758ED">
              <w:rPr>
                <w:rFonts w:ascii="Times New Roman" w:hAnsi="Times New Roman"/>
                <w:color w:val="000000"/>
                <w:sz w:val="22"/>
                <w:szCs w:val="22"/>
              </w:rPr>
              <w:t>13 : Shoulder and arm trauma</w:t>
            </w:r>
          </w:p>
        </w:tc>
        <w:tc>
          <w:tcPr>
            <w:tcW w:w="1243" w:type="dxa"/>
            <w:noWrap/>
            <w:hideMark/>
          </w:tcPr>
          <w:p w14:paraId="6CBCEA6A"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1833</w:t>
            </w:r>
          </w:p>
        </w:tc>
        <w:tc>
          <w:tcPr>
            <w:tcW w:w="4291" w:type="dxa"/>
            <w:hideMark/>
          </w:tcPr>
          <w:p w14:paraId="2679E1A4"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S40-S49 (100.0%)</w:t>
            </w:r>
          </w:p>
        </w:tc>
        <w:tc>
          <w:tcPr>
            <w:tcW w:w="992" w:type="dxa"/>
            <w:noWrap/>
            <w:hideMark/>
          </w:tcPr>
          <w:p w14:paraId="2CD2113E"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NaN</w:t>
            </w:r>
          </w:p>
        </w:tc>
        <w:tc>
          <w:tcPr>
            <w:tcW w:w="992" w:type="dxa"/>
            <w:noWrap/>
            <w:hideMark/>
          </w:tcPr>
          <w:p w14:paraId="11EC4800"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0.52</w:t>
            </w:r>
          </w:p>
        </w:tc>
        <w:tc>
          <w:tcPr>
            <w:tcW w:w="709" w:type="dxa"/>
            <w:noWrap/>
            <w:hideMark/>
          </w:tcPr>
          <w:p w14:paraId="3092DEA0" w14:textId="77777777" w:rsidR="00AA5418" w:rsidRPr="001758ED" w:rsidRDefault="00AA5418" w:rsidP="003760F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NaN</w:t>
            </w:r>
          </w:p>
        </w:tc>
      </w:tr>
      <w:tr w:rsidR="00AA5418" w:rsidRPr="00E562B1" w14:paraId="763D6FA8" w14:textId="77777777" w:rsidTr="003760FA">
        <w:trPr>
          <w:trHeight w:val="698"/>
        </w:trPr>
        <w:tc>
          <w:tcPr>
            <w:cnfStyle w:val="001000000000" w:firstRow="0" w:lastRow="0" w:firstColumn="1" w:lastColumn="0" w:oddVBand="0" w:evenVBand="0" w:oddHBand="0" w:evenHBand="0" w:firstRowFirstColumn="0" w:firstRowLastColumn="0" w:lastRowFirstColumn="0" w:lastRowLastColumn="0"/>
            <w:tcW w:w="1549" w:type="dxa"/>
            <w:hideMark/>
          </w:tcPr>
          <w:p w14:paraId="1EBF5113" w14:textId="77777777" w:rsidR="00AA5418" w:rsidRPr="001758ED" w:rsidRDefault="00AA5418" w:rsidP="003760FA">
            <w:pPr>
              <w:autoSpaceDE w:val="0"/>
              <w:autoSpaceDN w:val="0"/>
              <w:adjustRightInd w:val="0"/>
              <w:rPr>
                <w:rFonts w:ascii="Times New Roman" w:hAnsi="Times New Roman"/>
                <w:color w:val="000000"/>
                <w:sz w:val="22"/>
                <w:szCs w:val="22"/>
              </w:rPr>
            </w:pPr>
            <w:r w:rsidRPr="001758ED">
              <w:rPr>
                <w:rFonts w:ascii="Times New Roman" w:hAnsi="Times New Roman"/>
                <w:color w:val="000000"/>
                <w:sz w:val="22"/>
                <w:szCs w:val="22"/>
              </w:rPr>
              <w:t>14 : Cutaneous infections and wounds</w:t>
            </w:r>
          </w:p>
        </w:tc>
        <w:tc>
          <w:tcPr>
            <w:tcW w:w="1243" w:type="dxa"/>
            <w:noWrap/>
            <w:hideMark/>
          </w:tcPr>
          <w:p w14:paraId="2C95FD80"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1807</w:t>
            </w:r>
          </w:p>
        </w:tc>
        <w:tc>
          <w:tcPr>
            <w:tcW w:w="4291" w:type="dxa"/>
            <w:hideMark/>
          </w:tcPr>
          <w:p w14:paraId="112AE8CD"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lang w:val="en-US"/>
              </w:rPr>
            </w:pPr>
            <w:r w:rsidRPr="001758ED">
              <w:rPr>
                <w:rFonts w:ascii="Times New Roman" w:hAnsi="Times New Roman"/>
                <w:color w:val="000000"/>
                <w:sz w:val="22"/>
                <w:szCs w:val="22"/>
                <w:lang w:val="en-US"/>
              </w:rPr>
              <w:t>L00-L08 (54.0%); K00-K14 (32.0%); L60-L75 (7.0%); F50-F59 (3.0%); G20-G26 (2.4%); E00-E07 (1.8%); L55-L59 (1.1%); A65-A69 (0.8%)</w:t>
            </w:r>
          </w:p>
        </w:tc>
        <w:tc>
          <w:tcPr>
            <w:tcW w:w="992" w:type="dxa"/>
            <w:noWrap/>
            <w:hideMark/>
          </w:tcPr>
          <w:p w14:paraId="3631B705"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2.09</w:t>
            </w:r>
          </w:p>
        </w:tc>
        <w:tc>
          <w:tcPr>
            <w:tcW w:w="992" w:type="dxa"/>
            <w:noWrap/>
            <w:hideMark/>
          </w:tcPr>
          <w:p w14:paraId="2C471DA6"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0.69</w:t>
            </w:r>
          </w:p>
        </w:tc>
        <w:tc>
          <w:tcPr>
            <w:tcW w:w="709" w:type="dxa"/>
            <w:noWrap/>
            <w:hideMark/>
          </w:tcPr>
          <w:p w14:paraId="3F49332F" w14:textId="77777777" w:rsidR="00AA5418" w:rsidRPr="001758ED" w:rsidRDefault="00AA5418" w:rsidP="003760F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2"/>
                <w:szCs w:val="22"/>
              </w:rPr>
            </w:pPr>
            <w:r w:rsidRPr="001758ED">
              <w:rPr>
                <w:rFonts w:ascii="Times New Roman" w:hAnsi="Times New Roman"/>
                <w:color w:val="000000"/>
                <w:sz w:val="22"/>
                <w:szCs w:val="22"/>
              </w:rPr>
              <w:t>3.03</w:t>
            </w:r>
          </w:p>
        </w:tc>
      </w:tr>
    </w:tbl>
    <w:p w14:paraId="273FC07F" w14:textId="1B426BEA" w:rsidR="00057AAE" w:rsidRDefault="00AA5418" w:rsidP="00AA5418">
      <w:pPr>
        <w:rPr>
          <w:rFonts w:ascii="Times New Roman" w:hAnsi="Times New Roman"/>
          <w:sz w:val="22"/>
          <w:lang w:val="en-US"/>
        </w:rPr>
      </w:pPr>
      <w:r w:rsidRPr="00ED456E">
        <w:rPr>
          <w:rFonts w:ascii="Times New Roman" w:hAnsi="Times New Roman"/>
          <w:sz w:val="22"/>
          <w:lang w:val="en-US"/>
        </w:rPr>
        <w:t>*RR</w:t>
      </w:r>
      <w:r w:rsidRPr="00ED456E">
        <w:rPr>
          <w:rFonts w:ascii="Times New Roman" w:hAnsi="Times New Roman"/>
          <w:sz w:val="22"/>
          <w:vertAlign w:val="subscript"/>
          <w:lang w:val="en-US"/>
        </w:rPr>
        <w:t>intra</w:t>
      </w:r>
      <w:r w:rsidRPr="00ED456E">
        <w:rPr>
          <w:rFonts w:ascii="Times New Roman" w:hAnsi="Times New Roman"/>
          <w:sz w:val="22"/>
          <w:lang w:val="en-US"/>
        </w:rPr>
        <w:t>, RR</w:t>
      </w:r>
      <w:r w:rsidRPr="00ED456E">
        <w:rPr>
          <w:rFonts w:ascii="Times New Roman" w:hAnsi="Times New Roman"/>
          <w:sz w:val="22"/>
          <w:vertAlign w:val="subscript"/>
          <w:lang w:val="en-US"/>
        </w:rPr>
        <w:t xml:space="preserve">inter </w:t>
      </w:r>
      <w:r w:rsidRPr="00ED456E">
        <w:rPr>
          <w:rFonts w:ascii="Times New Roman" w:hAnsi="Times New Roman"/>
          <w:sz w:val="22"/>
          <w:lang w:val="en-US"/>
        </w:rPr>
        <w:t>and MR are quality indicators of the clusters : they are described in Supplementary Methods S1</w:t>
      </w:r>
    </w:p>
    <w:p w14:paraId="5E32B1DF" w14:textId="22186008" w:rsidR="000C1F4F" w:rsidRDefault="000C1F4F" w:rsidP="00AA5418">
      <w:pPr>
        <w:rPr>
          <w:rFonts w:ascii="Times New Roman" w:hAnsi="Times New Roman"/>
          <w:sz w:val="22"/>
          <w:lang w:val="en-US"/>
        </w:rPr>
      </w:pPr>
    </w:p>
    <w:p w14:paraId="1C28D31F" w14:textId="2D5003D4" w:rsidR="000C1F4F" w:rsidRDefault="000C1F4F" w:rsidP="00AA5418">
      <w:pPr>
        <w:rPr>
          <w:rFonts w:ascii="Times New Roman" w:hAnsi="Times New Roman"/>
          <w:sz w:val="22"/>
          <w:lang w:val="en-US"/>
        </w:rPr>
      </w:pPr>
    </w:p>
    <w:p w14:paraId="71AFA212" w14:textId="27D82FC0" w:rsidR="000C1F4F" w:rsidRDefault="000C1F4F" w:rsidP="00AA5418">
      <w:pPr>
        <w:rPr>
          <w:rFonts w:ascii="Times New Roman" w:hAnsi="Times New Roman"/>
          <w:sz w:val="22"/>
          <w:lang w:val="en-US"/>
        </w:rPr>
      </w:pPr>
    </w:p>
    <w:p w14:paraId="2BAC90CC" w14:textId="4CDE4FFE" w:rsidR="000C1F4F" w:rsidRDefault="000C1F4F" w:rsidP="00AA5418">
      <w:pPr>
        <w:rPr>
          <w:rFonts w:ascii="Times New Roman" w:hAnsi="Times New Roman"/>
          <w:sz w:val="22"/>
          <w:lang w:val="en-US"/>
        </w:rPr>
      </w:pPr>
    </w:p>
    <w:p w14:paraId="07AFA356" w14:textId="122F6617" w:rsidR="000C1F4F" w:rsidRDefault="000C1F4F" w:rsidP="00AA5418">
      <w:pPr>
        <w:rPr>
          <w:rFonts w:ascii="Times New Roman" w:hAnsi="Times New Roman"/>
          <w:sz w:val="22"/>
          <w:lang w:val="en-US"/>
        </w:rPr>
      </w:pPr>
    </w:p>
    <w:p w14:paraId="3F6C3CE6" w14:textId="12B6DCC0" w:rsidR="000C1F4F" w:rsidRDefault="000C1F4F" w:rsidP="00AA5418">
      <w:pPr>
        <w:rPr>
          <w:rFonts w:ascii="Times New Roman" w:hAnsi="Times New Roman"/>
          <w:sz w:val="22"/>
          <w:lang w:val="en-US"/>
        </w:rPr>
      </w:pPr>
    </w:p>
    <w:p w14:paraId="0C3F64A1" w14:textId="74E67635" w:rsidR="000C1F4F" w:rsidRDefault="000C1F4F" w:rsidP="00AA5418">
      <w:pPr>
        <w:rPr>
          <w:rFonts w:ascii="Times New Roman" w:hAnsi="Times New Roman"/>
          <w:sz w:val="22"/>
          <w:lang w:val="en-US"/>
        </w:rPr>
      </w:pPr>
    </w:p>
    <w:p w14:paraId="4851C3C4" w14:textId="0449024A" w:rsidR="000C1F4F" w:rsidRDefault="000C1F4F" w:rsidP="00AA5418">
      <w:pPr>
        <w:rPr>
          <w:rFonts w:ascii="Times New Roman" w:hAnsi="Times New Roman"/>
          <w:sz w:val="22"/>
          <w:lang w:val="en-US"/>
        </w:rPr>
      </w:pPr>
    </w:p>
    <w:p w14:paraId="7FE9857B" w14:textId="599149FA" w:rsidR="000C1F4F" w:rsidRDefault="000C1F4F" w:rsidP="00AA5418">
      <w:pPr>
        <w:rPr>
          <w:rFonts w:ascii="Times New Roman" w:hAnsi="Times New Roman"/>
          <w:sz w:val="22"/>
          <w:lang w:val="en-US"/>
        </w:rPr>
      </w:pPr>
    </w:p>
    <w:p w14:paraId="35CFCEEB" w14:textId="7FBF400C" w:rsidR="000C1F4F" w:rsidRDefault="000C1F4F" w:rsidP="00AA5418">
      <w:pPr>
        <w:rPr>
          <w:rFonts w:ascii="Times New Roman" w:hAnsi="Times New Roman"/>
          <w:sz w:val="22"/>
          <w:lang w:val="en-US"/>
        </w:rPr>
      </w:pPr>
    </w:p>
    <w:p w14:paraId="670912DB" w14:textId="3B4B987C" w:rsidR="000C1F4F" w:rsidRDefault="000C1F4F" w:rsidP="00AA5418">
      <w:pPr>
        <w:rPr>
          <w:rFonts w:ascii="Times New Roman" w:hAnsi="Times New Roman"/>
          <w:sz w:val="22"/>
          <w:lang w:val="en-US"/>
        </w:rPr>
      </w:pPr>
    </w:p>
    <w:p w14:paraId="5E259A85" w14:textId="0CFBA72C" w:rsidR="000C1F4F" w:rsidRDefault="000C1F4F" w:rsidP="00AA5418">
      <w:pPr>
        <w:rPr>
          <w:rFonts w:ascii="Times New Roman" w:hAnsi="Times New Roman"/>
          <w:sz w:val="22"/>
          <w:lang w:val="en-US"/>
        </w:rPr>
      </w:pPr>
    </w:p>
    <w:p w14:paraId="2D49084B" w14:textId="2832BBCC" w:rsidR="000C1F4F" w:rsidRDefault="000C1F4F" w:rsidP="00AA5418">
      <w:pPr>
        <w:rPr>
          <w:rFonts w:ascii="Times New Roman" w:hAnsi="Times New Roman"/>
          <w:sz w:val="22"/>
          <w:lang w:val="en-US"/>
        </w:rPr>
      </w:pPr>
    </w:p>
    <w:p w14:paraId="3D5B522F" w14:textId="2F2707EB" w:rsidR="000C1F4F" w:rsidRDefault="000C1F4F" w:rsidP="00AA5418">
      <w:pPr>
        <w:rPr>
          <w:rFonts w:ascii="Times New Roman" w:hAnsi="Times New Roman"/>
          <w:sz w:val="22"/>
          <w:lang w:val="en-US"/>
        </w:rPr>
      </w:pPr>
    </w:p>
    <w:p w14:paraId="076787E9" w14:textId="0D727E5C" w:rsidR="000C1F4F" w:rsidRDefault="000C1F4F" w:rsidP="00AA5418">
      <w:pPr>
        <w:rPr>
          <w:rFonts w:ascii="Times New Roman" w:hAnsi="Times New Roman"/>
          <w:sz w:val="22"/>
          <w:lang w:val="en-US"/>
        </w:rPr>
      </w:pPr>
    </w:p>
    <w:p w14:paraId="1DABBCBE" w14:textId="5B0C028C" w:rsidR="000C1F4F" w:rsidRDefault="000C1F4F" w:rsidP="00AA5418">
      <w:pPr>
        <w:rPr>
          <w:rFonts w:ascii="Times New Roman" w:hAnsi="Times New Roman"/>
          <w:b/>
          <w:bCs/>
          <w:sz w:val="22"/>
          <w:lang w:val="en-US"/>
        </w:rPr>
      </w:pPr>
      <w:r w:rsidRPr="000C1F4F">
        <w:rPr>
          <w:rFonts w:ascii="Times New Roman" w:hAnsi="Times New Roman"/>
          <w:b/>
          <w:bCs/>
          <w:sz w:val="22"/>
          <w:lang w:val="en-US"/>
        </w:rPr>
        <w:lastRenderedPageBreak/>
        <w:t>Supplementary Data Table S3 – Label</w:t>
      </w:r>
      <w:r w:rsidR="008E362A">
        <w:rPr>
          <w:rFonts w:ascii="Times New Roman" w:hAnsi="Times New Roman"/>
          <w:b/>
          <w:bCs/>
          <w:sz w:val="22"/>
          <w:lang w:val="en-US"/>
        </w:rPr>
        <w:t>s</w:t>
      </w:r>
      <w:r w:rsidRPr="000C1F4F">
        <w:rPr>
          <w:rFonts w:ascii="Times New Roman" w:hAnsi="Times New Roman"/>
          <w:b/>
          <w:bCs/>
          <w:sz w:val="22"/>
          <w:lang w:val="en-US"/>
        </w:rPr>
        <w:t xml:space="preserve"> of </w:t>
      </w:r>
      <w:r w:rsidR="008E362A">
        <w:rPr>
          <w:rFonts w:ascii="Times New Roman" w:hAnsi="Times New Roman"/>
          <w:b/>
          <w:bCs/>
          <w:sz w:val="22"/>
          <w:lang w:val="en-US"/>
        </w:rPr>
        <w:t xml:space="preserve"> the </w:t>
      </w:r>
      <w:r w:rsidRPr="000C1F4F">
        <w:rPr>
          <w:rFonts w:ascii="Times New Roman" w:hAnsi="Times New Roman"/>
          <w:b/>
          <w:bCs/>
          <w:sz w:val="22"/>
          <w:lang w:val="en-US"/>
        </w:rPr>
        <w:t>ICD10 Block</w:t>
      </w:r>
      <w:r w:rsidR="00682CB0">
        <w:rPr>
          <w:rFonts w:ascii="Times New Roman" w:hAnsi="Times New Roman"/>
          <w:b/>
          <w:bCs/>
          <w:sz w:val="22"/>
          <w:lang w:val="en-US"/>
        </w:rPr>
        <w:t>s</w:t>
      </w:r>
    </w:p>
    <w:tbl>
      <w:tblPr>
        <w:tblStyle w:val="TableauGrille4-Accentuation51"/>
        <w:tblW w:w="9406" w:type="dxa"/>
        <w:tblLook w:val="04A0" w:firstRow="1" w:lastRow="0" w:firstColumn="1" w:lastColumn="0" w:noHBand="0" w:noVBand="1"/>
      </w:tblPr>
      <w:tblGrid>
        <w:gridCol w:w="1072"/>
        <w:gridCol w:w="4242"/>
        <w:gridCol w:w="4242"/>
      </w:tblGrid>
      <w:tr w:rsidR="000C1F4F" w:rsidRPr="000C1F4F" w14:paraId="47583151" w14:textId="77777777" w:rsidTr="000C1F4F">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5F71F38" w14:textId="02312FFD" w:rsidR="000C1F4F" w:rsidRPr="000C1F4F" w:rsidRDefault="000C1F4F" w:rsidP="000C1F4F">
            <w:pPr>
              <w:rPr>
                <w:rFonts w:ascii="Times New Roman" w:eastAsia="Times New Roman" w:hAnsi="Times New Roman"/>
                <w:sz w:val="22"/>
                <w:szCs w:val="22"/>
              </w:rPr>
            </w:pPr>
            <w:r w:rsidRPr="00682CB0">
              <w:rPr>
                <w:rFonts w:ascii="Times New Roman" w:eastAsia="Times New Roman" w:hAnsi="Times New Roman"/>
                <w:sz w:val="22"/>
                <w:szCs w:val="22"/>
              </w:rPr>
              <w:t>ICD10 B</w:t>
            </w:r>
            <w:r w:rsidRPr="000C1F4F">
              <w:rPr>
                <w:rFonts w:ascii="Times New Roman" w:eastAsia="Times New Roman" w:hAnsi="Times New Roman"/>
                <w:sz w:val="22"/>
                <w:szCs w:val="22"/>
              </w:rPr>
              <w:t>lock</w:t>
            </w:r>
          </w:p>
        </w:tc>
        <w:tc>
          <w:tcPr>
            <w:tcW w:w="4242" w:type="dxa"/>
            <w:noWrap/>
            <w:hideMark/>
          </w:tcPr>
          <w:p w14:paraId="4475726C" w14:textId="0C8E3B5D" w:rsidR="000C1F4F" w:rsidRPr="000C1F4F" w:rsidRDefault="000C1F4F" w:rsidP="000C1F4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sz w:val="22"/>
                <w:szCs w:val="22"/>
              </w:rPr>
            </w:pPr>
            <w:r w:rsidRPr="00682CB0">
              <w:rPr>
                <w:rFonts w:ascii="Times New Roman" w:eastAsia="Times New Roman" w:hAnsi="Times New Roman"/>
                <w:sz w:val="22"/>
                <w:szCs w:val="22"/>
              </w:rPr>
              <w:t>L</w:t>
            </w:r>
            <w:r w:rsidRPr="000C1F4F">
              <w:rPr>
                <w:rFonts w:ascii="Times New Roman" w:eastAsia="Times New Roman" w:hAnsi="Times New Roman"/>
                <w:sz w:val="22"/>
                <w:szCs w:val="22"/>
              </w:rPr>
              <w:t>abel</w:t>
            </w:r>
          </w:p>
        </w:tc>
        <w:tc>
          <w:tcPr>
            <w:tcW w:w="4242" w:type="dxa"/>
            <w:noWrap/>
            <w:hideMark/>
          </w:tcPr>
          <w:p w14:paraId="68B37339" w14:textId="77777777" w:rsidR="000C1F4F" w:rsidRPr="000C1F4F" w:rsidRDefault="000C1F4F" w:rsidP="000C1F4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p>
        </w:tc>
      </w:tr>
      <w:tr w:rsidR="000C1F4F" w:rsidRPr="000C1F4F" w14:paraId="0F4394F3"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D68C193"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A00A09</w:t>
            </w:r>
          </w:p>
        </w:tc>
        <w:tc>
          <w:tcPr>
            <w:tcW w:w="8484" w:type="dxa"/>
            <w:gridSpan w:val="2"/>
            <w:noWrap/>
            <w:hideMark/>
          </w:tcPr>
          <w:p w14:paraId="56D6F360"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Intestinal infectious diseases</w:t>
            </w:r>
          </w:p>
        </w:tc>
      </w:tr>
      <w:tr w:rsidR="000C1F4F" w:rsidRPr="000C1F4F" w14:paraId="7BCAD4CF"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EB5F769"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A20A28</w:t>
            </w:r>
          </w:p>
        </w:tc>
        <w:tc>
          <w:tcPr>
            <w:tcW w:w="8484" w:type="dxa"/>
            <w:gridSpan w:val="2"/>
            <w:noWrap/>
            <w:hideMark/>
          </w:tcPr>
          <w:p w14:paraId="15E1356A"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Certain zoonotic bacterial diseases</w:t>
            </w:r>
          </w:p>
        </w:tc>
      </w:tr>
      <w:tr w:rsidR="000C1F4F" w:rsidRPr="000C1F4F" w14:paraId="5B2A1883"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F52F6F8"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A30A49</w:t>
            </w:r>
          </w:p>
        </w:tc>
        <w:tc>
          <w:tcPr>
            <w:tcW w:w="8484" w:type="dxa"/>
            <w:gridSpan w:val="2"/>
            <w:noWrap/>
            <w:hideMark/>
          </w:tcPr>
          <w:p w14:paraId="1CD965FB"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Other bacterial diseases</w:t>
            </w:r>
          </w:p>
        </w:tc>
      </w:tr>
      <w:tr w:rsidR="000C1F4F" w:rsidRPr="008E362A" w14:paraId="2781D9E5"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8FB3A9E"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A50A64</w:t>
            </w:r>
          </w:p>
        </w:tc>
        <w:tc>
          <w:tcPr>
            <w:tcW w:w="8484" w:type="dxa"/>
            <w:gridSpan w:val="2"/>
            <w:noWrap/>
            <w:hideMark/>
          </w:tcPr>
          <w:p w14:paraId="5904C837"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Infections with a predominantly sexual mode of transmission</w:t>
            </w:r>
          </w:p>
        </w:tc>
      </w:tr>
      <w:tr w:rsidR="000C1F4F" w:rsidRPr="000C1F4F" w14:paraId="67651143"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3B90FFF5"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A65A69</w:t>
            </w:r>
          </w:p>
        </w:tc>
        <w:tc>
          <w:tcPr>
            <w:tcW w:w="8484" w:type="dxa"/>
            <w:gridSpan w:val="2"/>
            <w:noWrap/>
            <w:hideMark/>
          </w:tcPr>
          <w:p w14:paraId="44B824B5"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Other spirochaetal diseases</w:t>
            </w:r>
          </w:p>
        </w:tc>
      </w:tr>
      <w:tr w:rsidR="000C1F4F" w:rsidRPr="008E362A" w14:paraId="43A89981"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B542B8E"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A80A89</w:t>
            </w:r>
          </w:p>
        </w:tc>
        <w:tc>
          <w:tcPr>
            <w:tcW w:w="8484" w:type="dxa"/>
            <w:gridSpan w:val="2"/>
            <w:noWrap/>
            <w:hideMark/>
          </w:tcPr>
          <w:p w14:paraId="5717B5DC"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Viral infections of the central nervous system</w:t>
            </w:r>
          </w:p>
        </w:tc>
      </w:tr>
      <w:tr w:rsidR="000C1F4F" w:rsidRPr="008E362A" w14:paraId="1EADA3A9"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3615C8E0"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B00B09</w:t>
            </w:r>
          </w:p>
        </w:tc>
        <w:tc>
          <w:tcPr>
            <w:tcW w:w="8484" w:type="dxa"/>
            <w:gridSpan w:val="2"/>
            <w:noWrap/>
            <w:hideMark/>
          </w:tcPr>
          <w:p w14:paraId="7CC7F923"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Viral infections characterized by skin and mucous membrane lesions</w:t>
            </w:r>
          </w:p>
        </w:tc>
      </w:tr>
      <w:tr w:rsidR="000C1F4F" w:rsidRPr="000C1F4F" w14:paraId="03AF2EFA"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066C4C43"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B15B19</w:t>
            </w:r>
          </w:p>
        </w:tc>
        <w:tc>
          <w:tcPr>
            <w:tcW w:w="8484" w:type="dxa"/>
            <w:gridSpan w:val="2"/>
            <w:noWrap/>
            <w:hideMark/>
          </w:tcPr>
          <w:p w14:paraId="03B64CDB"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Viral hepatitis</w:t>
            </w:r>
          </w:p>
        </w:tc>
      </w:tr>
      <w:tr w:rsidR="000C1F4F" w:rsidRPr="000C1F4F" w14:paraId="46452E91"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2A9CFE2"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B25B34</w:t>
            </w:r>
          </w:p>
        </w:tc>
        <w:tc>
          <w:tcPr>
            <w:tcW w:w="8484" w:type="dxa"/>
            <w:gridSpan w:val="2"/>
            <w:noWrap/>
            <w:hideMark/>
          </w:tcPr>
          <w:p w14:paraId="7799119A"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Other viral diseases</w:t>
            </w:r>
          </w:p>
        </w:tc>
      </w:tr>
      <w:tr w:rsidR="000C1F4F" w:rsidRPr="000C1F4F" w14:paraId="3B50756A"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718409F"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B35B49</w:t>
            </w:r>
          </w:p>
        </w:tc>
        <w:tc>
          <w:tcPr>
            <w:tcW w:w="4242" w:type="dxa"/>
            <w:noWrap/>
            <w:hideMark/>
          </w:tcPr>
          <w:p w14:paraId="28740CB3"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Mycoses</w:t>
            </w:r>
          </w:p>
        </w:tc>
        <w:tc>
          <w:tcPr>
            <w:tcW w:w="4242" w:type="dxa"/>
            <w:noWrap/>
            <w:hideMark/>
          </w:tcPr>
          <w:p w14:paraId="0717E8F3"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p>
        </w:tc>
      </w:tr>
      <w:tr w:rsidR="000C1F4F" w:rsidRPr="000C1F4F" w14:paraId="699E7ABF"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8B533C2"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B50B64</w:t>
            </w:r>
          </w:p>
        </w:tc>
        <w:tc>
          <w:tcPr>
            <w:tcW w:w="8484" w:type="dxa"/>
            <w:gridSpan w:val="2"/>
            <w:noWrap/>
            <w:hideMark/>
          </w:tcPr>
          <w:p w14:paraId="7A8F618E"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Protozoal diseases</w:t>
            </w:r>
          </w:p>
        </w:tc>
      </w:tr>
      <w:tr w:rsidR="000C1F4F" w:rsidRPr="000C1F4F" w14:paraId="5CD61244"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FD7DC75"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B65B83</w:t>
            </w:r>
          </w:p>
        </w:tc>
        <w:tc>
          <w:tcPr>
            <w:tcW w:w="8484" w:type="dxa"/>
            <w:gridSpan w:val="2"/>
            <w:noWrap/>
            <w:hideMark/>
          </w:tcPr>
          <w:p w14:paraId="17316400"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Helminthiases</w:t>
            </w:r>
          </w:p>
        </w:tc>
      </w:tr>
      <w:tr w:rsidR="000C1F4F" w:rsidRPr="008E362A" w14:paraId="18ADCE2F"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B87925F"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B85B89</w:t>
            </w:r>
          </w:p>
        </w:tc>
        <w:tc>
          <w:tcPr>
            <w:tcW w:w="8484" w:type="dxa"/>
            <w:gridSpan w:val="2"/>
            <w:noWrap/>
            <w:hideMark/>
          </w:tcPr>
          <w:p w14:paraId="3B070DEB"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Pediculosis, acariasis and other infestations</w:t>
            </w:r>
          </w:p>
        </w:tc>
      </w:tr>
      <w:tr w:rsidR="000C1F4F" w:rsidRPr="000C1F4F" w14:paraId="78DAF966"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5ECBA46F"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C15C26</w:t>
            </w:r>
          </w:p>
        </w:tc>
        <w:tc>
          <w:tcPr>
            <w:tcW w:w="8484" w:type="dxa"/>
            <w:gridSpan w:val="2"/>
            <w:noWrap/>
            <w:hideMark/>
          </w:tcPr>
          <w:p w14:paraId="45701B7A"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Malignant neoplasms, digestive organs</w:t>
            </w:r>
          </w:p>
        </w:tc>
      </w:tr>
      <w:tr w:rsidR="000C1F4F" w:rsidRPr="008E362A" w14:paraId="5A716FB4"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039EB558"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C76C80</w:t>
            </w:r>
          </w:p>
        </w:tc>
        <w:tc>
          <w:tcPr>
            <w:tcW w:w="8484" w:type="dxa"/>
            <w:gridSpan w:val="2"/>
            <w:noWrap/>
            <w:hideMark/>
          </w:tcPr>
          <w:p w14:paraId="7A9FAB09"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Malignant neoplasms, secondary and ill-defined</w:t>
            </w:r>
          </w:p>
        </w:tc>
      </w:tr>
      <w:tr w:rsidR="000C1F4F" w:rsidRPr="008E362A" w14:paraId="12EA4A06"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CD73AE9"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C81C96</w:t>
            </w:r>
          </w:p>
        </w:tc>
        <w:tc>
          <w:tcPr>
            <w:tcW w:w="8484" w:type="dxa"/>
            <w:gridSpan w:val="2"/>
            <w:noWrap/>
            <w:hideMark/>
          </w:tcPr>
          <w:p w14:paraId="77FBD369"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Malignant neoplasms, stated or presumed to be primary, of lymphoid, haematopoietic and related tissue</w:t>
            </w:r>
          </w:p>
        </w:tc>
      </w:tr>
      <w:tr w:rsidR="000C1F4F" w:rsidRPr="000C1F4F" w14:paraId="743E39B1"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1268ACB"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D00D09</w:t>
            </w:r>
          </w:p>
        </w:tc>
        <w:tc>
          <w:tcPr>
            <w:tcW w:w="8484" w:type="dxa"/>
            <w:gridSpan w:val="2"/>
            <w:noWrap/>
            <w:hideMark/>
          </w:tcPr>
          <w:p w14:paraId="7EA75393"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In situ neoplasms</w:t>
            </w:r>
          </w:p>
        </w:tc>
      </w:tr>
      <w:tr w:rsidR="000C1F4F" w:rsidRPr="000C1F4F" w14:paraId="33F5E466"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2382EEB"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D10D36</w:t>
            </w:r>
          </w:p>
        </w:tc>
        <w:tc>
          <w:tcPr>
            <w:tcW w:w="8484" w:type="dxa"/>
            <w:gridSpan w:val="2"/>
            <w:noWrap/>
            <w:hideMark/>
          </w:tcPr>
          <w:p w14:paraId="106CAB57"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Benign neoplasms</w:t>
            </w:r>
          </w:p>
        </w:tc>
      </w:tr>
      <w:tr w:rsidR="000C1F4F" w:rsidRPr="008E362A" w14:paraId="3D50B685"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B47F4F1"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D37D48</w:t>
            </w:r>
          </w:p>
        </w:tc>
        <w:tc>
          <w:tcPr>
            <w:tcW w:w="8484" w:type="dxa"/>
            <w:gridSpan w:val="2"/>
            <w:noWrap/>
            <w:hideMark/>
          </w:tcPr>
          <w:p w14:paraId="128CC43B"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Neoplasms of uncertain or unknown behaviour</w:t>
            </w:r>
          </w:p>
        </w:tc>
      </w:tr>
      <w:tr w:rsidR="000C1F4F" w:rsidRPr="000C1F4F" w14:paraId="728EE770"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5C76D0CD"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D50D53</w:t>
            </w:r>
          </w:p>
        </w:tc>
        <w:tc>
          <w:tcPr>
            <w:tcW w:w="8484" w:type="dxa"/>
            <w:gridSpan w:val="2"/>
            <w:noWrap/>
            <w:hideMark/>
          </w:tcPr>
          <w:p w14:paraId="5535230F"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Nutritional anaemias</w:t>
            </w:r>
          </w:p>
        </w:tc>
      </w:tr>
      <w:tr w:rsidR="000C1F4F" w:rsidRPr="000C1F4F" w14:paraId="45CECBA5"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F51B097"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D55D59</w:t>
            </w:r>
          </w:p>
        </w:tc>
        <w:tc>
          <w:tcPr>
            <w:tcW w:w="8484" w:type="dxa"/>
            <w:gridSpan w:val="2"/>
            <w:noWrap/>
            <w:hideMark/>
          </w:tcPr>
          <w:p w14:paraId="2BF08944"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Haemolytic anaemias</w:t>
            </w:r>
          </w:p>
        </w:tc>
      </w:tr>
      <w:tr w:rsidR="000C1F4F" w:rsidRPr="000C1F4F" w14:paraId="2D6C96C6"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9675FE5"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D60D64</w:t>
            </w:r>
          </w:p>
        </w:tc>
        <w:tc>
          <w:tcPr>
            <w:tcW w:w="8484" w:type="dxa"/>
            <w:gridSpan w:val="2"/>
            <w:noWrap/>
            <w:hideMark/>
          </w:tcPr>
          <w:p w14:paraId="7DD69DB1"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Aplastic and other anaemias</w:t>
            </w:r>
          </w:p>
        </w:tc>
      </w:tr>
      <w:tr w:rsidR="000C1F4F" w:rsidRPr="008E362A" w14:paraId="1CA634CA"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39E0ECFE"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D65D69</w:t>
            </w:r>
          </w:p>
        </w:tc>
        <w:tc>
          <w:tcPr>
            <w:tcW w:w="8484" w:type="dxa"/>
            <w:gridSpan w:val="2"/>
            <w:noWrap/>
            <w:hideMark/>
          </w:tcPr>
          <w:p w14:paraId="04F0958F"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Coagulation defects, purpura and other haemorrhagic conditions</w:t>
            </w:r>
          </w:p>
        </w:tc>
      </w:tr>
      <w:tr w:rsidR="000C1F4F" w:rsidRPr="000C1F4F" w14:paraId="4CE7AAD3"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F43F8CF"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E00E07</w:t>
            </w:r>
          </w:p>
        </w:tc>
        <w:tc>
          <w:tcPr>
            <w:tcW w:w="8484" w:type="dxa"/>
            <w:gridSpan w:val="2"/>
            <w:noWrap/>
            <w:hideMark/>
          </w:tcPr>
          <w:p w14:paraId="5DACE55B"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Thyroid gland / Thyroid</w:t>
            </w:r>
          </w:p>
        </w:tc>
      </w:tr>
      <w:tr w:rsidR="000C1F4F" w:rsidRPr="000C1F4F" w14:paraId="6BE878C7"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E914787"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E10E16</w:t>
            </w:r>
          </w:p>
        </w:tc>
        <w:tc>
          <w:tcPr>
            <w:tcW w:w="8484" w:type="dxa"/>
            <w:gridSpan w:val="2"/>
            <w:noWrap/>
            <w:hideMark/>
          </w:tcPr>
          <w:p w14:paraId="5671EEF1"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Pancreas / Insulin, glucagon</w:t>
            </w:r>
          </w:p>
        </w:tc>
      </w:tr>
      <w:tr w:rsidR="000C1F4F" w:rsidRPr="000C1F4F" w14:paraId="55EEDD1D"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506E5357"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E28E30</w:t>
            </w:r>
          </w:p>
        </w:tc>
        <w:tc>
          <w:tcPr>
            <w:tcW w:w="8484" w:type="dxa"/>
            <w:gridSpan w:val="2"/>
            <w:noWrap/>
            <w:hideMark/>
          </w:tcPr>
          <w:p w14:paraId="338023EC"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Gonads / Estrogen, androgens, testosterone, etc</w:t>
            </w:r>
          </w:p>
        </w:tc>
      </w:tr>
      <w:tr w:rsidR="000C1F4F" w:rsidRPr="000C1F4F" w14:paraId="34EEBD3A"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7A58D35"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E79E90</w:t>
            </w:r>
          </w:p>
        </w:tc>
        <w:tc>
          <w:tcPr>
            <w:tcW w:w="8484" w:type="dxa"/>
            <w:gridSpan w:val="2"/>
            <w:noWrap/>
            <w:hideMark/>
          </w:tcPr>
          <w:p w14:paraId="352704C5"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Other metabolic disorders</w:t>
            </w:r>
          </w:p>
        </w:tc>
      </w:tr>
      <w:tr w:rsidR="000C1F4F" w:rsidRPr="008E362A" w14:paraId="427BE09D"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5DE34BC"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F00F09</w:t>
            </w:r>
          </w:p>
        </w:tc>
        <w:tc>
          <w:tcPr>
            <w:tcW w:w="8484" w:type="dxa"/>
            <w:gridSpan w:val="2"/>
            <w:noWrap/>
            <w:hideMark/>
          </w:tcPr>
          <w:p w14:paraId="7899E1E4"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Organic, including symptomatic, mental disorders</w:t>
            </w:r>
          </w:p>
        </w:tc>
      </w:tr>
      <w:tr w:rsidR="000C1F4F" w:rsidRPr="008E362A" w14:paraId="47F3FFAF"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564B962"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F10F19</w:t>
            </w:r>
          </w:p>
        </w:tc>
        <w:tc>
          <w:tcPr>
            <w:tcW w:w="8484" w:type="dxa"/>
            <w:gridSpan w:val="2"/>
            <w:noWrap/>
            <w:hideMark/>
          </w:tcPr>
          <w:p w14:paraId="2428AFFB"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Mental and behavioural disorders due to psychoactive substance use</w:t>
            </w:r>
          </w:p>
        </w:tc>
      </w:tr>
      <w:tr w:rsidR="000C1F4F" w:rsidRPr="008E362A" w14:paraId="2994E1D0"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6A4ABB2"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F20F29</w:t>
            </w:r>
          </w:p>
        </w:tc>
        <w:tc>
          <w:tcPr>
            <w:tcW w:w="8484" w:type="dxa"/>
            <w:gridSpan w:val="2"/>
            <w:noWrap/>
            <w:hideMark/>
          </w:tcPr>
          <w:p w14:paraId="265BC4AD"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Schizophrenia, schizotypal and delusional disorders</w:t>
            </w:r>
          </w:p>
        </w:tc>
      </w:tr>
      <w:tr w:rsidR="000C1F4F" w:rsidRPr="000C1F4F" w14:paraId="22079DB9"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FA7AE8B"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F30F39</w:t>
            </w:r>
          </w:p>
        </w:tc>
        <w:tc>
          <w:tcPr>
            <w:tcW w:w="8484" w:type="dxa"/>
            <w:gridSpan w:val="2"/>
            <w:noWrap/>
            <w:hideMark/>
          </w:tcPr>
          <w:p w14:paraId="6EDFFD5C"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Mood (affective) disorders</w:t>
            </w:r>
          </w:p>
        </w:tc>
      </w:tr>
      <w:tr w:rsidR="000C1F4F" w:rsidRPr="008E362A" w14:paraId="25955028"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93A79E2"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F40F49</w:t>
            </w:r>
          </w:p>
        </w:tc>
        <w:tc>
          <w:tcPr>
            <w:tcW w:w="8484" w:type="dxa"/>
            <w:gridSpan w:val="2"/>
            <w:noWrap/>
            <w:hideMark/>
          </w:tcPr>
          <w:p w14:paraId="73628500"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Neurotic, stress-related and somatoform disorders</w:t>
            </w:r>
          </w:p>
        </w:tc>
      </w:tr>
      <w:tr w:rsidR="000C1F4F" w:rsidRPr="008E362A" w14:paraId="577E78AB"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C30CB72"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F50F59</w:t>
            </w:r>
          </w:p>
        </w:tc>
        <w:tc>
          <w:tcPr>
            <w:tcW w:w="8484" w:type="dxa"/>
            <w:gridSpan w:val="2"/>
            <w:noWrap/>
            <w:hideMark/>
          </w:tcPr>
          <w:p w14:paraId="26F9C81B"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Behavioural syndromes associated with physiological disturbances and physical factors</w:t>
            </w:r>
          </w:p>
        </w:tc>
      </w:tr>
      <w:tr w:rsidR="000C1F4F" w:rsidRPr="008E362A" w14:paraId="56A9F711"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9E80F30"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F60F69</w:t>
            </w:r>
          </w:p>
        </w:tc>
        <w:tc>
          <w:tcPr>
            <w:tcW w:w="8484" w:type="dxa"/>
            <w:gridSpan w:val="2"/>
            <w:noWrap/>
            <w:hideMark/>
          </w:tcPr>
          <w:p w14:paraId="469B80D3"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Disorders of adult personality and behaviour</w:t>
            </w:r>
          </w:p>
        </w:tc>
      </w:tr>
      <w:tr w:rsidR="000C1F4F" w:rsidRPr="000C1F4F" w14:paraId="4AD19235"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51782DE7"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F80F89</w:t>
            </w:r>
          </w:p>
        </w:tc>
        <w:tc>
          <w:tcPr>
            <w:tcW w:w="8484" w:type="dxa"/>
            <w:gridSpan w:val="2"/>
            <w:noWrap/>
            <w:hideMark/>
          </w:tcPr>
          <w:p w14:paraId="0A85D1E2"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Disorders of psychological development</w:t>
            </w:r>
          </w:p>
        </w:tc>
      </w:tr>
      <w:tr w:rsidR="000C1F4F" w:rsidRPr="008E362A" w14:paraId="1B3E699E"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4E2E38D"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F90F98</w:t>
            </w:r>
          </w:p>
        </w:tc>
        <w:tc>
          <w:tcPr>
            <w:tcW w:w="8484" w:type="dxa"/>
            <w:gridSpan w:val="2"/>
            <w:noWrap/>
            <w:hideMark/>
          </w:tcPr>
          <w:p w14:paraId="6F40926E"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Behavioural and emotional disorders with onset usually occurring in childhood and adolescence</w:t>
            </w:r>
          </w:p>
        </w:tc>
      </w:tr>
      <w:tr w:rsidR="000C1F4F" w:rsidRPr="008E362A" w14:paraId="37CE20F3"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4669C5A"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G00G09</w:t>
            </w:r>
          </w:p>
        </w:tc>
        <w:tc>
          <w:tcPr>
            <w:tcW w:w="8484" w:type="dxa"/>
            <w:gridSpan w:val="2"/>
            <w:noWrap/>
            <w:hideMark/>
          </w:tcPr>
          <w:p w14:paraId="2F890D40"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Inflammatory diseases of the central nervous system</w:t>
            </w:r>
          </w:p>
        </w:tc>
      </w:tr>
      <w:tr w:rsidR="000C1F4F" w:rsidRPr="000C1F4F" w14:paraId="30ACCD63"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9D2D5CD"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G20G26</w:t>
            </w:r>
          </w:p>
        </w:tc>
        <w:tc>
          <w:tcPr>
            <w:tcW w:w="8484" w:type="dxa"/>
            <w:gridSpan w:val="2"/>
            <w:noWrap/>
            <w:hideMark/>
          </w:tcPr>
          <w:p w14:paraId="28611D46"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Extrapyramidal and movement disorders</w:t>
            </w:r>
          </w:p>
        </w:tc>
      </w:tr>
      <w:tr w:rsidR="000C1F4F" w:rsidRPr="008E362A" w14:paraId="2E8391ED"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0502953"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G35G37</w:t>
            </w:r>
          </w:p>
        </w:tc>
        <w:tc>
          <w:tcPr>
            <w:tcW w:w="8484" w:type="dxa"/>
            <w:gridSpan w:val="2"/>
            <w:noWrap/>
            <w:hideMark/>
          </w:tcPr>
          <w:p w14:paraId="4E4E579A"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Demyelinating diseases of the central nervous system</w:t>
            </w:r>
          </w:p>
        </w:tc>
      </w:tr>
      <w:tr w:rsidR="000C1F4F" w:rsidRPr="000C1F4F" w14:paraId="3DA52844"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088208EB"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G40G47</w:t>
            </w:r>
          </w:p>
        </w:tc>
        <w:tc>
          <w:tcPr>
            <w:tcW w:w="8484" w:type="dxa"/>
            <w:gridSpan w:val="2"/>
            <w:noWrap/>
            <w:hideMark/>
          </w:tcPr>
          <w:p w14:paraId="7F9CCE59"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Episodic and paroxysmal disorders</w:t>
            </w:r>
          </w:p>
        </w:tc>
      </w:tr>
      <w:tr w:rsidR="000C1F4F" w:rsidRPr="008E362A" w14:paraId="56AC1A80"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04067CF7"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lastRenderedPageBreak/>
              <w:t>G50G59</w:t>
            </w:r>
          </w:p>
        </w:tc>
        <w:tc>
          <w:tcPr>
            <w:tcW w:w="8484" w:type="dxa"/>
            <w:gridSpan w:val="2"/>
            <w:noWrap/>
            <w:hideMark/>
          </w:tcPr>
          <w:p w14:paraId="07F4D56B"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Nerve, nerve root and plexus disorders</w:t>
            </w:r>
          </w:p>
        </w:tc>
      </w:tr>
      <w:tr w:rsidR="000C1F4F" w:rsidRPr="008E362A" w14:paraId="5D7E6EA2"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38175EC"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G60G64</w:t>
            </w:r>
          </w:p>
        </w:tc>
        <w:tc>
          <w:tcPr>
            <w:tcW w:w="8484" w:type="dxa"/>
            <w:gridSpan w:val="2"/>
            <w:noWrap/>
            <w:hideMark/>
          </w:tcPr>
          <w:p w14:paraId="389594E9"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Polyneuropathies and other disorders of the peripheral nervous system</w:t>
            </w:r>
          </w:p>
        </w:tc>
      </w:tr>
      <w:tr w:rsidR="000C1F4F" w:rsidRPr="008E362A" w14:paraId="60A2B011"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56671B56"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G70G73</w:t>
            </w:r>
          </w:p>
        </w:tc>
        <w:tc>
          <w:tcPr>
            <w:tcW w:w="8484" w:type="dxa"/>
            <w:gridSpan w:val="2"/>
            <w:noWrap/>
            <w:hideMark/>
          </w:tcPr>
          <w:p w14:paraId="4C908DF4"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Diseases of myoneural junction and muscle</w:t>
            </w:r>
          </w:p>
        </w:tc>
      </w:tr>
      <w:tr w:rsidR="000C1F4F" w:rsidRPr="008E362A" w14:paraId="75882710"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5C4961A1"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G80G83</w:t>
            </w:r>
          </w:p>
        </w:tc>
        <w:tc>
          <w:tcPr>
            <w:tcW w:w="8484" w:type="dxa"/>
            <w:gridSpan w:val="2"/>
            <w:noWrap/>
            <w:hideMark/>
          </w:tcPr>
          <w:p w14:paraId="06333515"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Cerebral palsy and other paralytic syndromes</w:t>
            </w:r>
          </w:p>
        </w:tc>
      </w:tr>
      <w:tr w:rsidR="000C1F4F" w:rsidRPr="008E362A" w14:paraId="7910E913"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034F991C"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G90G99</w:t>
            </w:r>
          </w:p>
        </w:tc>
        <w:tc>
          <w:tcPr>
            <w:tcW w:w="8484" w:type="dxa"/>
            <w:gridSpan w:val="2"/>
            <w:noWrap/>
            <w:hideMark/>
          </w:tcPr>
          <w:p w14:paraId="1FB18A3C"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Other disorders of the nervous system</w:t>
            </w:r>
          </w:p>
        </w:tc>
      </w:tr>
      <w:tr w:rsidR="000C1F4F" w:rsidRPr="008E362A" w14:paraId="41723368"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8CA8779"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H00H06</w:t>
            </w:r>
          </w:p>
        </w:tc>
        <w:tc>
          <w:tcPr>
            <w:tcW w:w="8484" w:type="dxa"/>
            <w:gridSpan w:val="2"/>
            <w:noWrap/>
            <w:hideMark/>
          </w:tcPr>
          <w:p w14:paraId="2CBBF351"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Disorders of eyelid, lacrimal system and orbit</w:t>
            </w:r>
          </w:p>
        </w:tc>
      </w:tr>
      <w:tr w:rsidR="000C1F4F" w:rsidRPr="000C1F4F" w14:paraId="70B7334E"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552AF379"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H10H13</w:t>
            </w:r>
          </w:p>
        </w:tc>
        <w:tc>
          <w:tcPr>
            <w:tcW w:w="8484" w:type="dxa"/>
            <w:gridSpan w:val="2"/>
            <w:noWrap/>
            <w:hideMark/>
          </w:tcPr>
          <w:p w14:paraId="6BCB48DD"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Disorders of conjunctiva</w:t>
            </w:r>
          </w:p>
        </w:tc>
      </w:tr>
      <w:tr w:rsidR="000C1F4F" w:rsidRPr="008E362A" w14:paraId="4FD359E5"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3F381C44"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H15H19</w:t>
            </w:r>
          </w:p>
        </w:tc>
        <w:tc>
          <w:tcPr>
            <w:tcW w:w="8484" w:type="dxa"/>
            <w:gridSpan w:val="2"/>
            <w:noWrap/>
            <w:hideMark/>
          </w:tcPr>
          <w:p w14:paraId="66A129F4"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Disorders of sclera and cornea</w:t>
            </w:r>
          </w:p>
        </w:tc>
      </w:tr>
      <w:tr w:rsidR="000C1F4F" w:rsidRPr="008E362A" w14:paraId="0C366D31"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A2C8160"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H20H22</w:t>
            </w:r>
          </w:p>
        </w:tc>
        <w:tc>
          <w:tcPr>
            <w:tcW w:w="8484" w:type="dxa"/>
            <w:gridSpan w:val="2"/>
            <w:noWrap/>
            <w:hideMark/>
          </w:tcPr>
          <w:p w14:paraId="186C4241"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Disorders of iris and ciliary body</w:t>
            </w:r>
          </w:p>
        </w:tc>
      </w:tr>
      <w:tr w:rsidR="000C1F4F" w:rsidRPr="008E362A" w14:paraId="4B3510BA"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F079F69"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H30H36</w:t>
            </w:r>
          </w:p>
        </w:tc>
        <w:tc>
          <w:tcPr>
            <w:tcW w:w="8484" w:type="dxa"/>
            <w:gridSpan w:val="2"/>
            <w:noWrap/>
            <w:hideMark/>
          </w:tcPr>
          <w:p w14:paraId="027B31E0"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Disorders of choroid and retina</w:t>
            </w:r>
          </w:p>
        </w:tc>
      </w:tr>
      <w:tr w:rsidR="000C1F4F" w:rsidRPr="008E362A" w14:paraId="04D0AA1E"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DCF8BCF"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H43H45</w:t>
            </w:r>
          </w:p>
        </w:tc>
        <w:tc>
          <w:tcPr>
            <w:tcW w:w="8484" w:type="dxa"/>
            <w:gridSpan w:val="2"/>
            <w:noWrap/>
            <w:hideMark/>
          </w:tcPr>
          <w:p w14:paraId="2E3365AF"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Disorders of vitreous body and globe</w:t>
            </w:r>
          </w:p>
        </w:tc>
      </w:tr>
      <w:tr w:rsidR="000C1F4F" w:rsidRPr="008E362A" w14:paraId="5D6FEA7F"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541AF592"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H53H54</w:t>
            </w:r>
          </w:p>
        </w:tc>
        <w:tc>
          <w:tcPr>
            <w:tcW w:w="8484" w:type="dxa"/>
            <w:gridSpan w:val="2"/>
            <w:noWrap/>
            <w:hideMark/>
          </w:tcPr>
          <w:p w14:paraId="294BD67B"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 xml:space="preserve"> Disorders of ocular muscles, binocular movement, accommodation and refraction</w:t>
            </w:r>
          </w:p>
        </w:tc>
      </w:tr>
      <w:tr w:rsidR="000C1F4F" w:rsidRPr="008E362A" w14:paraId="056AE063"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98404B9"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H55H59</w:t>
            </w:r>
          </w:p>
        </w:tc>
        <w:tc>
          <w:tcPr>
            <w:tcW w:w="8484" w:type="dxa"/>
            <w:gridSpan w:val="2"/>
            <w:noWrap/>
            <w:hideMark/>
          </w:tcPr>
          <w:p w14:paraId="48B5E6FA"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Other disorders of eye and adnexa</w:t>
            </w:r>
          </w:p>
        </w:tc>
      </w:tr>
      <w:tr w:rsidR="000C1F4F" w:rsidRPr="000C1F4F" w14:paraId="2C5DD191"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02EE817"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H60H62</w:t>
            </w:r>
          </w:p>
        </w:tc>
        <w:tc>
          <w:tcPr>
            <w:tcW w:w="8484" w:type="dxa"/>
            <w:gridSpan w:val="2"/>
            <w:noWrap/>
            <w:hideMark/>
          </w:tcPr>
          <w:p w14:paraId="528AA80D"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Diseases of external ear</w:t>
            </w:r>
          </w:p>
        </w:tc>
      </w:tr>
      <w:tr w:rsidR="000C1F4F" w:rsidRPr="008E362A" w14:paraId="70D65A4D"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63D6F29"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H65H75</w:t>
            </w:r>
          </w:p>
        </w:tc>
        <w:tc>
          <w:tcPr>
            <w:tcW w:w="8484" w:type="dxa"/>
            <w:gridSpan w:val="2"/>
            <w:noWrap/>
            <w:hideMark/>
          </w:tcPr>
          <w:p w14:paraId="1DDE3650"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Diseases of middle ear and mastoid</w:t>
            </w:r>
          </w:p>
        </w:tc>
      </w:tr>
      <w:tr w:rsidR="000C1F4F" w:rsidRPr="000C1F4F" w14:paraId="3146A400"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A532180"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H80H83</w:t>
            </w:r>
          </w:p>
        </w:tc>
        <w:tc>
          <w:tcPr>
            <w:tcW w:w="8484" w:type="dxa"/>
            <w:gridSpan w:val="2"/>
            <w:noWrap/>
            <w:hideMark/>
          </w:tcPr>
          <w:p w14:paraId="12390A23"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Diseases of inner ear</w:t>
            </w:r>
          </w:p>
        </w:tc>
      </w:tr>
      <w:tr w:rsidR="000C1F4F" w:rsidRPr="000C1F4F" w14:paraId="189D8358"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E0E722E"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H90H95</w:t>
            </w:r>
          </w:p>
        </w:tc>
        <w:tc>
          <w:tcPr>
            <w:tcW w:w="8484" w:type="dxa"/>
            <w:gridSpan w:val="2"/>
            <w:noWrap/>
            <w:hideMark/>
          </w:tcPr>
          <w:p w14:paraId="0B3F5B48"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Other disorders of ear</w:t>
            </w:r>
          </w:p>
        </w:tc>
      </w:tr>
      <w:tr w:rsidR="000C1F4F" w:rsidRPr="000C1F4F" w14:paraId="4FAEB1B2"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DC4848F"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I10I15</w:t>
            </w:r>
          </w:p>
        </w:tc>
        <w:tc>
          <w:tcPr>
            <w:tcW w:w="8484" w:type="dxa"/>
            <w:gridSpan w:val="2"/>
            <w:noWrap/>
            <w:hideMark/>
          </w:tcPr>
          <w:p w14:paraId="271E47A1"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Hypertensive diseases</w:t>
            </w:r>
          </w:p>
        </w:tc>
      </w:tr>
      <w:tr w:rsidR="000C1F4F" w:rsidRPr="000C1F4F" w14:paraId="22E2A131"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BE3DB11"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I20I25</w:t>
            </w:r>
          </w:p>
        </w:tc>
        <w:tc>
          <w:tcPr>
            <w:tcW w:w="8484" w:type="dxa"/>
            <w:gridSpan w:val="2"/>
            <w:noWrap/>
            <w:hideMark/>
          </w:tcPr>
          <w:p w14:paraId="6F582078"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Ischemic heart diseases</w:t>
            </w:r>
          </w:p>
        </w:tc>
      </w:tr>
      <w:tr w:rsidR="000C1F4F" w:rsidRPr="008E362A" w14:paraId="63329F39"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B4EA98B"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I26I28</w:t>
            </w:r>
          </w:p>
        </w:tc>
        <w:tc>
          <w:tcPr>
            <w:tcW w:w="8484" w:type="dxa"/>
            <w:gridSpan w:val="2"/>
            <w:noWrap/>
            <w:hideMark/>
          </w:tcPr>
          <w:p w14:paraId="43CB240B"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Pulmonary heart disease and diseases of pulmonary circulation</w:t>
            </w:r>
          </w:p>
        </w:tc>
      </w:tr>
      <w:tr w:rsidR="000C1F4F" w:rsidRPr="008E362A" w14:paraId="205AED9A"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81336C2"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I30I52</w:t>
            </w:r>
          </w:p>
        </w:tc>
        <w:tc>
          <w:tcPr>
            <w:tcW w:w="8484" w:type="dxa"/>
            <w:gridSpan w:val="2"/>
            <w:noWrap/>
            <w:hideMark/>
          </w:tcPr>
          <w:p w14:paraId="04287D48"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Other forms of heart disease</w:t>
            </w:r>
          </w:p>
        </w:tc>
      </w:tr>
      <w:tr w:rsidR="000C1F4F" w:rsidRPr="000C1F4F" w14:paraId="5E616F9F"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5B59FA7F"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I60I69</w:t>
            </w:r>
          </w:p>
        </w:tc>
        <w:tc>
          <w:tcPr>
            <w:tcW w:w="8484" w:type="dxa"/>
            <w:gridSpan w:val="2"/>
            <w:noWrap/>
            <w:hideMark/>
          </w:tcPr>
          <w:p w14:paraId="25EBB3E7"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Cerebrovascular diseases</w:t>
            </w:r>
          </w:p>
        </w:tc>
      </w:tr>
      <w:tr w:rsidR="000C1F4F" w:rsidRPr="008E362A" w14:paraId="50CAFC6E"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5B040445"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I70I79</w:t>
            </w:r>
          </w:p>
        </w:tc>
        <w:tc>
          <w:tcPr>
            <w:tcW w:w="8484" w:type="dxa"/>
            <w:gridSpan w:val="2"/>
            <w:noWrap/>
            <w:hideMark/>
          </w:tcPr>
          <w:p w14:paraId="4424BF48"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Diseases of arteries, arterioles and capillaries</w:t>
            </w:r>
          </w:p>
        </w:tc>
      </w:tr>
      <w:tr w:rsidR="000C1F4F" w:rsidRPr="008E362A" w14:paraId="6EC069FD"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642E88C"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I80I89</w:t>
            </w:r>
          </w:p>
        </w:tc>
        <w:tc>
          <w:tcPr>
            <w:tcW w:w="8484" w:type="dxa"/>
            <w:gridSpan w:val="2"/>
            <w:noWrap/>
            <w:hideMark/>
          </w:tcPr>
          <w:p w14:paraId="1FDFFB82"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Diseases of veins, lymphatic vessels and lymph nodes, not elsewhere classified</w:t>
            </w:r>
          </w:p>
        </w:tc>
      </w:tr>
      <w:tr w:rsidR="000C1F4F" w:rsidRPr="008E362A" w14:paraId="1168D11D"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6AEFEDA"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I95I99</w:t>
            </w:r>
          </w:p>
        </w:tc>
        <w:tc>
          <w:tcPr>
            <w:tcW w:w="8484" w:type="dxa"/>
            <w:gridSpan w:val="2"/>
            <w:noWrap/>
            <w:hideMark/>
          </w:tcPr>
          <w:p w14:paraId="6273D96B"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Other and unspecified disorders of the circulatory system</w:t>
            </w:r>
          </w:p>
        </w:tc>
      </w:tr>
      <w:tr w:rsidR="000C1F4F" w:rsidRPr="000C1F4F" w14:paraId="4DCF36E4"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D2B06F2"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J00J06</w:t>
            </w:r>
          </w:p>
        </w:tc>
        <w:tc>
          <w:tcPr>
            <w:tcW w:w="8484" w:type="dxa"/>
            <w:gridSpan w:val="2"/>
            <w:noWrap/>
            <w:hideMark/>
          </w:tcPr>
          <w:p w14:paraId="76B661B4"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Acute upper respiratory infections</w:t>
            </w:r>
          </w:p>
        </w:tc>
      </w:tr>
      <w:tr w:rsidR="000C1F4F" w:rsidRPr="000C1F4F" w14:paraId="589FB745"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179B673"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J09J18</w:t>
            </w:r>
          </w:p>
        </w:tc>
        <w:tc>
          <w:tcPr>
            <w:tcW w:w="8484" w:type="dxa"/>
            <w:gridSpan w:val="2"/>
            <w:noWrap/>
            <w:hideMark/>
          </w:tcPr>
          <w:p w14:paraId="555929A6"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Influenza and Pneumonia</w:t>
            </w:r>
          </w:p>
        </w:tc>
      </w:tr>
      <w:tr w:rsidR="000C1F4F" w:rsidRPr="008E362A" w14:paraId="531C209D"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0246B679"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J20J22</w:t>
            </w:r>
          </w:p>
        </w:tc>
        <w:tc>
          <w:tcPr>
            <w:tcW w:w="8484" w:type="dxa"/>
            <w:gridSpan w:val="2"/>
            <w:noWrap/>
            <w:hideMark/>
          </w:tcPr>
          <w:p w14:paraId="6DD302B7"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Other acute lower respiratory infections</w:t>
            </w:r>
          </w:p>
        </w:tc>
      </w:tr>
      <w:tr w:rsidR="000C1F4F" w:rsidRPr="008E362A" w14:paraId="2BC1BAEB"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91C1ACC"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J30J39</w:t>
            </w:r>
          </w:p>
        </w:tc>
        <w:tc>
          <w:tcPr>
            <w:tcW w:w="8484" w:type="dxa"/>
            <w:gridSpan w:val="2"/>
            <w:noWrap/>
            <w:hideMark/>
          </w:tcPr>
          <w:p w14:paraId="463CF64D"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Other diseases of upper respiratory tract</w:t>
            </w:r>
          </w:p>
        </w:tc>
      </w:tr>
      <w:tr w:rsidR="000C1F4F" w:rsidRPr="000C1F4F" w14:paraId="5F63B202"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22CA622"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J40J47</w:t>
            </w:r>
          </w:p>
        </w:tc>
        <w:tc>
          <w:tcPr>
            <w:tcW w:w="8484" w:type="dxa"/>
            <w:gridSpan w:val="2"/>
            <w:noWrap/>
            <w:hideMark/>
          </w:tcPr>
          <w:p w14:paraId="45EE3B3F"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Chronic lower respiratory diseases</w:t>
            </w:r>
          </w:p>
        </w:tc>
      </w:tr>
      <w:tr w:rsidR="000C1F4F" w:rsidRPr="008E362A" w14:paraId="14D2E75A"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0EB0D391"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J60J70</w:t>
            </w:r>
          </w:p>
        </w:tc>
        <w:tc>
          <w:tcPr>
            <w:tcW w:w="8484" w:type="dxa"/>
            <w:gridSpan w:val="2"/>
            <w:noWrap/>
            <w:hideMark/>
          </w:tcPr>
          <w:p w14:paraId="30B1172D"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Lung diseases due to external agents</w:t>
            </w:r>
          </w:p>
        </w:tc>
      </w:tr>
      <w:tr w:rsidR="000C1F4F" w:rsidRPr="008E362A" w14:paraId="33BFFB94"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A021E8A"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J80J84</w:t>
            </w:r>
          </w:p>
        </w:tc>
        <w:tc>
          <w:tcPr>
            <w:tcW w:w="8484" w:type="dxa"/>
            <w:gridSpan w:val="2"/>
            <w:noWrap/>
            <w:hideMark/>
          </w:tcPr>
          <w:p w14:paraId="3E5A92D6"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Other respiratory diseases principally affecting the interstitium</w:t>
            </w:r>
          </w:p>
        </w:tc>
      </w:tr>
      <w:tr w:rsidR="000C1F4F" w:rsidRPr="000C1F4F" w14:paraId="3E717FBB"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7231C74"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J90J94</w:t>
            </w:r>
          </w:p>
        </w:tc>
        <w:tc>
          <w:tcPr>
            <w:tcW w:w="8484" w:type="dxa"/>
            <w:gridSpan w:val="2"/>
            <w:noWrap/>
            <w:hideMark/>
          </w:tcPr>
          <w:p w14:paraId="4907771D"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Other diseases of pleura</w:t>
            </w:r>
          </w:p>
        </w:tc>
      </w:tr>
      <w:tr w:rsidR="000C1F4F" w:rsidRPr="008E362A" w14:paraId="7A002026"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33E0DDD"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J95J99</w:t>
            </w:r>
          </w:p>
        </w:tc>
        <w:tc>
          <w:tcPr>
            <w:tcW w:w="8484" w:type="dxa"/>
            <w:gridSpan w:val="2"/>
            <w:noWrap/>
            <w:hideMark/>
          </w:tcPr>
          <w:p w14:paraId="1EA6A477"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Other diseases of the respiratory system</w:t>
            </w:r>
          </w:p>
        </w:tc>
      </w:tr>
      <w:tr w:rsidR="000C1F4F" w:rsidRPr="008E362A" w14:paraId="0B809C8A"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1DE5779"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K00K14</w:t>
            </w:r>
          </w:p>
        </w:tc>
        <w:tc>
          <w:tcPr>
            <w:tcW w:w="8484" w:type="dxa"/>
            <w:gridSpan w:val="2"/>
            <w:noWrap/>
            <w:hideMark/>
          </w:tcPr>
          <w:p w14:paraId="79CEBEF4"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Diseases of oral cavity, salivary glands and jaws</w:t>
            </w:r>
          </w:p>
        </w:tc>
      </w:tr>
      <w:tr w:rsidR="000C1F4F" w:rsidRPr="008E362A" w14:paraId="627F271E"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0022463"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K20K31</w:t>
            </w:r>
          </w:p>
        </w:tc>
        <w:tc>
          <w:tcPr>
            <w:tcW w:w="8484" w:type="dxa"/>
            <w:gridSpan w:val="2"/>
            <w:noWrap/>
            <w:hideMark/>
          </w:tcPr>
          <w:p w14:paraId="4D3AC407"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Diseases of oesophagus, stomach and duodenum</w:t>
            </w:r>
          </w:p>
        </w:tc>
      </w:tr>
      <w:tr w:rsidR="000C1F4F" w:rsidRPr="000C1F4F" w14:paraId="16B891FD"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30C9D4A"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K35K38</w:t>
            </w:r>
          </w:p>
        </w:tc>
        <w:tc>
          <w:tcPr>
            <w:tcW w:w="8484" w:type="dxa"/>
            <w:gridSpan w:val="2"/>
            <w:noWrap/>
            <w:hideMark/>
          </w:tcPr>
          <w:p w14:paraId="55FAEF3B"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Diseases of appendix</w:t>
            </w:r>
          </w:p>
        </w:tc>
      </w:tr>
      <w:tr w:rsidR="000C1F4F" w:rsidRPr="000C1F4F" w14:paraId="62EA6A5F"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1C54B6F"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K40K46</w:t>
            </w:r>
          </w:p>
        </w:tc>
        <w:tc>
          <w:tcPr>
            <w:tcW w:w="4242" w:type="dxa"/>
            <w:noWrap/>
            <w:hideMark/>
          </w:tcPr>
          <w:p w14:paraId="48EBC7D3"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Hernia</w:t>
            </w:r>
          </w:p>
        </w:tc>
        <w:tc>
          <w:tcPr>
            <w:tcW w:w="4242" w:type="dxa"/>
            <w:noWrap/>
            <w:hideMark/>
          </w:tcPr>
          <w:p w14:paraId="185DD614"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p>
        </w:tc>
      </w:tr>
      <w:tr w:rsidR="000C1F4F" w:rsidRPr="000C1F4F" w14:paraId="29193E14"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55FFA5B0"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K50K52</w:t>
            </w:r>
          </w:p>
        </w:tc>
        <w:tc>
          <w:tcPr>
            <w:tcW w:w="8484" w:type="dxa"/>
            <w:gridSpan w:val="2"/>
            <w:noWrap/>
            <w:hideMark/>
          </w:tcPr>
          <w:p w14:paraId="4B842F59"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Noninfective enteritis and colitis</w:t>
            </w:r>
          </w:p>
        </w:tc>
      </w:tr>
      <w:tr w:rsidR="000C1F4F" w:rsidRPr="000C1F4F" w14:paraId="6D249DAB"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86F4973"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K55K64</w:t>
            </w:r>
          </w:p>
        </w:tc>
        <w:tc>
          <w:tcPr>
            <w:tcW w:w="8484" w:type="dxa"/>
            <w:gridSpan w:val="2"/>
            <w:noWrap/>
            <w:hideMark/>
          </w:tcPr>
          <w:p w14:paraId="7061A5DA"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Other diseases of intestines</w:t>
            </w:r>
          </w:p>
        </w:tc>
      </w:tr>
      <w:tr w:rsidR="000C1F4F" w:rsidRPr="000C1F4F" w14:paraId="7A3A2CE8"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30C1A487"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K65K67</w:t>
            </w:r>
          </w:p>
        </w:tc>
        <w:tc>
          <w:tcPr>
            <w:tcW w:w="8484" w:type="dxa"/>
            <w:gridSpan w:val="2"/>
            <w:noWrap/>
            <w:hideMark/>
          </w:tcPr>
          <w:p w14:paraId="0FD1AF2E"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Diseases of peritoneum</w:t>
            </w:r>
          </w:p>
        </w:tc>
      </w:tr>
      <w:tr w:rsidR="000C1F4F" w:rsidRPr="000C1F4F" w14:paraId="4F7BA812"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4D9BF23"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K70K77</w:t>
            </w:r>
          </w:p>
        </w:tc>
        <w:tc>
          <w:tcPr>
            <w:tcW w:w="8484" w:type="dxa"/>
            <w:gridSpan w:val="2"/>
            <w:noWrap/>
            <w:hideMark/>
          </w:tcPr>
          <w:p w14:paraId="5086691F"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Diseases of liver</w:t>
            </w:r>
          </w:p>
        </w:tc>
      </w:tr>
      <w:tr w:rsidR="000C1F4F" w:rsidRPr="008E362A" w14:paraId="24065ADB"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55EBA443"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K80K87</w:t>
            </w:r>
          </w:p>
        </w:tc>
        <w:tc>
          <w:tcPr>
            <w:tcW w:w="8484" w:type="dxa"/>
            <w:gridSpan w:val="2"/>
            <w:noWrap/>
            <w:hideMark/>
          </w:tcPr>
          <w:p w14:paraId="4C09837E"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Disorders of gallbladder, biliary tract and pancreas</w:t>
            </w:r>
          </w:p>
        </w:tc>
      </w:tr>
      <w:tr w:rsidR="000C1F4F" w:rsidRPr="008E362A" w14:paraId="5908F6F8"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2D8547C"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K90K93</w:t>
            </w:r>
          </w:p>
        </w:tc>
        <w:tc>
          <w:tcPr>
            <w:tcW w:w="8484" w:type="dxa"/>
            <w:gridSpan w:val="2"/>
            <w:noWrap/>
            <w:hideMark/>
          </w:tcPr>
          <w:p w14:paraId="602DD31D"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Other diseases of the digestive system</w:t>
            </w:r>
          </w:p>
        </w:tc>
      </w:tr>
      <w:tr w:rsidR="000C1F4F" w:rsidRPr="008E362A" w14:paraId="3E0C3A91"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7F77677"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L00L08</w:t>
            </w:r>
          </w:p>
        </w:tc>
        <w:tc>
          <w:tcPr>
            <w:tcW w:w="8484" w:type="dxa"/>
            <w:gridSpan w:val="2"/>
            <w:noWrap/>
            <w:hideMark/>
          </w:tcPr>
          <w:p w14:paraId="7B887C0F"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Infections of the skin and subcutaneous tissue</w:t>
            </w:r>
          </w:p>
        </w:tc>
      </w:tr>
      <w:tr w:rsidR="000C1F4F" w:rsidRPr="000C1F4F" w14:paraId="547929AC"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62FB4E6"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lastRenderedPageBreak/>
              <w:t>L10L14</w:t>
            </w:r>
          </w:p>
        </w:tc>
        <w:tc>
          <w:tcPr>
            <w:tcW w:w="8484" w:type="dxa"/>
            <w:gridSpan w:val="2"/>
            <w:noWrap/>
            <w:hideMark/>
          </w:tcPr>
          <w:p w14:paraId="1F3BCECC"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Bullous disorders</w:t>
            </w:r>
          </w:p>
        </w:tc>
      </w:tr>
      <w:tr w:rsidR="000C1F4F" w:rsidRPr="000C1F4F" w14:paraId="4AC4DBA6"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74082DA"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L20L30</w:t>
            </w:r>
          </w:p>
        </w:tc>
        <w:tc>
          <w:tcPr>
            <w:tcW w:w="8484" w:type="dxa"/>
            <w:gridSpan w:val="2"/>
            <w:noWrap/>
            <w:hideMark/>
          </w:tcPr>
          <w:p w14:paraId="10E8B718"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Dermatitis and eczema</w:t>
            </w:r>
          </w:p>
        </w:tc>
      </w:tr>
      <w:tr w:rsidR="000C1F4F" w:rsidRPr="000C1F4F" w14:paraId="123BB716"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D2B5787"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L40L45</w:t>
            </w:r>
          </w:p>
        </w:tc>
        <w:tc>
          <w:tcPr>
            <w:tcW w:w="8484" w:type="dxa"/>
            <w:gridSpan w:val="2"/>
            <w:noWrap/>
            <w:hideMark/>
          </w:tcPr>
          <w:p w14:paraId="02C9C949"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Papulosquamous disorders</w:t>
            </w:r>
          </w:p>
        </w:tc>
      </w:tr>
      <w:tr w:rsidR="000C1F4F" w:rsidRPr="000C1F4F" w14:paraId="7B091EFF"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7EB7800"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L50L54</w:t>
            </w:r>
          </w:p>
        </w:tc>
        <w:tc>
          <w:tcPr>
            <w:tcW w:w="8484" w:type="dxa"/>
            <w:gridSpan w:val="2"/>
            <w:noWrap/>
            <w:hideMark/>
          </w:tcPr>
          <w:p w14:paraId="3F675A89"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Urticaria and erythema</w:t>
            </w:r>
          </w:p>
        </w:tc>
      </w:tr>
      <w:tr w:rsidR="000C1F4F" w:rsidRPr="008E362A" w14:paraId="4395DC35"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7F705B0"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L55L59</w:t>
            </w:r>
          </w:p>
        </w:tc>
        <w:tc>
          <w:tcPr>
            <w:tcW w:w="8484" w:type="dxa"/>
            <w:gridSpan w:val="2"/>
            <w:noWrap/>
            <w:hideMark/>
          </w:tcPr>
          <w:p w14:paraId="4AA1FDE3"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Radiation-related disorders of the skin and subcutaneous tissue</w:t>
            </w:r>
          </w:p>
        </w:tc>
      </w:tr>
      <w:tr w:rsidR="000C1F4F" w:rsidRPr="008E362A" w14:paraId="314478B2"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72DC8EC"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L60L75</w:t>
            </w:r>
          </w:p>
        </w:tc>
        <w:tc>
          <w:tcPr>
            <w:tcW w:w="8484" w:type="dxa"/>
            <w:gridSpan w:val="2"/>
            <w:noWrap/>
            <w:hideMark/>
          </w:tcPr>
          <w:p w14:paraId="6282069C"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Radiation-related disorders of the skin and subcutaneous tissue</w:t>
            </w:r>
          </w:p>
        </w:tc>
      </w:tr>
      <w:tr w:rsidR="000C1F4F" w:rsidRPr="008E362A" w14:paraId="4E8649F5"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AD71F54"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L80L99</w:t>
            </w:r>
          </w:p>
        </w:tc>
        <w:tc>
          <w:tcPr>
            <w:tcW w:w="8484" w:type="dxa"/>
            <w:gridSpan w:val="2"/>
            <w:noWrap/>
            <w:hideMark/>
          </w:tcPr>
          <w:p w14:paraId="19D9AB1D"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Other disorders of the skin and subcutaneous tissue</w:t>
            </w:r>
          </w:p>
        </w:tc>
      </w:tr>
      <w:tr w:rsidR="000C1F4F" w:rsidRPr="000C1F4F" w14:paraId="19FCCE67"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0D00E5A"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M00M25</w:t>
            </w:r>
          </w:p>
        </w:tc>
        <w:tc>
          <w:tcPr>
            <w:tcW w:w="8484" w:type="dxa"/>
            <w:gridSpan w:val="2"/>
            <w:noWrap/>
            <w:hideMark/>
          </w:tcPr>
          <w:p w14:paraId="18C35E13"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Arthropathies</w:t>
            </w:r>
          </w:p>
        </w:tc>
      </w:tr>
      <w:tr w:rsidR="000C1F4F" w:rsidRPr="000C1F4F" w14:paraId="26E8AB55"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287148C"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M40M54</w:t>
            </w:r>
          </w:p>
        </w:tc>
        <w:tc>
          <w:tcPr>
            <w:tcW w:w="8484" w:type="dxa"/>
            <w:gridSpan w:val="2"/>
            <w:noWrap/>
            <w:hideMark/>
          </w:tcPr>
          <w:p w14:paraId="632BEB24"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Dorsopathies</w:t>
            </w:r>
          </w:p>
        </w:tc>
      </w:tr>
      <w:tr w:rsidR="000C1F4F" w:rsidRPr="000C1F4F" w14:paraId="4F24FD7C"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7019AE5"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M60M79</w:t>
            </w:r>
          </w:p>
        </w:tc>
        <w:tc>
          <w:tcPr>
            <w:tcW w:w="8484" w:type="dxa"/>
            <w:gridSpan w:val="2"/>
            <w:noWrap/>
            <w:hideMark/>
          </w:tcPr>
          <w:p w14:paraId="23A013D1"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Soft tissue disorders</w:t>
            </w:r>
          </w:p>
        </w:tc>
      </w:tr>
      <w:tr w:rsidR="000C1F4F" w:rsidRPr="000C1F4F" w14:paraId="5772BFD7"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591D5F9A"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M80M90</w:t>
            </w:r>
          </w:p>
        </w:tc>
        <w:tc>
          <w:tcPr>
            <w:tcW w:w="8484" w:type="dxa"/>
            <w:gridSpan w:val="2"/>
            <w:noWrap/>
            <w:hideMark/>
          </w:tcPr>
          <w:p w14:paraId="56E983D1"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Osteopathies</w:t>
            </w:r>
          </w:p>
        </w:tc>
      </w:tr>
      <w:tr w:rsidR="000C1F4F" w:rsidRPr="000C1F4F" w14:paraId="6A7FF185"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8368FEB"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M91M94</w:t>
            </w:r>
          </w:p>
        </w:tc>
        <w:tc>
          <w:tcPr>
            <w:tcW w:w="8484" w:type="dxa"/>
            <w:gridSpan w:val="2"/>
            <w:noWrap/>
            <w:hideMark/>
          </w:tcPr>
          <w:p w14:paraId="103C0B08"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Chondropathies</w:t>
            </w:r>
          </w:p>
        </w:tc>
      </w:tr>
      <w:tr w:rsidR="000C1F4F" w:rsidRPr="008E362A" w14:paraId="13F2075E"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9615D53"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M95M99</w:t>
            </w:r>
          </w:p>
        </w:tc>
        <w:tc>
          <w:tcPr>
            <w:tcW w:w="8484" w:type="dxa"/>
            <w:gridSpan w:val="2"/>
            <w:noWrap/>
            <w:hideMark/>
          </w:tcPr>
          <w:p w14:paraId="3746031C"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Other disorders of the musculoskeletal system and connective tissue</w:t>
            </w:r>
          </w:p>
        </w:tc>
      </w:tr>
      <w:tr w:rsidR="000C1F4F" w:rsidRPr="000C1F4F" w14:paraId="23BBA7D7"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7114B7C"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N00N08</w:t>
            </w:r>
          </w:p>
        </w:tc>
        <w:tc>
          <w:tcPr>
            <w:tcW w:w="8484" w:type="dxa"/>
            <w:gridSpan w:val="2"/>
            <w:noWrap/>
            <w:hideMark/>
          </w:tcPr>
          <w:p w14:paraId="7D899F92"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Glomerular diseases</w:t>
            </w:r>
          </w:p>
        </w:tc>
      </w:tr>
      <w:tr w:rsidR="000C1F4F" w:rsidRPr="000C1F4F" w14:paraId="74D75495"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122AA0F"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N10N16</w:t>
            </w:r>
          </w:p>
        </w:tc>
        <w:tc>
          <w:tcPr>
            <w:tcW w:w="8484" w:type="dxa"/>
            <w:gridSpan w:val="2"/>
            <w:noWrap/>
            <w:hideMark/>
          </w:tcPr>
          <w:p w14:paraId="59E3022D"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Renal tubulo-interstitial diseases</w:t>
            </w:r>
          </w:p>
        </w:tc>
      </w:tr>
      <w:tr w:rsidR="000C1F4F" w:rsidRPr="000C1F4F" w14:paraId="3DB71CC5"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03D4C8FA"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N17N19</w:t>
            </w:r>
          </w:p>
        </w:tc>
        <w:tc>
          <w:tcPr>
            <w:tcW w:w="8484" w:type="dxa"/>
            <w:gridSpan w:val="2"/>
            <w:noWrap/>
            <w:hideMark/>
          </w:tcPr>
          <w:p w14:paraId="152EC137"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Renal failure</w:t>
            </w:r>
          </w:p>
        </w:tc>
      </w:tr>
      <w:tr w:rsidR="000C1F4F" w:rsidRPr="000C1F4F" w14:paraId="1CB8DEB3"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34D7777A"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N20N23</w:t>
            </w:r>
          </w:p>
        </w:tc>
        <w:tc>
          <w:tcPr>
            <w:tcW w:w="4242" w:type="dxa"/>
            <w:noWrap/>
            <w:hideMark/>
          </w:tcPr>
          <w:p w14:paraId="490F48DB"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Urolithiasis</w:t>
            </w:r>
          </w:p>
        </w:tc>
        <w:tc>
          <w:tcPr>
            <w:tcW w:w="4242" w:type="dxa"/>
            <w:noWrap/>
            <w:hideMark/>
          </w:tcPr>
          <w:p w14:paraId="6A6AC29D"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p>
        </w:tc>
      </w:tr>
      <w:tr w:rsidR="000C1F4F" w:rsidRPr="008E362A" w14:paraId="5F9C7C51"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B442E73"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N30N39</w:t>
            </w:r>
          </w:p>
        </w:tc>
        <w:tc>
          <w:tcPr>
            <w:tcW w:w="8484" w:type="dxa"/>
            <w:gridSpan w:val="2"/>
            <w:noWrap/>
            <w:hideMark/>
          </w:tcPr>
          <w:p w14:paraId="01B6DF2D"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Other diseases of urinary system</w:t>
            </w:r>
          </w:p>
        </w:tc>
      </w:tr>
      <w:tr w:rsidR="000C1F4F" w:rsidRPr="008E362A" w14:paraId="6AAB284B"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15A0766"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N40N51</w:t>
            </w:r>
          </w:p>
        </w:tc>
        <w:tc>
          <w:tcPr>
            <w:tcW w:w="8484" w:type="dxa"/>
            <w:gridSpan w:val="2"/>
            <w:noWrap/>
            <w:hideMark/>
          </w:tcPr>
          <w:p w14:paraId="45DA819C"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Diseases of male genital organs</w:t>
            </w:r>
          </w:p>
        </w:tc>
      </w:tr>
      <w:tr w:rsidR="000C1F4F" w:rsidRPr="000C1F4F" w14:paraId="7DA23693"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335B14B"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N60N64</w:t>
            </w:r>
          </w:p>
        </w:tc>
        <w:tc>
          <w:tcPr>
            <w:tcW w:w="8484" w:type="dxa"/>
            <w:gridSpan w:val="2"/>
            <w:noWrap/>
            <w:hideMark/>
          </w:tcPr>
          <w:p w14:paraId="7DDF613C"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Disorders of breast</w:t>
            </w:r>
          </w:p>
        </w:tc>
      </w:tr>
      <w:tr w:rsidR="000C1F4F" w:rsidRPr="008E362A" w14:paraId="66DCC681"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5314A84D"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N70N77</w:t>
            </w:r>
          </w:p>
        </w:tc>
        <w:tc>
          <w:tcPr>
            <w:tcW w:w="8484" w:type="dxa"/>
            <w:gridSpan w:val="2"/>
            <w:noWrap/>
            <w:hideMark/>
          </w:tcPr>
          <w:p w14:paraId="5A897866"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Inflammatory diseases of female pelvic organs</w:t>
            </w:r>
          </w:p>
        </w:tc>
      </w:tr>
      <w:tr w:rsidR="000C1F4F" w:rsidRPr="008E362A" w14:paraId="10735981"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3EB840D1"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N80N98</w:t>
            </w:r>
          </w:p>
        </w:tc>
        <w:tc>
          <w:tcPr>
            <w:tcW w:w="8484" w:type="dxa"/>
            <w:gridSpan w:val="2"/>
            <w:noWrap/>
            <w:hideMark/>
          </w:tcPr>
          <w:p w14:paraId="3D9B78BA"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Noninflammatory disorders of female genital tract</w:t>
            </w:r>
          </w:p>
        </w:tc>
      </w:tr>
      <w:tr w:rsidR="000C1F4F" w:rsidRPr="000C1F4F" w14:paraId="29C4B08D"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343D6CDA"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O00O08</w:t>
            </w:r>
          </w:p>
        </w:tc>
        <w:tc>
          <w:tcPr>
            <w:tcW w:w="8484" w:type="dxa"/>
            <w:gridSpan w:val="2"/>
            <w:noWrap/>
            <w:hideMark/>
          </w:tcPr>
          <w:p w14:paraId="3385A982"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Pregnancy with abortive outcome</w:t>
            </w:r>
          </w:p>
        </w:tc>
      </w:tr>
      <w:tr w:rsidR="000C1F4F" w:rsidRPr="008E362A" w14:paraId="5D895C54"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9B5E045"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O20O29</w:t>
            </w:r>
          </w:p>
        </w:tc>
        <w:tc>
          <w:tcPr>
            <w:tcW w:w="8484" w:type="dxa"/>
            <w:gridSpan w:val="2"/>
            <w:noWrap/>
            <w:hideMark/>
          </w:tcPr>
          <w:p w14:paraId="5169A91B"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Other maternal disorders predominantly related to pregnancy</w:t>
            </w:r>
          </w:p>
        </w:tc>
      </w:tr>
      <w:tr w:rsidR="000C1F4F" w:rsidRPr="008E362A" w14:paraId="455950C5"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9A7F574"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O30O48</w:t>
            </w:r>
          </w:p>
        </w:tc>
        <w:tc>
          <w:tcPr>
            <w:tcW w:w="8484" w:type="dxa"/>
            <w:gridSpan w:val="2"/>
            <w:noWrap/>
            <w:hideMark/>
          </w:tcPr>
          <w:p w14:paraId="3B805568"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Maternal care related to the fetus and amniotic cavity and possible delivery problems</w:t>
            </w:r>
          </w:p>
        </w:tc>
      </w:tr>
      <w:tr w:rsidR="000C1F4F" w:rsidRPr="008E362A" w14:paraId="658DA71C"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0E7C752E"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O60O75</w:t>
            </w:r>
          </w:p>
        </w:tc>
        <w:tc>
          <w:tcPr>
            <w:tcW w:w="8484" w:type="dxa"/>
            <w:gridSpan w:val="2"/>
            <w:noWrap/>
            <w:hideMark/>
          </w:tcPr>
          <w:p w14:paraId="57A8107E"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Complications of labour and delivery</w:t>
            </w:r>
          </w:p>
        </w:tc>
      </w:tr>
      <w:tr w:rsidR="000C1F4F" w:rsidRPr="008E362A" w14:paraId="0FD19816"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0650C840"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O85O92</w:t>
            </w:r>
          </w:p>
        </w:tc>
        <w:tc>
          <w:tcPr>
            <w:tcW w:w="8484" w:type="dxa"/>
            <w:gridSpan w:val="2"/>
            <w:noWrap/>
            <w:hideMark/>
          </w:tcPr>
          <w:p w14:paraId="641EE204"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Complications predominantly related to the puerperium</w:t>
            </w:r>
          </w:p>
        </w:tc>
      </w:tr>
      <w:tr w:rsidR="000C1F4F" w:rsidRPr="008E362A" w14:paraId="2F65B357"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6C4354B"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P75P78</w:t>
            </w:r>
          </w:p>
        </w:tc>
        <w:tc>
          <w:tcPr>
            <w:tcW w:w="8484" w:type="dxa"/>
            <w:gridSpan w:val="2"/>
            <w:noWrap/>
            <w:hideMark/>
          </w:tcPr>
          <w:p w14:paraId="603D6C04"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Digestive system disorders of fetus and newborn</w:t>
            </w:r>
          </w:p>
        </w:tc>
      </w:tr>
      <w:tr w:rsidR="000C1F4F" w:rsidRPr="008E362A" w14:paraId="65062B16"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B9DDAEF"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P80P83</w:t>
            </w:r>
          </w:p>
        </w:tc>
        <w:tc>
          <w:tcPr>
            <w:tcW w:w="8484" w:type="dxa"/>
            <w:gridSpan w:val="2"/>
            <w:noWrap/>
            <w:hideMark/>
          </w:tcPr>
          <w:p w14:paraId="21E4E3DC"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Conditions involving the integument and temperature regulation of fetus and newborn</w:t>
            </w:r>
          </w:p>
        </w:tc>
      </w:tr>
      <w:tr w:rsidR="000C1F4F" w:rsidRPr="008E362A" w14:paraId="3AD1EF1D"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38AFE5BA"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P90P96</w:t>
            </w:r>
          </w:p>
        </w:tc>
        <w:tc>
          <w:tcPr>
            <w:tcW w:w="8484" w:type="dxa"/>
            <w:gridSpan w:val="2"/>
            <w:noWrap/>
            <w:hideMark/>
          </w:tcPr>
          <w:p w14:paraId="4F0CD847"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Other disorders originating in the perinatal period</w:t>
            </w:r>
          </w:p>
        </w:tc>
      </w:tr>
      <w:tr w:rsidR="000C1F4F" w:rsidRPr="000C1F4F" w14:paraId="71C4561F"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2CF04C7"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Q50Q56</w:t>
            </w:r>
          </w:p>
        </w:tc>
        <w:tc>
          <w:tcPr>
            <w:tcW w:w="8484" w:type="dxa"/>
            <w:gridSpan w:val="2"/>
            <w:noWrap/>
            <w:hideMark/>
          </w:tcPr>
          <w:p w14:paraId="7AF70694"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Congenital malformations and deformations : genital organs</w:t>
            </w:r>
          </w:p>
        </w:tc>
      </w:tr>
      <w:tr w:rsidR="000C1F4F" w:rsidRPr="000C1F4F" w14:paraId="514DA164"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428D4EE"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R00R09</w:t>
            </w:r>
          </w:p>
        </w:tc>
        <w:tc>
          <w:tcPr>
            <w:tcW w:w="8484" w:type="dxa"/>
            <w:gridSpan w:val="2"/>
            <w:noWrap/>
            <w:hideMark/>
          </w:tcPr>
          <w:p w14:paraId="7D7D7710"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Circulatory and respiratory systems</w:t>
            </w:r>
          </w:p>
        </w:tc>
      </w:tr>
      <w:tr w:rsidR="000C1F4F" w:rsidRPr="000C1F4F" w14:paraId="094611B2"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A35477B"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R10R19</w:t>
            </w:r>
          </w:p>
        </w:tc>
        <w:tc>
          <w:tcPr>
            <w:tcW w:w="8484" w:type="dxa"/>
            <w:gridSpan w:val="2"/>
            <w:noWrap/>
            <w:hideMark/>
          </w:tcPr>
          <w:p w14:paraId="5903FE77"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Digestive system and abdomen</w:t>
            </w:r>
          </w:p>
        </w:tc>
      </w:tr>
      <w:tr w:rsidR="000C1F4F" w:rsidRPr="000C1F4F" w14:paraId="6DB6C268"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02193CF"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R20R23</w:t>
            </w:r>
          </w:p>
        </w:tc>
        <w:tc>
          <w:tcPr>
            <w:tcW w:w="8484" w:type="dxa"/>
            <w:gridSpan w:val="2"/>
            <w:noWrap/>
            <w:hideMark/>
          </w:tcPr>
          <w:p w14:paraId="0330443E"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Skin and subcutaneous tissue</w:t>
            </w:r>
          </w:p>
        </w:tc>
      </w:tr>
      <w:tr w:rsidR="000C1F4F" w:rsidRPr="000C1F4F" w14:paraId="4189CA4E"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74CFF5B"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R25R29</w:t>
            </w:r>
          </w:p>
        </w:tc>
        <w:tc>
          <w:tcPr>
            <w:tcW w:w="8484" w:type="dxa"/>
            <w:gridSpan w:val="2"/>
            <w:noWrap/>
            <w:hideMark/>
          </w:tcPr>
          <w:p w14:paraId="7FECFBEE"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Nervous and musculoskeletal systems</w:t>
            </w:r>
          </w:p>
        </w:tc>
      </w:tr>
      <w:tr w:rsidR="000C1F4F" w:rsidRPr="000C1F4F" w14:paraId="6779E622"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5E22DB17"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R30R39</w:t>
            </w:r>
          </w:p>
        </w:tc>
        <w:tc>
          <w:tcPr>
            <w:tcW w:w="8484" w:type="dxa"/>
            <w:gridSpan w:val="2"/>
            <w:noWrap/>
            <w:hideMark/>
          </w:tcPr>
          <w:p w14:paraId="7A3BE981"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Urinary system</w:t>
            </w:r>
          </w:p>
        </w:tc>
      </w:tr>
      <w:tr w:rsidR="000C1F4F" w:rsidRPr="008E362A" w14:paraId="0FEA79E4"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A7E9253"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R40R46</w:t>
            </w:r>
          </w:p>
        </w:tc>
        <w:tc>
          <w:tcPr>
            <w:tcW w:w="8484" w:type="dxa"/>
            <w:gridSpan w:val="2"/>
            <w:noWrap/>
            <w:hideMark/>
          </w:tcPr>
          <w:p w14:paraId="74C04A2C"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Cognition, perception, emotional state and behaviour</w:t>
            </w:r>
          </w:p>
        </w:tc>
      </w:tr>
      <w:tr w:rsidR="000C1F4F" w:rsidRPr="000C1F4F" w14:paraId="2BDC479E"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3152D5B4"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R47R49</w:t>
            </w:r>
          </w:p>
        </w:tc>
        <w:tc>
          <w:tcPr>
            <w:tcW w:w="8484" w:type="dxa"/>
            <w:gridSpan w:val="2"/>
            <w:noWrap/>
            <w:hideMark/>
          </w:tcPr>
          <w:p w14:paraId="51DD24DE"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Speech and voice</w:t>
            </w:r>
          </w:p>
        </w:tc>
      </w:tr>
      <w:tr w:rsidR="000C1F4F" w:rsidRPr="000C1F4F" w14:paraId="54033939"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3CB4529D"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R50R69</w:t>
            </w:r>
          </w:p>
        </w:tc>
        <w:tc>
          <w:tcPr>
            <w:tcW w:w="8484" w:type="dxa"/>
            <w:gridSpan w:val="2"/>
            <w:noWrap/>
            <w:hideMark/>
          </w:tcPr>
          <w:p w14:paraId="6CD21F2F"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General symptoms and signs</w:t>
            </w:r>
          </w:p>
        </w:tc>
      </w:tr>
      <w:tr w:rsidR="000C1F4F" w:rsidRPr="008E362A" w14:paraId="25B305CB"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AB70FF5"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R70R79</w:t>
            </w:r>
          </w:p>
        </w:tc>
        <w:tc>
          <w:tcPr>
            <w:tcW w:w="8484" w:type="dxa"/>
            <w:gridSpan w:val="2"/>
            <w:noWrap/>
            <w:hideMark/>
          </w:tcPr>
          <w:p w14:paraId="7BEBF215"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On examination of blood, without diagnosis</w:t>
            </w:r>
          </w:p>
        </w:tc>
      </w:tr>
      <w:tr w:rsidR="000C1F4F" w:rsidRPr="008E362A" w14:paraId="33EE617B"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5FF20174"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R90R94</w:t>
            </w:r>
          </w:p>
        </w:tc>
        <w:tc>
          <w:tcPr>
            <w:tcW w:w="8484" w:type="dxa"/>
            <w:gridSpan w:val="2"/>
            <w:noWrap/>
            <w:hideMark/>
          </w:tcPr>
          <w:p w14:paraId="622EAEA2"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On diagnostic imaging and in function studies, without diagnosis</w:t>
            </w:r>
          </w:p>
        </w:tc>
      </w:tr>
      <w:tr w:rsidR="000C1F4F" w:rsidRPr="008E362A" w14:paraId="285F5242"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5B1E8359"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R95R99</w:t>
            </w:r>
          </w:p>
        </w:tc>
        <w:tc>
          <w:tcPr>
            <w:tcW w:w="8484" w:type="dxa"/>
            <w:gridSpan w:val="2"/>
            <w:noWrap/>
            <w:hideMark/>
          </w:tcPr>
          <w:p w14:paraId="3CA1DB1A"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Ill-defined and unknown causes of mortality</w:t>
            </w:r>
          </w:p>
        </w:tc>
      </w:tr>
      <w:tr w:rsidR="000C1F4F" w:rsidRPr="000C1F4F" w14:paraId="362A65EC"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BE37156"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S00S09</w:t>
            </w:r>
          </w:p>
        </w:tc>
        <w:tc>
          <w:tcPr>
            <w:tcW w:w="8484" w:type="dxa"/>
            <w:gridSpan w:val="2"/>
            <w:noWrap/>
            <w:hideMark/>
          </w:tcPr>
          <w:p w14:paraId="0F7FD566"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Injury : head</w:t>
            </w:r>
          </w:p>
        </w:tc>
      </w:tr>
      <w:tr w:rsidR="000C1F4F" w:rsidRPr="000C1F4F" w14:paraId="7FEA9C0E"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394ED99"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S10S19</w:t>
            </w:r>
          </w:p>
        </w:tc>
        <w:tc>
          <w:tcPr>
            <w:tcW w:w="4242" w:type="dxa"/>
            <w:noWrap/>
            <w:hideMark/>
          </w:tcPr>
          <w:p w14:paraId="536BB869"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Injury : neck</w:t>
            </w:r>
          </w:p>
        </w:tc>
        <w:tc>
          <w:tcPr>
            <w:tcW w:w="4242" w:type="dxa"/>
            <w:noWrap/>
            <w:hideMark/>
          </w:tcPr>
          <w:p w14:paraId="668E65F7"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p>
        </w:tc>
      </w:tr>
      <w:tr w:rsidR="000C1F4F" w:rsidRPr="000C1F4F" w14:paraId="412838B1"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671B16E"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S20S29</w:t>
            </w:r>
          </w:p>
        </w:tc>
        <w:tc>
          <w:tcPr>
            <w:tcW w:w="8484" w:type="dxa"/>
            <w:gridSpan w:val="2"/>
            <w:noWrap/>
            <w:hideMark/>
          </w:tcPr>
          <w:p w14:paraId="32B0BBFA"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Injury : thorax</w:t>
            </w:r>
          </w:p>
        </w:tc>
      </w:tr>
      <w:tr w:rsidR="000C1F4F" w:rsidRPr="008E362A" w14:paraId="3F445F0B"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3F13B418"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lastRenderedPageBreak/>
              <w:t>S30S39</w:t>
            </w:r>
          </w:p>
        </w:tc>
        <w:tc>
          <w:tcPr>
            <w:tcW w:w="8484" w:type="dxa"/>
            <w:gridSpan w:val="2"/>
            <w:noWrap/>
            <w:hideMark/>
          </w:tcPr>
          <w:p w14:paraId="71F0D5BB"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Injury : abdomen, lower back, lumbar spine and pelvis</w:t>
            </w:r>
          </w:p>
        </w:tc>
      </w:tr>
      <w:tr w:rsidR="000C1F4F" w:rsidRPr="008E362A" w14:paraId="33042B47"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3CFF096E"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S40S49</w:t>
            </w:r>
          </w:p>
        </w:tc>
        <w:tc>
          <w:tcPr>
            <w:tcW w:w="8484" w:type="dxa"/>
            <w:gridSpan w:val="2"/>
            <w:noWrap/>
            <w:hideMark/>
          </w:tcPr>
          <w:p w14:paraId="1F199209"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Injury : shoulder and upper arm</w:t>
            </w:r>
          </w:p>
        </w:tc>
      </w:tr>
      <w:tr w:rsidR="000C1F4F" w:rsidRPr="000C1F4F" w14:paraId="4221BCE4"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1FD0BA0"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S50S59</w:t>
            </w:r>
          </w:p>
        </w:tc>
        <w:tc>
          <w:tcPr>
            <w:tcW w:w="8484" w:type="dxa"/>
            <w:gridSpan w:val="2"/>
            <w:noWrap/>
            <w:hideMark/>
          </w:tcPr>
          <w:p w14:paraId="23B3C1E2"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Injury : elbow and forearm</w:t>
            </w:r>
          </w:p>
        </w:tc>
      </w:tr>
      <w:tr w:rsidR="000C1F4F" w:rsidRPr="000C1F4F" w14:paraId="3B251B38"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3583CBD"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S60S69</w:t>
            </w:r>
          </w:p>
        </w:tc>
        <w:tc>
          <w:tcPr>
            <w:tcW w:w="8484" w:type="dxa"/>
            <w:gridSpan w:val="2"/>
            <w:noWrap/>
            <w:hideMark/>
          </w:tcPr>
          <w:p w14:paraId="0B1EE432"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Injury : wrist and hand</w:t>
            </w:r>
          </w:p>
        </w:tc>
      </w:tr>
      <w:tr w:rsidR="000C1F4F" w:rsidRPr="000C1F4F" w14:paraId="7654B232"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9921102"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S70S79</w:t>
            </w:r>
          </w:p>
        </w:tc>
        <w:tc>
          <w:tcPr>
            <w:tcW w:w="8484" w:type="dxa"/>
            <w:gridSpan w:val="2"/>
            <w:noWrap/>
            <w:hideMark/>
          </w:tcPr>
          <w:p w14:paraId="13A32F27"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Injury : hip and thigh</w:t>
            </w:r>
          </w:p>
        </w:tc>
      </w:tr>
      <w:tr w:rsidR="000C1F4F" w:rsidRPr="008E362A" w14:paraId="1C94E19E"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2A452FDC"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S80S89</w:t>
            </w:r>
          </w:p>
        </w:tc>
        <w:tc>
          <w:tcPr>
            <w:tcW w:w="8484" w:type="dxa"/>
            <w:gridSpan w:val="2"/>
            <w:noWrap/>
            <w:hideMark/>
          </w:tcPr>
          <w:p w14:paraId="3B49E2F7"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Injury : knee and lower leg</w:t>
            </w:r>
          </w:p>
        </w:tc>
      </w:tr>
      <w:tr w:rsidR="000C1F4F" w:rsidRPr="008E362A" w14:paraId="657E560A"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6A0339B"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T15T19</w:t>
            </w:r>
          </w:p>
        </w:tc>
        <w:tc>
          <w:tcPr>
            <w:tcW w:w="8484" w:type="dxa"/>
            <w:gridSpan w:val="2"/>
            <w:noWrap/>
            <w:hideMark/>
          </w:tcPr>
          <w:p w14:paraId="1AE8868C"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Effects of foreign body entering through natural orifice</w:t>
            </w:r>
          </w:p>
        </w:tc>
      </w:tr>
      <w:tr w:rsidR="000C1F4F" w:rsidRPr="000C1F4F" w14:paraId="179FE840"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3AB7ABC7"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T20T32</w:t>
            </w:r>
          </w:p>
        </w:tc>
        <w:tc>
          <w:tcPr>
            <w:tcW w:w="8484" w:type="dxa"/>
            <w:gridSpan w:val="2"/>
            <w:noWrap/>
            <w:hideMark/>
          </w:tcPr>
          <w:p w14:paraId="3345CB95"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Burns and corrosions</w:t>
            </w:r>
          </w:p>
        </w:tc>
      </w:tr>
      <w:tr w:rsidR="000C1F4F" w:rsidRPr="008E362A" w14:paraId="5E0EDFD1"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C9D9FE9"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T36T50</w:t>
            </w:r>
          </w:p>
        </w:tc>
        <w:tc>
          <w:tcPr>
            <w:tcW w:w="8484" w:type="dxa"/>
            <w:gridSpan w:val="2"/>
            <w:noWrap/>
            <w:hideMark/>
          </w:tcPr>
          <w:p w14:paraId="760CA47A"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Poisoning by drugs, medicaments and biological substances</w:t>
            </w:r>
          </w:p>
        </w:tc>
      </w:tr>
      <w:tr w:rsidR="000C1F4F" w:rsidRPr="008E362A" w14:paraId="52966D2E"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7BAD4CBC"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T51T65</w:t>
            </w:r>
          </w:p>
        </w:tc>
        <w:tc>
          <w:tcPr>
            <w:tcW w:w="8484" w:type="dxa"/>
            <w:gridSpan w:val="2"/>
            <w:noWrap/>
            <w:hideMark/>
          </w:tcPr>
          <w:p w14:paraId="4265B325"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Toxic effects of substances chiefly nonmedicinal as to source</w:t>
            </w:r>
          </w:p>
        </w:tc>
      </w:tr>
      <w:tr w:rsidR="000C1F4F" w:rsidRPr="008E362A" w14:paraId="3EA15B84"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FE75646"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T66T78</w:t>
            </w:r>
          </w:p>
        </w:tc>
        <w:tc>
          <w:tcPr>
            <w:tcW w:w="8484" w:type="dxa"/>
            <w:gridSpan w:val="2"/>
            <w:noWrap/>
            <w:hideMark/>
          </w:tcPr>
          <w:p w14:paraId="18E5B019"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Other and unspecified effects of external causes</w:t>
            </w:r>
          </w:p>
        </w:tc>
      </w:tr>
      <w:tr w:rsidR="000C1F4F" w:rsidRPr="008E362A" w14:paraId="5E2B6D55"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F40A5C7"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T79T79</w:t>
            </w:r>
          </w:p>
        </w:tc>
        <w:tc>
          <w:tcPr>
            <w:tcW w:w="8484" w:type="dxa"/>
            <w:gridSpan w:val="2"/>
            <w:noWrap/>
            <w:hideMark/>
          </w:tcPr>
          <w:p w14:paraId="7E24A06D"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Certain early complications of trauma</w:t>
            </w:r>
          </w:p>
        </w:tc>
      </w:tr>
      <w:tr w:rsidR="000C1F4F" w:rsidRPr="008E362A" w14:paraId="3CE31D79"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430E39E9"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T80T88</w:t>
            </w:r>
          </w:p>
        </w:tc>
        <w:tc>
          <w:tcPr>
            <w:tcW w:w="8484" w:type="dxa"/>
            <w:gridSpan w:val="2"/>
            <w:noWrap/>
            <w:hideMark/>
          </w:tcPr>
          <w:p w14:paraId="13D065EE"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Complications of surgical and medical care, not elsewhere classified</w:t>
            </w:r>
          </w:p>
        </w:tc>
      </w:tr>
      <w:tr w:rsidR="000C1F4F" w:rsidRPr="008E362A" w14:paraId="79ECCDB2"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6FEE85C4"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Z00Z13</w:t>
            </w:r>
          </w:p>
        </w:tc>
        <w:tc>
          <w:tcPr>
            <w:tcW w:w="8484" w:type="dxa"/>
            <w:gridSpan w:val="2"/>
            <w:noWrap/>
            <w:hideMark/>
          </w:tcPr>
          <w:p w14:paraId="2C8EB61A"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Persons encountering health services for examination and investigation</w:t>
            </w:r>
          </w:p>
        </w:tc>
      </w:tr>
      <w:tr w:rsidR="000C1F4F" w:rsidRPr="008E362A" w14:paraId="65DE2B97"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0C9C2618"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Z20Z29</w:t>
            </w:r>
          </w:p>
        </w:tc>
        <w:tc>
          <w:tcPr>
            <w:tcW w:w="8484" w:type="dxa"/>
            <w:gridSpan w:val="2"/>
            <w:noWrap/>
            <w:hideMark/>
          </w:tcPr>
          <w:p w14:paraId="5D6E2715"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Persons with potential health hazards related to communicable diseases</w:t>
            </w:r>
          </w:p>
        </w:tc>
      </w:tr>
      <w:tr w:rsidR="000C1F4F" w:rsidRPr="008E362A" w14:paraId="371282FC"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73B2D54"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Z30Z39</w:t>
            </w:r>
          </w:p>
        </w:tc>
        <w:tc>
          <w:tcPr>
            <w:tcW w:w="8484" w:type="dxa"/>
            <w:gridSpan w:val="2"/>
            <w:noWrap/>
            <w:hideMark/>
          </w:tcPr>
          <w:p w14:paraId="5446B174"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Persons encountering health services in circumstances related to reproduction</w:t>
            </w:r>
          </w:p>
        </w:tc>
      </w:tr>
      <w:tr w:rsidR="000C1F4F" w:rsidRPr="008E362A" w14:paraId="0795F049"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5C37E133"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Z40Z54</w:t>
            </w:r>
          </w:p>
        </w:tc>
        <w:tc>
          <w:tcPr>
            <w:tcW w:w="8484" w:type="dxa"/>
            <w:gridSpan w:val="2"/>
            <w:noWrap/>
            <w:hideMark/>
          </w:tcPr>
          <w:p w14:paraId="66C751B1"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Persons encountering health services for specific procedures and health care</w:t>
            </w:r>
          </w:p>
        </w:tc>
      </w:tr>
      <w:tr w:rsidR="000C1F4F" w:rsidRPr="008E362A" w14:paraId="53D94C66"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1E2FD319"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Z55Z65</w:t>
            </w:r>
          </w:p>
        </w:tc>
        <w:tc>
          <w:tcPr>
            <w:tcW w:w="8484" w:type="dxa"/>
            <w:gridSpan w:val="2"/>
            <w:noWrap/>
            <w:hideMark/>
          </w:tcPr>
          <w:p w14:paraId="2BC230DD"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Persons with potential health hazards related to socioeconomic and psychosocial circumstances</w:t>
            </w:r>
          </w:p>
        </w:tc>
      </w:tr>
      <w:tr w:rsidR="000C1F4F" w:rsidRPr="008E362A" w14:paraId="60D95933" w14:textId="77777777" w:rsidTr="000C1F4F">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5254D526"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Z70Z76</w:t>
            </w:r>
          </w:p>
        </w:tc>
        <w:tc>
          <w:tcPr>
            <w:tcW w:w="8484" w:type="dxa"/>
            <w:gridSpan w:val="2"/>
            <w:noWrap/>
            <w:hideMark/>
          </w:tcPr>
          <w:p w14:paraId="1B81E275" w14:textId="77777777" w:rsidR="000C1F4F" w:rsidRPr="000C1F4F" w:rsidRDefault="000C1F4F" w:rsidP="000C1F4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Persons encountering health services in other circumstances</w:t>
            </w:r>
          </w:p>
        </w:tc>
      </w:tr>
      <w:tr w:rsidR="000C1F4F" w:rsidRPr="008E362A" w14:paraId="354A7A39" w14:textId="77777777" w:rsidTr="000C1F4F">
        <w:trPr>
          <w:trHeight w:val="300"/>
        </w:trPr>
        <w:tc>
          <w:tcPr>
            <w:cnfStyle w:val="001000000000" w:firstRow="0" w:lastRow="0" w:firstColumn="1" w:lastColumn="0" w:oddVBand="0" w:evenVBand="0" w:oddHBand="0" w:evenHBand="0" w:firstRowFirstColumn="0" w:firstRowLastColumn="0" w:lastRowFirstColumn="0" w:lastRowLastColumn="0"/>
            <w:tcW w:w="922" w:type="dxa"/>
            <w:noWrap/>
            <w:hideMark/>
          </w:tcPr>
          <w:p w14:paraId="0D3FEA4C" w14:textId="77777777" w:rsidR="000C1F4F" w:rsidRPr="000C1F4F" w:rsidRDefault="000C1F4F" w:rsidP="000C1F4F">
            <w:pPr>
              <w:rPr>
                <w:rFonts w:ascii="Times New Roman" w:eastAsia="Times New Roman" w:hAnsi="Times New Roman"/>
                <w:color w:val="000000"/>
                <w:sz w:val="22"/>
                <w:szCs w:val="22"/>
              </w:rPr>
            </w:pPr>
            <w:r w:rsidRPr="000C1F4F">
              <w:rPr>
                <w:rFonts w:ascii="Times New Roman" w:eastAsia="Times New Roman" w:hAnsi="Times New Roman"/>
                <w:color w:val="000000"/>
                <w:sz w:val="22"/>
                <w:szCs w:val="22"/>
              </w:rPr>
              <w:t>Z80Z99</w:t>
            </w:r>
          </w:p>
        </w:tc>
        <w:tc>
          <w:tcPr>
            <w:tcW w:w="8484" w:type="dxa"/>
            <w:gridSpan w:val="2"/>
            <w:noWrap/>
            <w:hideMark/>
          </w:tcPr>
          <w:p w14:paraId="680C273F" w14:textId="77777777" w:rsidR="000C1F4F" w:rsidRPr="000C1F4F" w:rsidRDefault="000C1F4F" w:rsidP="000C1F4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olor w:val="000000"/>
                <w:sz w:val="22"/>
                <w:szCs w:val="22"/>
                <w:lang w:val="en-US"/>
              </w:rPr>
            </w:pPr>
            <w:r w:rsidRPr="000C1F4F">
              <w:rPr>
                <w:rFonts w:ascii="Times New Roman" w:eastAsia="Times New Roman" w:hAnsi="Times New Roman"/>
                <w:color w:val="000000"/>
                <w:sz w:val="22"/>
                <w:szCs w:val="22"/>
                <w:lang w:val="en-US"/>
              </w:rPr>
              <w:t>Persons with potential health hazards related to family and personal history and certain conditions influencing health status</w:t>
            </w:r>
          </w:p>
        </w:tc>
      </w:tr>
    </w:tbl>
    <w:p w14:paraId="2B29879F" w14:textId="77777777" w:rsidR="000C1F4F" w:rsidRPr="000C1F4F" w:rsidRDefault="000C1F4F" w:rsidP="00AA5418">
      <w:pPr>
        <w:rPr>
          <w:rFonts w:ascii="Times New Roman" w:hAnsi="Times New Roman"/>
          <w:b/>
          <w:bCs/>
          <w:sz w:val="22"/>
          <w:lang w:val="en-US"/>
        </w:rPr>
      </w:pPr>
    </w:p>
    <w:sectPr w:rsidR="000C1F4F" w:rsidRPr="000C1F4F" w:rsidSect="00AA5418">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979"/>
    <w:rsid w:val="00057AAE"/>
    <w:rsid w:val="0009559F"/>
    <w:rsid w:val="000A2FB1"/>
    <w:rsid w:val="000C1F4F"/>
    <w:rsid w:val="001611C4"/>
    <w:rsid w:val="0016373B"/>
    <w:rsid w:val="00173735"/>
    <w:rsid w:val="001B58DF"/>
    <w:rsid w:val="001F60BD"/>
    <w:rsid w:val="001F72B7"/>
    <w:rsid w:val="0022187F"/>
    <w:rsid w:val="00223503"/>
    <w:rsid w:val="002624C7"/>
    <w:rsid w:val="00262723"/>
    <w:rsid w:val="002A77B7"/>
    <w:rsid w:val="002C25CE"/>
    <w:rsid w:val="002D7A2D"/>
    <w:rsid w:val="002E0A7E"/>
    <w:rsid w:val="00304CAD"/>
    <w:rsid w:val="0030508C"/>
    <w:rsid w:val="00335959"/>
    <w:rsid w:val="00373EC2"/>
    <w:rsid w:val="003962B8"/>
    <w:rsid w:val="003B0001"/>
    <w:rsid w:val="003C290B"/>
    <w:rsid w:val="003E2ADD"/>
    <w:rsid w:val="00414429"/>
    <w:rsid w:val="004472EB"/>
    <w:rsid w:val="00467A24"/>
    <w:rsid w:val="004A7E93"/>
    <w:rsid w:val="004B347E"/>
    <w:rsid w:val="004D0979"/>
    <w:rsid w:val="00547D9E"/>
    <w:rsid w:val="005518D5"/>
    <w:rsid w:val="00554B96"/>
    <w:rsid w:val="00570FCB"/>
    <w:rsid w:val="00573763"/>
    <w:rsid w:val="00581E23"/>
    <w:rsid w:val="00587A83"/>
    <w:rsid w:val="005B4FC6"/>
    <w:rsid w:val="005B7A44"/>
    <w:rsid w:val="00654A7B"/>
    <w:rsid w:val="00657D4C"/>
    <w:rsid w:val="00660F05"/>
    <w:rsid w:val="00682CB0"/>
    <w:rsid w:val="006A4621"/>
    <w:rsid w:val="006A4B82"/>
    <w:rsid w:val="006B185F"/>
    <w:rsid w:val="006C1CC6"/>
    <w:rsid w:val="006D6FB2"/>
    <w:rsid w:val="006F2396"/>
    <w:rsid w:val="00712578"/>
    <w:rsid w:val="007153D3"/>
    <w:rsid w:val="0072263E"/>
    <w:rsid w:val="00737A7A"/>
    <w:rsid w:val="007653C8"/>
    <w:rsid w:val="00790B06"/>
    <w:rsid w:val="007921F3"/>
    <w:rsid w:val="007A36B5"/>
    <w:rsid w:val="007B5249"/>
    <w:rsid w:val="007C2624"/>
    <w:rsid w:val="007D2966"/>
    <w:rsid w:val="007D3232"/>
    <w:rsid w:val="007D4B3F"/>
    <w:rsid w:val="007F0CBB"/>
    <w:rsid w:val="008028A4"/>
    <w:rsid w:val="008347D6"/>
    <w:rsid w:val="00843D5B"/>
    <w:rsid w:val="00865BBF"/>
    <w:rsid w:val="00884A57"/>
    <w:rsid w:val="008971D1"/>
    <w:rsid w:val="008E362A"/>
    <w:rsid w:val="009018D9"/>
    <w:rsid w:val="00905070"/>
    <w:rsid w:val="00912D4C"/>
    <w:rsid w:val="00920701"/>
    <w:rsid w:val="00927E6D"/>
    <w:rsid w:val="00942180"/>
    <w:rsid w:val="00980916"/>
    <w:rsid w:val="00992C6D"/>
    <w:rsid w:val="00996E67"/>
    <w:rsid w:val="00A346D4"/>
    <w:rsid w:val="00A3629B"/>
    <w:rsid w:val="00A616B8"/>
    <w:rsid w:val="00A72531"/>
    <w:rsid w:val="00A86E23"/>
    <w:rsid w:val="00A93D54"/>
    <w:rsid w:val="00AA5418"/>
    <w:rsid w:val="00AC0002"/>
    <w:rsid w:val="00AD3DB2"/>
    <w:rsid w:val="00AD4F82"/>
    <w:rsid w:val="00AE0341"/>
    <w:rsid w:val="00B428AF"/>
    <w:rsid w:val="00B657E9"/>
    <w:rsid w:val="00B84975"/>
    <w:rsid w:val="00BD0D2C"/>
    <w:rsid w:val="00BD5C10"/>
    <w:rsid w:val="00BF2CD5"/>
    <w:rsid w:val="00C30862"/>
    <w:rsid w:val="00C33975"/>
    <w:rsid w:val="00C41769"/>
    <w:rsid w:val="00C45EA7"/>
    <w:rsid w:val="00CA7BC1"/>
    <w:rsid w:val="00CC369A"/>
    <w:rsid w:val="00D0725D"/>
    <w:rsid w:val="00D51D1E"/>
    <w:rsid w:val="00D565F5"/>
    <w:rsid w:val="00D933C7"/>
    <w:rsid w:val="00DA6C0A"/>
    <w:rsid w:val="00DB07D3"/>
    <w:rsid w:val="00DB7D24"/>
    <w:rsid w:val="00DF1FD7"/>
    <w:rsid w:val="00E10E03"/>
    <w:rsid w:val="00E17A83"/>
    <w:rsid w:val="00E2378C"/>
    <w:rsid w:val="00E247D6"/>
    <w:rsid w:val="00E2689A"/>
    <w:rsid w:val="00E34EA0"/>
    <w:rsid w:val="00E56F44"/>
    <w:rsid w:val="00E634F1"/>
    <w:rsid w:val="00E81C0C"/>
    <w:rsid w:val="00E90F5F"/>
    <w:rsid w:val="00EB17D5"/>
    <w:rsid w:val="00ED7758"/>
    <w:rsid w:val="00F069D8"/>
    <w:rsid w:val="00F43510"/>
    <w:rsid w:val="00F521D4"/>
    <w:rsid w:val="00F53FF8"/>
    <w:rsid w:val="00F75C68"/>
    <w:rsid w:val="00FA5576"/>
    <w:rsid w:val="00FF155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5E6F7"/>
  <w15:chartTrackingRefBased/>
  <w15:docId w15:val="{FD4938C7-64F5-4FEA-A11C-313C5777E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33C7"/>
    <w:rPr>
      <w:rFonts w:ascii="Times" w:eastAsia="Calibri" w:hAnsi="Times" w:cs="Times New Roman"/>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rformatHTML">
    <w:name w:val="HTML Preformatted"/>
    <w:basedOn w:val="Normal"/>
    <w:link w:val="PrformatHTMLCar"/>
    <w:uiPriority w:val="99"/>
    <w:semiHidden/>
    <w:unhideWhenUsed/>
    <w:rsid w:val="00D933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semiHidden/>
    <w:rsid w:val="00D933C7"/>
    <w:rPr>
      <w:rFonts w:ascii="Courier New" w:eastAsia="Times New Roman" w:hAnsi="Courier New" w:cs="Courier New"/>
      <w:sz w:val="20"/>
      <w:szCs w:val="20"/>
      <w:lang w:eastAsia="fr-FR"/>
    </w:rPr>
  </w:style>
  <w:style w:type="character" w:styleId="Lienhypertexte">
    <w:name w:val="Hyperlink"/>
    <w:uiPriority w:val="99"/>
    <w:unhideWhenUsed/>
    <w:rsid w:val="00587A83"/>
    <w:rPr>
      <w:color w:val="0563C1"/>
      <w:u w:val="single"/>
    </w:rPr>
  </w:style>
  <w:style w:type="character" w:customStyle="1" w:styleId="lrzxr">
    <w:name w:val="lrzxr"/>
    <w:basedOn w:val="Policepardfaut"/>
    <w:rsid w:val="00587A83"/>
  </w:style>
  <w:style w:type="table" w:customStyle="1" w:styleId="TableauGrille4-Accentuation51">
    <w:name w:val="Tableau Grille 4 - Accentuation 51"/>
    <w:basedOn w:val="TableauNormal"/>
    <w:uiPriority w:val="49"/>
    <w:rsid w:val="00AA5418"/>
    <w:pPr>
      <w:spacing w:after="0" w:line="240" w:lineRule="auto"/>
    </w:pPr>
    <w:rPr>
      <w:rFonts w:ascii="Calibri" w:eastAsia="Calibri" w:hAnsi="Calibri" w:cs="Times New Roman"/>
      <w:sz w:val="20"/>
      <w:szCs w:val="20"/>
      <w:lang w:eastAsia="fr-FR"/>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Numrodeligne">
    <w:name w:val="line number"/>
    <w:basedOn w:val="Policepardfaut"/>
    <w:uiPriority w:val="99"/>
    <w:semiHidden/>
    <w:unhideWhenUsed/>
    <w:rsid w:val="00AA54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03186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adrien.wartelle@utt.fr" TargetMode="External"/><Relationship Id="rId5" Type="http://schemas.openxmlformats.org/officeDocument/2006/relationships/hyperlink" Target="mailto:adrien.wartelle@ch-troyes.fr"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34D653-E594-41C3-8B02-00ED82E9AA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14</Pages>
  <Words>11683</Words>
  <Characters>64259</Characters>
  <Application>Microsoft Office Word</Application>
  <DocSecurity>0</DocSecurity>
  <Lines>535</Lines>
  <Paragraphs>151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75791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Adrien Wartelle</dc:creator>
  <cp:keywords/>
  <dc:description/>
  <cp:lastModifiedBy>Adrien Wartelle</cp:lastModifiedBy>
  <cp:revision>16</cp:revision>
  <dcterms:created xsi:type="dcterms:W3CDTF">2020-10-22T10:50:00Z</dcterms:created>
  <dcterms:modified xsi:type="dcterms:W3CDTF">2020-12-11T14:45:00Z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http://www.zotero.org/styles/chicago-author-date</vt:lpwstr>
  </property>
  <property fmtid="{D5CDD505-2E9C-101B-9397-08002B2CF9AE}" pid="3" name="Mendeley Recent Style Name 0_1">
    <vt:lpwstr>Chicago Manual of Style 17th edition (author-date)</vt:lpwstr>
  </property>
  <property fmtid="{D5CDD505-2E9C-101B-9397-08002B2CF9AE}" pid="4" name="Mendeley Recent Style Id 1_1">
    <vt:lpwstr>http://www.zotero.org/styles/harvard-cite-them-right</vt:lpwstr>
  </property>
  <property fmtid="{D5CDD505-2E9C-101B-9397-08002B2CF9AE}" pid="5" name="Mendeley Recent Style Name 1_1">
    <vt:lpwstr>Cite Them Right 10th edition - Harvard</vt:lpwstr>
  </property>
  <property fmtid="{D5CDD505-2E9C-101B-9397-08002B2CF9AE}" pid="6" name="Mendeley Recent Style Id 2_1">
    <vt:lpwstr>http://www.zotero.org/styles/european-journal-of-public-health</vt:lpwstr>
  </property>
  <property fmtid="{D5CDD505-2E9C-101B-9397-08002B2CF9AE}" pid="7" name="Mendeley Recent Style Name 2_1">
    <vt:lpwstr>European Journal of Public Health</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http://www.zotero.org/styles/modern-humanities-research-association</vt:lpwstr>
  </property>
  <property fmtid="{D5CDD505-2E9C-101B-9397-08002B2CF9AE}" pid="11" name="Mendeley Recent Style Name 4_1">
    <vt:lpwstr>Modern Humanities Research Association 3rd edition (note with bibliography)</vt:lpwstr>
  </property>
  <property fmtid="{D5CDD505-2E9C-101B-9397-08002B2CF9AE}" pid="12" name="Mendeley Recent Style Id 5_1">
    <vt:lpwstr>http://www.zotero.org/styles/modern-language-association</vt:lpwstr>
  </property>
  <property fmtid="{D5CDD505-2E9C-101B-9397-08002B2CF9AE}" pid="13" name="Mendeley Recent Style Name 5_1">
    <vt:lpwstr>Modern Language Association 8th edition</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http://www.zotero.org/styles/public-health</vt:lpwstr>
  </property>
  <property fmtid="{D5CDD505-2E9C-101B-9397-08002B2CF9AE}" pid="17" name="Mendeley Recent Style Name 7_1">
    <vt:lpwstr>Public Health</vt:lpwstr>
  </property>
  <property fmtid="{D5CDD505-2E9C-101B-9397-08002B2CF9AE}" pid="18" name="Mendeley Recent Style Id 8_1">
    <vt:lpwstr>http://www.zotero.org/styles/scientific-reports</vt:lpwstr>
  </property>
  <property fmtid="{D5CDD505-2E9C-101B-9397-08002B2CF9AE}" pid="19" name="Mendeley Recent Style Name 8_1">
    <vt:lpwstr>Scientific Reports</vt:lpwstr>
  </property>
  <property fmtid="{D5CDD505-2E9C-101B-9397-08002B2CF9AE}" pid="20" name="Mendeley Recent Style Id 9_1">
    <vt:lpwstr>http://www.zotero.org/styles/vancouver-superscript</vt:lpwstr>
  </property>
  <property fmtid="{D5CDD505-2E9C-101B-9397-08002B2CF9AE}" pid="21" name="Mendeley Recent Style Name 9_1">
    <vt:lpwstr>Vancouver (superscript)</vt:lpwstr>
  </property>
  <property fmtid="{D5CDD505-2E9C-101B-9397-08002B2CF9AE}" pid="22" name="Mendeley Document_1">
    <vt:lpwstr>True</vt:lpwstr>
  </property>
  <property fmtid="{D5CDD505-2E9C-101B-9397-08002B2CF9AE}" pid="23" name="Mendeley Citation Style_1">
    <vt:lpwstr>http://www.zotero.org/styles/european-journal-of-public-health</vt:lpwstr>
  </property>
  <property fmtid="{D5CDD505-2E9C-101B-9397-08002B2CF9AE}" pid="24" name="Mendeley Unique User Id_1">
    <vt:lpwstr>cbfbf0e8-3f08-350a-bbb8-7bc1bd636f2a</vt:lpwstr>
  </property>
</Properties>
</file>