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8"/>
        <w:gridCol w:w="3365"/>
        <w:gridCol w:w="1204"/>
        <w:gridCol w:w="832"/>
        <w:gridCol w:w="830"/>
        <w:gridCol w:w="1456"/>
        <w:gridCol w:w="833"/>
        <w:gridCol w:w="827"/>
        <w:gridCol w:w="1456"/>
        <w:gridCol w:w="2518"/>
        <w:gridCol w:w="850"/>
      </w:tblGrid>
      <w:tr w:rsidR="00F16CBA" w:rsidRPr="00791AD5" w14:paraId="16B618E0" w14:textId="77777777" w:rsidTr="00B617A2">
        <w:trPr>
          <w:trHeight w:val="388"/>
        </w:trPr>
        <w:tc>
          <w:tcPr>
            <w:tcW w:w="15299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1E7687" w14:textId="77777777" w:rsidR="00F16CBA" w:rsidRPr="00791AD5" w:rsidRDefault="00F16CBA" w:rsidP="00B617A2">
            <w:pP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</w:pPr>
            <w:r w:rsidRPr="00791AD5">
              <w:rPr>
                <w:rFonts w:ascii="Times New Roman" w:hAnsi="Times New Roman" w:cs="Times New Roman"/>
                <w:b/>
                <w:szCs w:val="24"/>
              </w:rPr>
              <w:t>Table 1.</w:t>
            </w:r>
            <w:r w:rsidRPr="00791AD5">
              <w:rPr>
                <w:rFonts w:ascii="Times New Roman" w:hAnsi="Times New Roman" w:cs="Times New Roman"/>
                <w:szCs w:val="24"/>
              </w:rPr>
              <w:t xml:space="preserve"> Characteristics of the </w:t>
            </w:r>
            <w:r>
              <w:rPr>
                <w:rFonts w:ascii="Times New Roman" w:hAnsi="Times New Roman" w:cs="Times New Roman"/>
                <w:szCs w:val="24"/>
              </w:rPr>
              <w:t xml:space="preserve">selected </w:t>
            </w:r>
            <w:r w:rsidRPr="00791AD5">
              <w:rPr>
                <w:rFonts w:ascii="Times New Roman" w:hAnsi="Times New Roman" w:cs="Times New Roman"/>
                <w:szCs w:val="24"/>
              </w:rPr>
              <w:t>randomized controlled trials.</w:t>
            </w:r>
          </w:p>
        </w:tc>
      </w:tr>
      <w:tr w:rsidR="00F16CBA" w:rsidRPr="00791AD5" w14:paraId="27DF2FD5" w14:textId="77777777" w:rsidTr="00B617A2">
        <w:trPr>
          <w:trHeight w:val="394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4F83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Author, year</w:t>
            </w:r>
          </w:p>
        </w:tc>
        <w:tc>
          <w:tcPr>
            <w:tcW w:w="3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2D0E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Corticosteroid</w:t>
            </w:r>
          </w:p>
        </w:tc>
        <w:tc>
          <w:tcPr>
            <w:tcW w:w="4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E460D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ntervention group (ultrasound-guided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injection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630F4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C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ontrol group (landmark-guided</w:t>
            </w:r>
            <w:r>
              <w:t xml:space="preserve"> </w:t>
            </w:r>
            <w:r w:rsidRPr="00B33B57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injection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4E49C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Outcome measure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s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71EEB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F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ollow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-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up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duration 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(weeks)</w:t>
            </w:r>
          </w:p>
        </w:tc>
      </w:tr>
      <w:tr w:rsidR="00F16CBA" w:rsidRPr="00791AD5" w14:paraId="69D12702" w14:textId="77777777" w:rsidTr="00B617A2">
        <w:trPr>
          <w:trHeight w:val="528"/>
        </w:trPr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AB9F3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FC6243" w14:textId="77777777" w:rsidR="00F16CBA" w:rsidRPr="00791AD5" w:rsidRDefault="00F16CBA" w:rsidP="00B617A2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528D0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P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lane of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F8A2C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 (hands)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897B5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Mean age (SD)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4DAAA6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Mean 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symptom duration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(</w:t>
            </w:r>
            <w:commentRangeStart w:id="0"/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weeks</w:t>
            </w:r>
            <w:commentRangeEnd w:id="0"/>
            <w:r>
              <w:rPr>
                <w:rStyle w:val="a7"/>
              </w:rPr>
              <w:commentReference w:id="0"/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)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(SD)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8675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 (hands)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C04D1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Mean age (SD)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59595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Mean 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symptom duration 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(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weeks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)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(SD)</w:t>
            </w:r>
          </w:p>
        </w:tc>
        <w:tc>
          <w:tcPr>
            <w:tcW w:w="2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477F4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AAB79" w14:textId="77777777" w:rsidR="00F16CBA" w:rsidRPr="00791AD5" w:rsidRDefault="00F16CBA" w:rsidP="00B617A2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  <w:tr w:rsidR="00F16CBA" w:rsidRPr="00791AD5" w14:paraId="7A858D23" w14:textId="77777777" w:rsidTr="00B617A2">
        <w:trPr>
          <w:trHeight w:val="1705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260B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Roh et al., 2019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33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49F3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single 2-mL injection that contained 1 mL of lidocaine (10 mg/mL) and 1 mL of triamcinolone acetonide (20 mg/mL)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D32A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ut-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of-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BC6477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51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670D7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54 (35-64)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(range)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D293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15 (3-84)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(range)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3BEE2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DEC70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55 (37-66)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(range)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85689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14 (3-60)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(range)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09A8F0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A301B7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24</w:t>
            </w:r>
          </w:p>
        </w:tc>
      </w:tr>
      <w:tr w:rsidR="00F16CBA" w:rsidRPr="00791AD5" w14:paraId="7B00A154" w14:textId="77777777" w:rsidTr="00B617A2">
        <w:trPr>
          <w:trHeight w:val="1098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8478BD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Rayegani et al., 2019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34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18E2C6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 mL of triamcinolone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br/>
              <w:t>40 mg plus to 1 mL of lidocaine 2%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C08000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n-plane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B5112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20DEA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54.39 (9.3)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BC6C7A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9A4D1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8BC58F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54.39 (9.3)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26AD1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BBA7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(SNAP, CMAP)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BCBF3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10</w:t>
            </w:r>
          </w:p>
        </w:tc>
      </w:tr>
      <w:tr w:rsidR="00F16CBA" w:rsidRPr="00791AD5" w14:paraId="54AF8A60" w14:textId="77777777" w:rsidTr="00B617A2">
        <w:trPr>
          <w:trHeight w:val="962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3A197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Vahdatpour et al., 2019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32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F0A18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methylprednisolone acetate 40 mg without local anesthetics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2B9E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n-plane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537DC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29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0E375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48.14 (9.41)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6D7625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5A411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80969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47.61 (8.30)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1D899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3B62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(SNAP, CMAP)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DECEC7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12</w:t>
            </w:r>
          </w:p>
        </w:tc>
      </w:tr>
      <w:tr w:rsidR="00F16CBA" w:rsidRPr="00791AD5" w14:paraId="210BE886" w14:textId="77777777" w:rsidTr="00B617A2">
        <w:trPr>
          <w:trHeight w:val="671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5C55C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Chen et al., 2018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31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54538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Betamethasone 1 ml (Betamethasone 1 ml /amp, 1 ml contains betamethasone dipropionate 5 mg and 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lastRenderedPageBreak/>
              <w:t>betamethasone disodium phosphate 2 mg)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15CCA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lastRenderedPageBreak/>
              <w:t>O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ut-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of-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58A4E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22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BB9015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51.09 (10.09)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933EC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70.55 (70.61)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DB7D1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B4C7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51.12 (8.19)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91ABBA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65.12 (63.03)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75DC6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(SNAP, SNCV, DML, CMAP)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945EF6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72</w:t>
            </w:r>
          </w:p>
        </w:tc>
      </w:tr>
      <w:tr w:rsidR="00F16CBA" w:rsidRPr="00791AD5" w14:paraId="36A4A1C8" w14:textId="77777777" w:rsidTr="00B617A2">
        <w:trPr>
          <w:trHeight w:val="1227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E41865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Karaahmet et al., 2017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30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88D1FB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 mL of betamethasone sodium phosphate (2.63 mg)/betamethasone dipropionate (6.43 mg)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EC4442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n-plane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0342B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2221F2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59.4 (12.4)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7D153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28.5 (30.6) Days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A4D24A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42C1D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61.5 (10.3)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D161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38.5 (40.4) Days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05947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(SNAP, SNCV, DML, CMAP)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1CD1A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</w:t>
            </w:r>
          </w:p>
        </w:tc>
      </w:tr>
      <w:tr w:rsidR="00F16CBA" w:rsidRPr="00791AD5" w14:paraId="7D08282D" w14:textId="77777777" w:rsidTr="00B617A2">
        <w:trPr>
          <w:trHeight w:val="955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F378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Eslamian et al., 2017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29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61B63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40 mg of methylprednisolone without local anesthetic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75D9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n-plane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EDC03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F3184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54.52 (2.05)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F82F86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43CA3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1BC6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49.33 (1.82)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6ABFD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N/A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50F58F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(SNAP, SNCV, DML, CMAP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930F6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12</w:t>
            </w:r>
          </w:p>
        </w:tc>
      </w:tr>
      <w:tr w:rsidR="00F16CBA" w:rsidRPr="00791AD5" w14:paraId="337F29D9" w14:textId="77777777" w:rsidTr="00B617A2">
        <w:trPr>
          <w:trHeight w:val="342"/>
        </w:trPr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FA4C3F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Lee et al., 2014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28</w:t>
            </w:r>
          </w:p>
        </w:tc>
        <w:tc>
          <w:tcPr>
            <w:tcW w:w="3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4BD723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1mL of 40 mg/mL triamcinolone and 1mL of 1% lidocaine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895A25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I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n-plane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53FDA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36E30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55.2 (13.2)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B185C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8.9 (2.2)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66CAA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15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79904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50.3 (9.6)</w:t>
            </w:r>
          </w:p>
        </w:tc>
        <w:tc>
          <w:tcPr>
            <w:tcW w:w="1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100A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7.6 (2.9)</w:t>
            </w:r>
          </w:p>
        </w:tc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3197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 and e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lectrodiagnostic findings (DML, CMAP, DSL, SNAP)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144A9C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12</w:t>
            </w:r>
          </w:p>
        </w:tc>
      </w:tr>
      <w:tr w:rsidR="00F16CBA" w:rsidRPr="00791AD5" w14:paraId="169C56A5" w14:textId="77777777" w:rsidTr="00B617A2">
        <w:trPr>
          <w:trHeight w:val="230"/>
        </w:trPr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5483E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14745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7E641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ut-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of-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490A55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24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1E13A0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52.6 (11.60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E3DC8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9.4 (3.6)</w:t>
            </w: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02D77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D02D3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23545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238A8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485C4" w14:textId="77777777" w:rsidR="00F16CBA" w:rsidRPr="00791AD5" w:rsidRDefault="00F16CBA" w:rsidP="00B617A2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16CBA" w:rsidRPr="00791AD5" w14:paraId="24808532" w14:textId="77777777" w:rsidTr="00B617A2">
        <w:trPr>
          <w:trHeight w:val="481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B4B26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Ustün et al., 2013</w:t>
            </w:r>
            <w:r w:rsidRPr="00791AD5">
              <w:rPr>
                <w:rFonts w:ascii="Times New Roman" w:eastAsia="新細明體" w:hAnsi="Times New Roman" w:cs="Times New Roman"/>
                <w:noProof/>
                <w:color w:val="000000" w:themeColor="text1"/>
                <w:kern w:val="24"/>
                <w:szCs w:val="24"/>
                <w:vertAlign w:val="superscript"/>
              </w:rPr>
              <w:t>27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2C4D8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40 mg of methylprednisolone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A69AB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ut-</w:t>
            </w:r>
            <w:r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of-</w:t>
            </w: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plane ulnar approach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8A4F8D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1A8B5E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45.96 (10.49)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61895D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16.78 (10.65)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DF8410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23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A1408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42.71 (11.38)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F55E9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10.19 (10.19)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CFD824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BCTQ (SSS, FSS)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A3805F" w14:textId="77777777" w:rsidR="00F16CBA" w:rsidRPr="00791AD5" w:rsidRDefault="00F16CBA" w:rsidP="00B617A2">
            <w:pPr>
              <w:widowControl/>
              <w:jc w:val="center"/>
              <w:textAlignment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>12</w:t>
            </w:r>
          </w:p>
        </w:tc>
      </w:tr>
      <w:tr w:rsidR="00F16CBA" w:rsidRPr="00791AD5" w14:paraId="3B66CAE0" w14:textId="77777777" w:rsidTr="00B617A2">
        <w:trPr>
          <w:trHeight w:val="504"/>
        </w:trPr>
        <w:tc>
          <w:tcPr>
            <w:tcW w:w="152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82A0FC" w14:textId="77777777" w:rsidR="00F16CBA" w:rsidRPr="00791AD5" w:rsidRDefault="00F16CBA" w:rsidP="00B617A2">
            <w:pPr>
              <w:widowControl/>
              <w:textAlignment w:val="center"/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</w:pPr>
            <w:r w:rsidRPr="00791AD5">
              <w:rPr>
                <w:rFonts w:ascii="Times New Roman" w:eastAsia="新細明體" w:hAnsi="Times New Roman" w:cs="Times New Roman"/>
                <w:color w:val="000000" w:themeColor="text1"/>
                <w:kern w:val="24"/>
                <w:szCs w:val="24"/>
              </w:rPr>
              <w:t xml:space="preserve">N/A, Not applicable; BCTQ, Boston Carpal Tunnel Syndrome Questionnaire; SSS, Symptom Severity Scale; FSS, Functional Status Scale; SNAP, sensory nerve action potential; CMAP, compound muscle action potential; SNCV, sensory nerve conduction velocity; DML, distal motor latency; DSL, distal sensory latency; SD, standard deviation.  </w:t>
            </w:r>
          </w:p>
        </w:tc>
      </w:tr>
    </w:tbl>
    <w:p w14:paraId="7181B96E" w14:textId="77777777" w:rsidR="00F7671B" w:rsidRPr="00F16CBA" w:rsidRDefault="00F7671B" w:rsidP="00F16CBA">
      <w:bookmarkStart w:id="1" w:name="_GoBack"/>
      <w:bookmarkEnd w:id="1"/>
    </w:p>
    <w:sectPr w:rsidR="00F7671B" w:rsidRPr="00F16CBA" w:rsidSect="00375E3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ris" w:date="2020-12-04T12:04:00Z" w:initials="c">
    <w:p w14:paraId="3DCBF55A" w14:textId="77777777" w:rsidR="00F16CBA" w:rsidRDefault="00F16CBA" w:rsidP="00F16CB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S</w:t>
      </w:r>
      <w:r>
        <w:t>ome instances of mean symptoms duration are given in days; please consider converting all durations to days for consistency.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CBF55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6A08" w14:textId="77777777" w:rsidR="005469E8" w:rsidRDefault="005469E8" w:rsidP="00375E31">
      <w:r>
        <w:separator/>
      </w:r>
    </w:p>
  </w:endnote>
  <w:endnote w:type="continuationSeparator" w:id="0">
    <w:p w14:paraId="47924FA7" w14:textId="77777777" w:rsidR="005469E8" w:rsidRDefault="005469E8" w:rsidP="0037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7F4F" w14:textId="77777777" w:rsidR="005469E8" w:rsidRDefault="005469E8" w:rsidP="00375E31">
      <w:r>
        <w:separator/>
      </w:r>
    </w:p>
  </w:footnote>
  <w:footnote w:type="continuationSeparator" w:id="0">
    <w:p w14:paraId="3FEF1317" w14:textId="77777777" w:rsidR="005469E8" w:rsidRDefault="005469E8" w:rsidP="00375E3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">
    <w15:presenceInfo w15:providerId="None" w15:userId="ch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EC"/>
    <w:rsid w:val="00375E31"/>
    <w:rsid w:val="005469E8"/>
    <w:rsid w:val="00583B2F"/>
    <w:rsid w:val="008A22EC"/>
    <w:rsid w:val="00F16CBA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CF864"/>
  <w15:chartTrackingRefBased/>
  <w15:docId w15:val="{FA6D5FF4-0DFE-4476-963D-BDBDCEF2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5E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5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5E31"/>
    <w:rPr>
      <w:sz w:val="20"/>
      <w:szCs w:val="20"/>
    </w:rPr>
  </w:style>
  <w:style w:type="character" w:styleId="a7">
    <w:name w:val="annotation reference"/>
    <w:basedOn w:val="a0"/>
    <w:uiPriority w:val="99"/>
    <w:unhideWhenUsed/>
    <w:rsid w:val="00F16C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16CBA"/>
  </w:style>
  <w:style w:type="character" w:customStyle="1" w:styleId="a9">
    <w:name w:val="註解文字 字元"/>
    <w:basedOn w:val="a0"/>
    <w:link w:val="a8"/>
    <w:uiPriority w:val="99"/>
    <w:rsid w:val="00F1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楊富安</dc:creator>
  <cp:keywords/>
  <dc:description/>
  <cp:lastModifiedBy>楊富安</cp:lastModifiedBy>
  <cp:revision>3</cp:revision>
  <dcterms:created xsi:type="dcterms:W3CDTF">2020-11-24T03:12:00Z</dcterms:created>
  <dcterms:modified xsi:type="dcterms:W3CDTF">2020-12-09T08:27:00Z</dcterms:modified>
</cp:coreProperties>
</file>