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655B" w14:textId="2DD0BBC0" w:rsidR="001546BE" w:rsidRDefault="001546BE" w:rsidP="001546BE">
      <w:pPr>
        <w:jc w:val="both"/>
        <w:rPr>
          <w:lang w:val="en-US"/>
        </w:rPr>
      </w:pPr>
      <w:r>
        <w:rPr>
          <w:noProof/>
          <w:lang w:eastAsia="de-DE"/>
        </w:rPr>
        <w:drawing>
          <wp:inline distT="0" distB="0" distL="0" distR="0" wp14:anchorId="5DDC4149" wp14:editId="7FC7C4AA">
            <wp:extent cx="3422650" cy="1911350"/>
            <wp:effectExtent l="0" t="0" r="6350" b="0"/>
            <wp:docPr id="4" name="Picture 4" descr="A picture containing text, outdoor, aquarium, vess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utdoor, aquarium, vesse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2650" cy="1911350"/>
                    </a:xfrm>
                    <a:prstGeom prst="rect">
                      <a:avLst/>
                    </a:prstGeom>
                    <a:noFill/>
                    <a:ln>
                      <a:noFill/>
                    </a:ln>
                  </pic:spPr>
                </pic:pic>
              </a:graphicData>
            </a:graphic>
          </wp:inline>
        </w:drawing>
      </w:r>
    </w:p>
    <w:p w14:paraId="1690347F" w14:textId="77777777" w:rsidR="001546BE" w:rsidRDefault="001546BE" w:rsidP="001546BE">
      <w:pPr>
        <w:jc w:val="both"/>
        <w:rPr>
          <w:lang w:val="en-US"/>
        </w:rPr>
      </w:pPr>
      <w:r>
        <w:rPr>
          <w:b/>
          <w:lang w:val="en-US"/>
        </w:rPr>
        <w:t xml:space="preserve">Supplemental Figure 1. Phenotype analysis of homozygous, hemizygous and WT plants. </w:t>
      </w:r>
      <w:r>
        <w:rPr>
          <w:lang w:val="en-US"/>
        </w:rPr>
        <w:t xml:space="preserve">Representative pictures were taken from three homozygous, hemizygous and WT plants at 7.5 </w:t>
      </w:r>
      <w:proofErr w:type="gramStart"/>
      <w:r>
        <w:rPr>
          <w:lang w:val="en-US"/>
        </w:rPr>
        <w:t>weeks-old</w:t>
      </w:r>
      <w:proofErr w:type="gramEnd"/>
      <w:r>
        <w:rPr>
          <w:lang w:val="en-US"/>
        </w:rPr>
        <w:t>. No phenotypic differences were observed. Scale bars represent 5 cm.</w:t>
      </w:r>
    </w:p>
    <w:p w14:paraId="353A96D9" w14:textId="77777777" w:rsidR="001546BE" w:rsidRDefault="001546BE" w:rsidP="001546BE">
      <w:pPr>
        <w:jc w:val="both"/>
        <w:rPr>
          <w:lang w:val="en-US"/>
        </w:rPr>
      </w:pPr>
    </w:p>
    <w:p w14:paraId="23B9CAD7" w14:textId="77777777" w:rsidR="001546BE" w:rsidRDefault="001546BE" w:rsidP="001546BE">
      <w:pPr>
        <w:jc w:val="both"/>
        <w:rPr>
          <w:lang w:val="en-US"/>
        </w:rPr>
      </w:pPr>
    </w:p>
    <w:p w14:paraId="29A762F0" w14:textId="77777777" w:rsidR="001546BE" w:rsidRDefault="001546BE" w:rsidP="001546BE">
      <w:pPr>
        <w:jc w:val="both"/>
        <w:rPr>
          <w:lang w:val="en-US"/>
        </w:rPr>
      </w:pPr>
    </w:p>
    <w:p w14:paraId="158B59F2" w14:textId="77777777" w:rsidR="001546BE" w:rsidRDefault="001546BE" w:rsidP="001546BE">
      <w:pPr>
        <w:rPr>
          <w:lang w:val="en-US"/>
        </w:rPr>
      </w:pPr>
      <w:r>
        <w:rPr>
          <w:lang w:val="en-US"/>
        </w:rPr>
        <w:br w:type="page"/>
      </w:r>
    </w:p>
    <w:p w14:paraId="1E065AB4" w14:textId="24332D0F" w:rsidR="001546BE" w:rsidRDefault="001546BE" w:rsidP="001546BE">
      <w:pPr>
        <w:jc w:val="both"/>
        <w:rPr>
          <w:lang w:val="en-US"/>
        </w:rPr>
      </w:pPr>
      <w:r>
        <w:rPr>
          <w:noProof/>
          <w:lang w:eastAsia="de-DE"/>
        </w:rPr>
        <w:lastRenderedPageBreak/>
        <w:drawing>
          <wp:inline distT="0" distB="0" distL="0" distR="0" wp14:anchorId="65C186C0" wp14:editId="34EA8669">
            <wp:extent cx="2146300" cy="838200"/>
            <wp:effectExtent l="0" t="0" r="635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300" cy="838200"/>
                    </a:xfrm>
                    <a:prstGeom prst="rect">
                      <a:avLst/>
                    </a:prstGeom>
                    <a:noFill/>
                    <a:ln>
                      <a:noFill/>
                    </a:ln>
                  </pic:spPr>
                </pic:pic>
              </a:graphicData>
            </a:graphic>
          </wp:inline>
        </w:drawing>
      </w:r>
    </w:p>
    <w:p w14:paraId="74D2714C" w14:textId="77777777" w:rsidR="001546BE" w:rsidRDefault="001546BE" w:rsidP="001546BE">
      <w:pPr>
        <w:jc w:val="both"/>
        <w:rPr>
          <w:lang w:val="en-US"/>
        </w:rPr>
      </w:pPr>
      <w:r>
        <w:rPr>
          <w:b/>
          <w:lang w:val="en-US"/>
        </w:rPr>
        <w:t>Supplemental Figure 2</w:t>
      </w:r>
      <w:r>
        <w:rPr>
          <w:lang w:val="en-US"/>
        </w:rPr>
        <w:t xml:space="preserve">. </w:t>
      </w:r>
      <w:r>
        <w:rPr>
          <w:b/>
          <w:lang w:val="en-US"/>
        </w:rPr>
        <w:t>Representative siliques from homozygous, hemizygous and WT plants.</w:t>
      </w:r>
      <w:r>
        <w:rPr>
          <w:lang w:val="en-US"/>
        </w:rPr>
        <w:t xml:space="preserve"> We observed empty spaces in place of seeds in several siliques of the hemizygous plants.</w:t>
      </w:r>
    </w:p>
    <w:p w14:paraId="48515C82" w14:textId="77777777" w:rsidR="001546BE" w:rsidRDefault="001546BE" w:rsidP="001546BE">
      <w:pPr>
        <w:jc w:val="both"/>
        <w:rPr>
          <w:lang w:val="en-US"/>
        </w:rPr>
      </w:pPr>
    </w:p>
    <w:p w14:paraId="7456B047" w14:textId="77777777" w:rsidR="001546BE" w:rsidRDefault="001546BE" w:rsidP="001546BE">
      <w:pPr>
        <w:jc w:val="both"/>
        <w:rPr>
          <w:lang w:val="en-US"/>
        </w:rPr>
      </w:pPr>
    </w:p>
    <w:p w14:paraId="3CB597D1" w14:textId="2045757E" w:rsidR="001546BE" w:rsidRDefault="001546BE" w:rsidP="001546BE">
      <w:pPr>
        <w:jc w:val="both"/>
        <w:rPr>
          <w:lang w:val="en-US"/>
        </w:rPr>
      </w:pPr>
      <w:r>
        <w:rPr>
          <w:noProof/>
          <w:lang w:eastAsia="de-DE"/>
        </w:rPr>
        <w:lastRenderedPageBreak/>
        <w:drawing>
          <wp:inline distT="0" distB="0" distL="0" distR="0" wp14:anchorId="4C5B6FE8" wp14:editId="49A37ED4">
            <wp:extent cx="2997835" cy="8229600"/>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835" cy="8229600"/>
                    </a:xfrm>
                    <a:prstGeom prst="rect">
                      <a:avLst/>
                    </a:prstGeom>
                    <a:noFill/>
                    <a:ln>
                      <a:noFill/>
                    </a:ln>
                  </pic:spPr>
                </pic:pic>
              </a:graphicData>
            </a:graphic>
          </wp:inline>
        </w:drawing>
      </w:r>
    </w:p>
    <w:p w14:paraId="1D8E08DD" w14:textId="77777777" w:rsidR="001546BE" w:rsidRDefault="001546BE" w:rsidP="001546BE">
      <w:pPr>
        <w:jc w:val="both"/>
        <w:rPr>
          <w:lang w:val="en-US"/>
        </w:rPr>
      </w:pPr>
      <w:r>
        <w:rPr>
          <w:b/>
          <w:lang w:val="en-US"/>
        </w:rPr>
        <w:lastRenderedPageBreak/>
        <w:t>Supplemental Figure 3. Overview of the detected CO events in the Col-0 x Ler-1 line on chromosome 2. a</w:t>
      </w:r>
      <w:r>
        <w:rPr>
          <w:lang w:val="en-US"/>
        </w:rPr>
        <w:t>, Overview of marker changes which originated from</w:t>
      </w:r>
      <w:r>
        <w:rPr>
          <w:rFonts w:cstheme="minorHAnsi"/>
          <w:szCs w:val="24"/>
          <w:lang w:val="en-US"/>
        </w:rPr>
        <w:t xml:space="preserve"> a single CO on one chromosome (187)</w:t>
      </w:r>
      <w:r>
        <w:rPr>
          <w:lang w:val="en-US"/>
        </w:rPr>
        <w:t xml:space="preserve">. The Col-0 allele is represented by blue bars and the Ler-1 allele by red bars. </w:t>
      </w:r>
      <w:r>
        <w:rPr>
          <w:b/>
          <w:lang w:val="en-US"/>
        </w:rPr>
        <w:t>b</w:t>
      </w:r>
      <w:r>
        <w:rPr>
          <w:lang w:val="en-US"/>
        </w:rPr>
        <w:t xml:space="preserve">, Overview of marker changes which </w:t>
      </w:r>
      <w:r>
        <w:rPr>
          <w:rFonts w:cstheme="minorHAnsi"/>
          <w:szCs w:val="24"/>
          <w:lang w:val="en-US"/>
        </w:rPr>
        <w:t>originated from two different single CO, one on each chromosome (30)</w:t>
      </w:r>
      <w:r>
        <w:rPr>
          <w:lang w:val="en-US"/>
        </w:rPr>
        <w:t xml:space="preserve">. The Col-0 allele is represented by blue bars and the Ler-1 allele by red bars. The detection of both the Col-0 and Ler-1 allele is represented by orange bars. </w:t>
      </w:r>
      <w:r>
        <w:rPr>
          <w:b/>
          <w:lang w:val="en-US"/>
        </w:rPr>
        <w:t>c</w:t>
      </w:r>
      <w:r>
        <w:rPr>
          <w:lang w:val="en-US"/>
        </w:rPr>
        <w:t xml:space="preserve">, Overview of marker changes which </w:t>
      </w:r>
      <w:r>
        <w:rPr>
          <w:rFonts w:cstheme="minorHAnsi"/>
          <w:szCs w:val="24"/>
          <w:lang w:val="en-US"/>
        </w:rPr>
        <w:t>originated from an identical single CO on both chromosomes (8)</w:t>
      </w:r>
      <w:r>
        <w:rPr>
          <w:lang w:val="en-US"/>
        </w:rPr>
        <w:t>. The Col-0 allele is represented by blue bars and the Ler-1 allele by red bars.</w:t>
      </w:r>
      <w:r>
        <w:rPr>
          <w:b/>
          <w:lang w:val="en-US"/>
        </w:rPr>
        <w:t xml:space="preserve"> d</w:t>
      </w:r>
      <w:r>
        <w:rPr>
          <w:lang w:val="en-US"/>
        </w:rPr>
        <w:t xml:space="preserve">, Overview of marker changes which </w:t>
      </w:r>
      <w:r>
        <w:rPr>
          <w:rFonts w:cstheme="minorHAnsi"/>
          <w:szCs w:val="24"/>
          <w:lang w:val="en-US"/>
        </w:rPr>
        <w:t>originated from a double CO on one chromosome</w:t>
      </w:r>
      <w:r>
        <w:rPr>
          <w:lang w:val="en-US"/>
        </w:rPr>
        <w:t xml:space="preserve"> (59). The Col-0 allele is represented by blue bars and the Ler-1 allele by red bars. </w:t>
      </w:r>
      <w:r>
        <w:rPr>
          <w:b/>
          <w:lang w:val="en-US"/>
        </w:rPr>
        <w:t>e</w:t>
      </w:r>
      <w:r>
        <w:rPr>
          <w:lang w:val="en-US"/>
        </w:rPr>
        <w:t xml:space="preserve">, </w:t>
      </w:r>
      <w:proofErr w:type="gramStart"/>
      <w:r>
        <w:rPr>
          <w:lang w:val="en-US"/>
        </w:rPr>
        <w:t>In</w:t>
      </w:r>
      <w:proofErr w:type="gramEnd"/>
      <w:r>
        <w:rPr>
          <w:lang w:val="en-US"/>
        </w:rPr>
        <w:t xml:space="preserve"> one sample, we detected 3 CO: </w:t>
      </w:r>
      <w:r>
        <w:rPr>
          <w:rFonts w:cstheme="minorHAnsi"/>
          <w:szCs w:val="24"/>
          <w:lang w:val="en-US"/>
        </w:rPr>
        <w:t>a double CO on one chromosome and a single CO on the second chromosome</w:t>
      </w:r>
      <w:r>
        <w:rPr>
          <w:lang w:val="en-US"/>
        </w:rPr>
        <w:t xml:space="preserve">. The Col-0 allele is represented by blue bars and the Ler-1 allele by red bars. The detection of both the Col-0 and Ler-1 allele is represented by orange bars. </w:t>
      </w:r>
      <w:r>
        <w:rPr>
          <w:b/>
          <w:lang w:val="en-US"/>
        </w:rPr>
        <w:t>f</w:t>
      </w:r>
      <w:r>
        <w:rPr>
          <w:lang w:val="en-US"/>
        </w:rPr>
        <w:t xml:space="preserve">, </w:t>
      </w:r>
      <w:r>
        <w:rPr>
          <w:rFonts w:cstheme="minorHAnsi"/>
          <w:szCs w:val="24"/>
          <w:lang w:val="en-US"/>
        </w:rPr>
        <w:t>14 samples showed marker changes originating from multiple CO events that could not be clearly assigned to either of the two chromosomes.</w:t>
      </w:r>
      <w:r>
        <w:rPr>
          <w:lang w:val="en-US"/>
        </w:rPr>
        <w:t xml:space="preserve"> The Col-0 allele is represented by blue bars and the Ler-1 allele by red bars. The detection of both the Col-0 and Ler-1 allele is represented by orange bars.</w:t>
      </w:r>
    </w:p>
    <w:p w14:paraId="6CF6DB40" w14:textId="77777777" w:rsidR="001546BE" w:rsidRDefault="001546BE" w:rsidP="001546BE">
      <w:pPr>
        <w:rPr>
          <w:lang w:val="en-US"/>
        </w:rPr>
      </w:pPr>
      <w:r>
        <w:rPr>
          <w:lang w:val="en-US"/>
        </w:rPr>
        <w:br w:type="page"/>
      </w:r>
    </w:p>
    <w:p w14:paraId="554625B4" w14:textId="62C5CAEF" w:rsidR="001546BE" w:rsidRDefault="001546BE" w:rsidP="001546BE">
      <w:pPr>
        <w:jc w:val="both"/>
        <w:rPr>
          <w:lang w:val="en-US"/>
        </w:rPr>
      </w:pPr>
      <w:r>
        <w:rPr>
          <w:noProof/>
          <w:lang w:eastAsia="de-DE"/>
        </w:rPr>
        <w:lastRenderedPageBreak/>
        <w:drawing>
          <wp:inline distT="0" distB="0" distL="0" distR="0" wp14:anchorId="6AE0F04B" wp14:editId="1D04F8B4">
            <wp:extent cx="4343400" cy="1790700"/>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b="35835"/>
                    <a:stretch>
                      <a:fillRect/>
                    </a:stretch>
                  </pic:blipFill>
                  <pic:spPr bwMode="auto">
                    <a:xfrm>
                      <a:off x="0" y="0"/>
                      <a:ext cx="4343400" cy="1790700"/>
                    </a:xfrm>
                    <a:prstGeom prst="rect">
                      <a:avLst/>
                    </a:prstGeom>
                    <a:noFill/>
                    <a:ln>
                      <a:noFill/>
                    </a:ln>
                  </pic:spPr>
                </pic:pic>
              </a:graphicData>
            </a:graphic>
          </wp:inline>
        </w:drawing>
      </w:r>
    </w:p>
    <w:p w14:paraId="7F21432D" w14:textId="77777777" w:rsidR="001546BE" w:rsidRDefault="001546BE" w:rsidP="001546BE">
      <w:pPr>
        <w:jc w:val="both"/>
        <w:rPr>
          <w:lang w:val="en-US"/>
        </w:rPr>
      </w:pPr>
      <w:r>
        <w:rPr>
          <w:b/>
          <w:lang w:val="en-US"/>
        </w:rPr>
        <w:t xml:space="preserve">Supplemental Figure 4. Average size of double COs on chromosome 2 in offspring of the Inversion x Ler-1 (green) and Col-0 x Ler-1 (blue) lines. </w:t>
      </w:r>
      <w:r>
        <w:rPr>
          <w:lang w:val="en-US"/>
        </w:rPr>
        <w:t xml:space="preserve">The average size of each double CO was determined by first calculating the distance between the position of the first and last changed SNP (minimum double CO size) and then calculating the distance between the </w:t>
      </w:r>
      <w:proofErr w:type="spellStart"/>
      <w:r>
        <w:rPr>
          <w:lang w:val="en-US"/>
        </w:rPr>
        <w:t>neighbouring</w:t>
      </w:r>
      <w:proofErr w:type="spellEnd"/>
      <w:r>
        <w:rPr>
          <w:lang w:val="en-US"/>
        </w:rPr>
        <w:t xml:space="preserve"> unchanged markers (largest possible size of the double CO). Then, the average size of each double CO was determined by calculating the average of the minimum and maximum size of the CO. The boxplot shows the average size of each double CO of the offspring of the Inv x Ler-1 (n=16) and Col-0 x Ler-1 (n=60) line. The middle line represents the median, box edges represent </w:t>
      </w:r>
      <w:proofErr w:type="gramStart"/>
      <w:r>
        <w:rPr>
          <w:lang w:val="en-US"/>
        </w:rPr>
        <w:t>first</w:t>
      </w:r>
      <w:proofErr w:type="gramEnd"/>
      <w:r>
        <w:rPr>
          <w:lang w:val="en-US"/>
        </w:rPr>
        <w:t xml:space="preserve"> and third quartiles and whiskers extend to the minimum and maximum, respectively. The p values were calculated using a two-tailed t-test (** p &lt; 0.01). Source data are provided as Source Data file.</w:t>
      </w:r>
    </w:p>
    <w:p w14:paraId="44FB26DF" w14:textId="7A0AE09A" w:rsidR="00AF2E74" w:rsidRDefault="00AF2E74"/>
    <w:p w14:paraId="0E576AA3" w14:textId="4AA297E7" w:rsidR="001546BE" w:rsidRDefault="001546BE"/>
    <w:p w14:paraId="699B25B4" w14:textId="77777777" w:rsidR="001546BE" w:rsidRDefault="001546BE" w:rsidP="001546BE">
      <w:pPr>
        <w:jc w:val="both"/>
        <w:rPr>
          <w:lang w:val="en-US"/>
        </w:rPr>
      </w:pPr>
      <w:r>
        <w:rPr>
          <w:b/>
          <w:lang w:val="en-US"/>
        </w:rPr>
        <w:t xml:space="preserve">Supplemental Table 1. Mendelian segregation of the inversion line. </w:t>
      </w:r>
      <w:r>
        <w:rPr>
          <w:lang w:val="en-US"/>
        </w:rPr>
        <w:t xml:space="preserve">The progeny of the </w:t>
      </w:r>
      <w:proofErr w:type="spellStart"/>
      <w:r>
        <w:rPr>
          <w:lang w:val="en-US"/>
        </w:rPr>
        <w:t>heimzygous</w:t>
      </w:r>
      <w:proofErr w:type="spellEnd"/>
      <w:r>
        <w:rPr>
          <w:lang w:val="en-US"/>
        </w:rPr>
        <w:t xml:space="preserve"> inversion line was genotyped via PCR in the T3 generation by screening for the presence of the inversion-specific and WT junctions. Using the χ² test with the critical value χ² (1; 0.95), it was confirmed that the number of homozygous, heterozygous and WT plants corresponded to Mendel’s laws of segregation. The analysis was repeated two times, with 41 and 37 plants, respectively.</w:t>
      </w:r>
    </w:p>
    <w:tbl>
      <w:tblPr>
        <w:tblStyle w:val="TableGrid"/>
        <w:tblpPr w:leftFromText="141" w:rightFromText="141" w:vertAnchor="text" w:horzAnchor="margin" w:tblpXSpec="center" w:tblpY="155"/>
        <w:tblW w:w="10677" w:type="dxa"/>
        <w:tblInd w:w="0" w:type="dxa"/>
        <w:tblLook w:val="04A0" w:firstRow="1" w:lastRow="0" w:firstColumn="1" w:lastColumn="0" w:noHBand="0" w:noVBand="1"/>
      </w:tblPr>
      <w:tblGrid>
        <w:gridCol w:w="1271"/>
        <w:gridCol w:w="1018"/>
        <w:gridCol w:w="1071"/>
        <w:gridCol w:w="441"/>
        <w:gridCol w:w="786"/>
        <w:gridCol w:w="819"/>
        <w:gridCol w:w="581"/>
        <w:gridCol w:w="954"/>
        <w:gridCol w:w="993"/>
        <w:gridCol w:w="1034"/>
        <w:gridCol w:w="855"/>
        <w:gridCol w:w="996"/>
      </w:tblGrid>
      <w:tr w:rsidR="001546BE" w14:paraId="694CC9C2" w14:textId="77777777" w:rsidTr="001546BE">
        <w:trPr>
          <w:trHeight w:val="263"/>
        </w:trPr>
        <w:tc>
          <w:tcPr>
            <w:tcW w:w="1271" w:type="dxa"/>
            <w:tcBorders>
              <w:top w:val="single" w:sz="4" w:space="0" w:color="auto"/>
              <w:left w:val="single" w:sz="4" w:space="0" w:color="auto"/>
              <w:bottom w:val="single" w:sz="4" w:space="0" w:color="auto"/>
              <w:right w:val="single" w:sz="4" w:space="0" w:color="auto"/>
            </w:tcBorders>
            <w:noWrap/>
            <w:hideMark/>
          </w:tcPr>
          <w:p w14:paraId="00024AAD" w14:textId="77777777" w:rsidR="001546BE" w:rsidRDefault="001546BE">
            <w:pPr>
              <w:spacing w:line="240" w:lineRule="auto"/>
              <w:rPr>
                <w:b/>
                <w:bCs/>
                <w:sz w:val="16"/>
              </w:rPr>
            </w:pPr>
            <w:r>
              <w:rPr>
                <w:b/>
                <w:bCs/>
                <w:sz w:val="16"/>
              </w:rPr>
              <w:t>Number of screened plants</w:t>
            </w:r>
          </w:p>
        </w:tc>
        <w:tc>
          <w:tcPr>
            <w:tcW w:w="876" w:type="dxa"/>
            <w:tcBorders>
              <w:top w:val="single" w:sz="4" w:space="0" w:color="auto"/>
              <w:left w:val="single" w:sz="4" w:space="0" w:color="auto"/>
              <w:bottom w:val="single" w:sz="4" w:space="0" w:color="auto"/>
              <w:right w:val="single" w:sz="4" w:space="0" w:color="auto"/>
            </w:tcBorders>
            <w:noWrap/>
            <w:hideMark/>
          </w:tcPr>
          <w:p w14:paraId="72F791FB" w14:textId="77777777" w:rsidR="001546BE" w:rsidRDefault="001546BE">
            <w:pPr>
              <w:spacing w:line="240" w:lineRule="auto"/>
              <w:rPr>
                <w:b/>
                <w:bCs/>
                <w:sz w:val="16"/>
              </w:rPr>
            </w:pPr>
            <w:r>
              <w:rPr>
                <w:b/>
                <w:bCs/>
                <w:sz w:val="16"/>
              </w:rPr>
              <w:t>Hemizygous</w:t>
            </w:r>
          </w:p>
        </w:tc>
        <w:tc>
          <w:tcPr>
            <w:tcW w:w="1071" w:type="dxa"/>
            <w:tcBorders>
              <w:top w:val="single" w:sz="4" w:space="0" w:color="auto"/>
              <w:left w:val="single" w:sz="4" w:space="0" w:color="auto"/>
              <w:bottom w:val="single" w:sz="4" w:space="0" w:color="auto"/>
              <w:right w:val="single" w:sz="4" w:space="0" w:color="auto"/>
            </w:tcBorders>
            <w:noWrap/>
            <w:hideMark/>
          </w:tcPr>
          <w:p w14:paraId="1EA840CD" w14:textId="77777777" w:rsidR="001546BE" w:rsidRDefault="001546BE">
            <w:pPr>
              <w:spacing w:line="240" w:lineRule="auto"/>
              <w:rPr>
                <w:b/>
                <w:bCs/>
                <w:sz w:val="16"/>
              </w:rPr>
            </w:pPr>
            <w:r>
              <w:rPr>
                <w:b/>
                <w:bCs/>
                <w:sz w:val="16"/>
              </w:rPr>
              <w:t>Homozygous</w:t>
            </w:r>
          </w:p>
        </w:tc>
        <w:tc>
          <w:tcPr>
            <w:tcW w:w="441" w:type="dxa"/>
            <w:tcBorders>
              <w:top w:val="single" w:sz="4" w:space="0" w:color="auto"/>
              <w:left w:val="single" w:sz="4" w:space="0" w:color="auto"/>
              <w:bottom w:val="single" w:sz="4" w:space="0" w:color="auto"/>
              <w:right w:val="single" w:sz="4" w:space="0" w:color="auto"/>
            </w:tcBorders>
            <w:noWrap/>
            <w:hideMark/>
          </w:tcPr>
          <w:p w14:paraId="37CAA80E" w14:textId="77777777" w:rsidR="001546BE" w:rsidRDefault="001546BE">
            <w:pPr>
              <w:spacing w:line="240" w:lineRule="auto"/>
              <w:rPr>
                <w:b/>
                <w:bCs/>
                <w:sz w:val="16"/>
              </w:rPr>
            </w:pPr>
            <w:r>
              <w:rPr>
                <w:b/>
                <w:bCs/>
                <w:sz w:val="16"/>
              </w:rPr>
              <w:t>WT</w:t>
            </w:r>
          </w:p>
        </w:tc>
        <w:tc>
          <w:tcPr>
            <w:tcW w:w="786" w:type="dxa"/>
            <w:tcBorders>
              <w:top w:val="single" w:sz="4" w:space="0" w:color="auto"/>
              <w:left w:val="single" w:sz="4" w:space="0" w:color="auto"/>
              <w:bottom w:val="single" w:sz="4" w:space="0" w:color="auto"/>
              <w:right w:val="single" w:sz="4" w:space="0" w:color="auto"/>
            </w:tcBorders>
            <w:noWrap/>
            <w:hideMark/>
          </w:tcPr>
          <w:p w14:paraId="749DE1AC" w14:textId="77777777" w:rsidR="001546BE" w:rsidRDefault="001546BE">
            <w:pPr>
              <w:spacing w:line="240" w:lineRule="auto"/>
              <w:rPr>
                <w:b/>
                <w:bCs/>
                <w:sz w:val="16"/>
              </w:rPr>
            </w:pPr>
            <w:r>
              <w:rPr>
                <w:b/>
                <w:bCs/>
                <w:sz w:val="16"/>
              </w:rPr>
              <w:t>E</w:t>
            </w:r>
            <w:r>
              <w:rPr>
                <w:b/>
                <w:bCs/>
                <w:sz w:val="16"/>
                <w:vertAlign w:val="subscript"/>
              </w:rPr>
              <w:t>hemizygous</w:t>
            </w:r>
          </w:p>
        </w:tc>
        <w:tc>
          <w:tcPr>
            <w:tcW w:w="819" w:type="dxa"/>
            <w:tcBorders>
              <w:top w:val="single" w:sz="4" w:space="0" w:color="auto"/>
              <w:left w:val="single" w:sz="4" w:space="0" w:color="auto"/>
              <w:bottom w:val="single" w:sz="4" w:space="0" w:color="auto"/>
              <w:right w:val="single" w:sz="4" w:space="0" w:color="auto"/>
            </w:tcBorders>
            <w:noWrap/>
            <w:hideMark/>
          </w:tcPr>
          <w:p w14:paraId="67E7735A" w14:textId="77777777" w:rsidR="001546BE" w:rsidRDefault="001546BE">
            <w:pPr>
              <w:spacing w:line="240" w:lineRule="auto"/>
              <w:rPr>
                <w:b/>
                <w:bCs/>
                <w:sz w:val="16"/>
              </w:rPr>
            </w:pPr>
            <w:r>
              <w:rPr>
                <w:b/>
                <w:bCs/>
                <w:sz w:val="16"/>
              </w:rPr>
              <w:t>E</w:t>
            </w:r>
            <w:r>
              <w:rPr>
                <w:b/>
                <w:bCs/>
                <w:sz w:val="16"/>
                <w:vertAlign w:val="subscript"/>
              </w:rPr>
              <w:t>homozygous</w:t>
            </w:r>
          </w:p>
        </w:tc>
        <w:tc>
          <w:tcPr>
            <w:tcW w:w="581" w:type="dxa"/>
            <w:tcBorders>
              <w:top w:val="single" w:sz="4" w:space="0" w:color="auto"/>
              <w:left w:val="single" w:sz="4" w:space="0" w:color="auto"/>
              <w:bottom w:val="single" w:sz="4" w:space="0" w:color="auto"/>
              <w:right w:val="single" w:sz="4" w:space="0" w:color="auto"/>
            </w:tcBorders>
            <w:noWrap/>
            <w:hideMark/>
          </w:tcPr>
          <w:p w14:paraId="354124E1" w14:textId="77777777" w:rsidR="001546BE" w:rsidRDefault="001546BE">
            <w:pPr>
              <w:spacing w:line="240" w:lineRule="auto"/>
              <w:rPr>
                <w:b/>
                <w:bCs/>
                <w:sz w:val="16"/>
              </w:rPr>
            </w:pPr>
            <w:r>
              <w:rPr>
                <w:b/>
                <w:bCs/>
                <w:sz w:val="16"/>
              </w:rPr>
              <w:t>E</w:t>
            </w:r>
            <w:r>
              <w:rPr>
                <w:b/>
                <w:bCs/>
                <w:sz w:val="16"/>
                <w:vertAlign w:val="subscript"/>
              </w:rPr>
              <w:t>WT</w:t>
            </w:r>
          </w:p>
        </w:tc>
        <w:tc>
          <w:tcPr>
            <w:tcW w:w="954" w:type="dxa"/>
            <w:tcBorders>
              <w:top w:val="single" w:sz="4" w:space="0" w:color="auto"/>
              <w:left w:val="single" w:sz="4" w:space="0" w:color="auto"/>
              <w:bottom w:val="single" w:sz="4" w:space="0" w:color="auto"/>
              <w:right w:val="single" w:sz="4" w:space="0" w:color="auto"/>
            </w:tcBorders>
            <w:noWrap/>
            <w:hideMark/>
          </w:tcPr>
          <w:p w14:paraId="1F3095C5" w14:textId="77777777" w:rsidR="001546BE" w:rsidRDefault="001546BE">
            <w:pPr>
              <w:spacing w:line="240" w:lineRule="auto"/>
              <w:rPr>
                <w:b/>
                <w:bCs/>
                <w:sz w:val="16"/>
              </w:rPr>
            </w:pPr>
            <w:r>
              <w:rPr>
                <w:b/>
                <w:bCs/>
                <w:sz w:val="16"/>
              </w:rPr>
              <w:t>B</w:t>
            </w:r>
            <w:r>
              <w:rPr>
                <w:b/>
                <w:bCs/>
                <w:sz w:val="16"/>
                <w:vertAlign w:val="subscript"/>
              </w:rPr>
              <w:t>i</w:t>
            </w:r>
            <w:r>
              <w:rPr>
                <w:b/>
                <w:bCs/>
                <w:sz w:val="16"/>
                <w:vertAlign w:val="superscript"/>
              </w:rPr>
              <w:t>2</w:t>
            </w:r>
            <w:r>
              <w:rPr>
                <w:b/>
                <w:bCs/>
                <w:sz w:val="16"/>
              </w:rPr>
              <w:t>/E</w:t>
            </w:r>
            <w:r>
              <w:rPr>
                <w:b/>
                <w:bCs/>
                <w:sz w:val="16"/>
                <w:vertAlign w:val="subscript"/>
              </w:rPr>
              <w:t>i hemizygous</w:t>
            </w:r>
          </w:p>
        </w:tc>
        <w:tc>
          <w:tcPr>
            <w:tcW w:w="993" w:type="dxa"/>
            <w:tcBorders>
              <w:top w:val="single" w:sz="4" w:space="0" w:color="auto"/>
              <w:left w:val="single" w:sz="4" w:space="0" w:color="auto"/>
              <w:bottom w:val="single" w:sz="4" w:space="0" w:color="auto"/>
              <w:right w:val="single" w:sz="4" w:space="0" w:color="auto"/>
            </w:tcBorders>
            <w:noWrap/>
            <w:hideMark/>
          </w:tcPr>
          <w:p w14:paraId="25EE6BBA" w14:textId="77777777" w:rsidR="001546BE" w:rsidRDefault="001546BE">
            <w:pPr>
              <w:spacing w:line="240" w:lineRule="auto"/>
              <w:rPr>
                <w:b/>
                <w:bCs/>
                <w:sz w:val="16"/>
              </w:rPr>
            </w:pPr>
            <w:r>
              <w:rPr>
                <w:b/>
                <w:bCs/>
                <w:sz w:val="16"/>
              </w:rPr>
              <w:t>B</w:t>
            </w:r>
            <w:r>
              <w:rPr>
                <w:b/>
                <w:bCs/>
                <w:sz w:val="16"/>
                <w:vertAlign w:val="subscript"/>
              </w:rPr>
              <w:t>i</w:t>
            </w:r>
            <w:r>
              <w:rPr>
                <w:b/>
                <w:bCs/>
                <w:sz w:val="16"/>
                <w:vertAlign w:val="superscript"/>
              </w:rPr>
              <w:t>2</w:t>
            </w:r>
            <w:r>
              <w:rPr>
                <w:b/>
                <w:bCs/>
                <w:sz w:val="16"/>
              </w:rPr>
              <w:t>/E</w:t>
            </w:r>
            <w:r>
              <w:rPr>
                <w:b/>
                <w:bCs/>
                <w:sz w:val="16"/>
                <w:vertAlign w:val="subscript"/>
              </w:rPr>
              <w:t>i</w:t>
            </w:r>
            <w:r>
              <w:rPr>
                <w:b/>
                <w:bCs/>
                <w:sz w:val="16"/>
              </w:rPr>
              <w:t xml:space="preserve"> </w:t>
            </w:r>
            <w:r>
              <w:rPr>
                <w:b/>
                <w:bCs/>
                <w:sz w:val="16"/>
                <w:vertAlign w:val="subscript"/>
              </w:rPr>
              <w:t>homozygous</w:t>
            </w:r>
          </w:p>
        </w:tc>
        <w:tc>
          <w:tcPr>
            <w:tcW w:w="1034" w:type="dxa"/>
            <w:tcBorders>
              <w:top w:val="single" w:sz="4" w:space="0" w:color="auto"/>
              <w:left w:val="single" w:sz="4" w:space="0" w:color="auto"/>
              <w:bottom w:val="single" w:sz="4" w:space="0" w:color="auto"/>
              <w:right w:val="single" w:sz="4" w:space="0" w:color="auto"/>
            </w:tcBorders>
            <w:noWrap/>
            <w:hideMark/>
          </w:tcPr>
          <w:p w14:paraId="46A78B26" w14:textId="77777777" w:rsidR="001546BE" w:rsidRDefault="001546BE">
            <w:pPr>
              <w:spacing w:line="240" w:lineRule="auto"/>
              <w:rPr>
                <w:b/>
                <w:bCs/>
                <w:sz w:val="16"/>
              </w:rPr>
            </w:pPr>
            <w:r>
              <w:rPr>
                <w:b/>
                <w:bCs/>
                <w:sz w:val="16"/>
              </w:rPr>
              <w:t>B</w:t>
            </w:r>
            <w:r>
              <w:rPr>
                <w:b/>
                <w:bCs/>
                <w:sz w:val="16"/>
                <w:vertAlign w:val="subscript"/>
              </w:rPr>
              <w:t>i</w:t>
            </w:r>
            <w:r>
              <w:rPr>
                <w:b/>
                <w:bCs/>
                <w:sz w:val="16"/>
                <w:vertAlign w:val="superscript"/>
              </w:rPr>
              <w:t>2</w:t>
            </w:r>
            <w:r>
              <w:rPr>
                <w:b/>
                <w:bCs/>
                <w:sz w:val="16"/>
              </w:rPr>
              <w:t>/E</w:t>
            </w:r>
            <w:r>
              <w:rPr>
                <w:b/>
                <w:bCs/>
                <w:sz w:val="16"/>
                <w:vertAlign w:val="subscript"/>
              </w:rPr>
              <w:t>i</w:t>
            </w:r>
            <w:r>
              <w:rPr>
                <w:b/>
                <w:bCs/>
                <w:sz w:val="16"/>
              </w:rPr>
              <w:t xml:space="preserve"> </w:t>
            </w:r>
            <w:r>
              <w:rPr>
                <w:b/>
                <w:bCs/>
                <w:sz w:val="16"/>
                <w:vertAlign w:val="subscript"/>
              </w:rPr>
              <w:t>WT</w:t>
            </w:r>
          </w:p>
        </w:tc>
        <w:tc>
          <w:tcPr>
            <w:tcW w:w="855" w:type="dxa"/>
            <w:tcBorders>
              <w:top w:val="single" w:sz="4" w:space="0" w:color="auto"/>
              <w:left w:val="single" w:sz="4" w:space="0" w:color="auto"/>
              <w:bottom w:val="single" w:sz="4" w:space="0" w:color="auto"/>
              <w:right w:val="single" w:sz="4" w:space="0" w:color="auto"/>
            </w:tcBorders>
            <w:noWrap/>
            <w:hideMark/>
          </w:tcPr>
          <w:p w14:paraId="2491FCB6" w14:textId="77777777" w:rsidR="001546BE" w:rsidRDefault="001546BE">
            <w:pPr>
              <w:spacing w:line="240" w:lineRule="auto"/>
              <w:rPr>
                <w:b/>
                <w:bCs/>
                <w:sz w:val="16"/>
              </w:rPr>
            </w:pPr>
            <w:r>
              <w:rPr>
                <w:b/>
                <w:bCs/>
                <w:sz w:val="16"/>
              </w:rPr>
              <w:t>X</w:t>
            </w:r>
            <w:r>
              <w:rPr>
                <w:b/>
                <w:bCs/>
                <w:sz w:val="16"/>
                <w:vertAlign w:val="superscript"/>
              </w:rPr>
              <w:t>2</w:t>
            </w:r>
          </w:p>
        </w:tc>
        <w:tc>
          <w:tcPr>
            <w:tcW w:w="996" w:type="dxa"/>
            <w:tcBorders>
              <w:top w:val="single" w:sz="4" w:space="0" w:color="auto"/>
              <w:left w:val="single" w:sz="4" w:space="0" w:color="auto"/>
              <w:bottom w:val="single" w:sz="4" w:space="0" w:color="auto"/>
              <w:right w:val="single" w:sz="4" w:space="0" w:color="auto"/>
            </w:tcBorders>
            <w:noWrap/>
            <w:hideMark/>
          </w:tcPr>
          <w:p w14:paraId="0F9885AC" w14:textId="77777777" w:rsidR="001546BE" w:rsidRDefault="001546BE">
            <w:pPr>
              <w:spacing w:line="240" w:lineRule="auto"/>
              <w:rPr>
                <w:b/>
                <w:bCs/>
                <w:sz w:val="16"/>
              </w:rPr>
            </w:pPr>
            <w:r>
              <w:rPr>
                <w:b/>
                <w:bCs/>
                <w:sz w:val="16"/>
              </w:rPr>
              <w:t>Mendelian segregation</w:t>
            </w:r>
          </w:p>
        </w:tc>
      </w:tr>
      <w:tr w:rsidR="001546BE" w14:paraId="33E868EB" w14:textId="77777777" w:rsidTr="001546BE">
        <w:trPr>
          <w:trHeight w:val="263"/>
        </w:trPr>
        <w:tc>
          <w:tcPr>
            <w:tcW w:w="1271" w:type="dxa"/>
            <w:tcBorders>
              <w:top w:val="single" w:sz="4" w:space="0" w:color="auto"/>
              <w:left w:val="single" w:sz="4" w:space="0" w:color="auto"/>
              <w:bottom w:val="single" w:sz="4" w:space="0" w:color="auto"/>
              <w:right w:val="single" w:sz="4" w:space="0" w:color="auto"/>
            </w:tcBorders>
            <w:noWrap/>
            <w:vAlign w:val="center"/>
            <w:hideMark/>
          </w:tcPr>
          <w:p w14:paraId="41E5131C" w14:textId="77777777" w:rsidR="001546BE" w:rsidRDefault="001546BE">
            <w:pPr>
              <w:spacing w:line="240" w:lineRule="auto"/>
              <w:jc w:val="center"/>
              <w:rPr>
                <w:sz w:val="16"/>
              </w:rPr>
            </w:pPr>
            <w:r>
              <w:rPr>
                <w:sz w:val="16"/>
              </w:rPr>
              <w:t>41</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0C1AE7C6" w14:textId="77777777" w:rsidR="001546BE" w:rsidRDefault="001546BE">
            <w:pPr>
              <w:spacing w:line="240" w:lineRule="auto"/>
              <w:jc w:val="center"/>
              <w:rPr>
                <w:sz w:val="16"/>
              </w:rPr>
            </w:pPr>
            <w:r>
              <w:rPr>
                <w:sz w:val="16"/>
              </w:rPr>
              <w:t>18</w:t>
            </w:r>
          </w:p>
        </w:tc>
        <w:tc>
          <w:tcPr>
            <w:tcW w:w="1071" w:type="dxa"/>
            <w:tcBorders>
              <w:top w:val="single" w:sz="4" w:space="0" w:color="auto"/>
              <w:left w:val="single" w:sz="4" w:space="0" w:color="auto"/>
              <w:bottom w:val="single" w:sz="4" w:space="0" w:color="auto"/>
              <w:right w:val="single" w:sz="4" w:space="0" w:color="auto"/>
            </w:tcBorders>
            <w:noWrap/>
            <w:vAlign w:val="center"/>
            <w:hideMark/>
          </w:tcPr>
          <w:p w14:paraId="7F3A5F28" w14:textId="77777777" w:rsidR="001546BE" w:rsidRDefault="001546BE">
            <w:pPr>
              <w:spacing w:line="240" w:lineRule="auto"/>
              <w:jc w:val="center"/>
              <w:rPr>
                <w:sz w:val="16"/>
              </w:rPr>
            </w:pPr>
            <w:r>
              <w:rPr>
                <w:sz w:val="16"/>
              </w:rPr>
              <w:t>8</w:t>
            </w:r>
          </w:p>
        </w:tc>
        <w:tc>
          <w:tcPr>
            <w:tcW w:w="441" w:type="dxa"/>
            <w:tcBorders>
              <w:top w:val="single" w:sz="4" w:space="0" w:color="auto"/>
              <w:left w:val="single" w:sz="4" w:space="0" w:color="auto"/>
              <w:bottom w:val="single" w:sz="4" w:space="0" w:color="auto"/>
              <w:right w:val="single" w:sz="4" w:space="0" w:color="auto"/>
            </w:tcBorders>
            <w:noWrap/>
            <w:vAlign w:val="center"/>
            <w:hideMark/>
          </w:tcPr>
          <w:p w14:paraId="7D6185A0" w14:textId="77777777" w:rsidR="001546BE" w:rsidRDefault="001546BE">
            <w:pPr>
              <w:spacing w:line="240" w:lineRule="auto"/>
              <w:jc w:val="center"/>
              <w:rPr>
                <w:sz w:val="16"/>
              </w:rPr>
            </w:pPr>
            <w:r>
              <w:rPr>
                <w:sz w:val="16"/>
              </w:rPr>
              <w:t>14</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21505452" w14:textId="77777777" w:rsidR="001546BE" w:rsidRDefault="001546BE">
            <w:pPr>
              <w:spacing w:line="240" w:lineRule="auto"/>
              <w:jc w:val="center"/>
              <w:rPr>
                <w:sz w:val="16"/>
              </w:rPr>
            </w:pPr>
            <w:r>
              <w:rPr>
                <w:sz w:val="16"/>
              </w:rPr>
              <w:t>20.50</w:t>
            </w:r>
          </w:p>
        </w:tc>
        <w:tc>
          <w:tcPr>
            <w:tcW w:w="819" w:type="dxa"/>
            <w:tcBorders>
              <w:top w:val="single" w:sz="4" w:space="0" w:color="auto"/>
              <w:left w:val="single" w:sz="4" w:space="0" w:color="auto"/>
              <w:bottom w:val="single" w:sz="4" w:space="0" w:color="auto"/>
              <w:right w:val="single" w:sz="4" w:space="0" w:color="auto"/>
            </w:tcBorders>
            <w:noWrap/>
            <w:vAlign w:val="center"/>
            <w:hideMark/>
          </w:tcPr>
          <w:p w14:paraId="21BF97BF" w14:textId="77777777" w:rsidR="001546BE" w:rsidRDefault="001546BE">
            <w:pPr>
              <w:spacing w:line="240" w:lineRule="auto"/>
              <w:jc w:val="center"/>
              <w:rPr>
                <w:sz w:val="16"/>
              </w:rPr>
            </w:pPr>
            <w:r>
              <w:rPr>
                <w:sz w:val="16"/>
              </w:rPr>
              <w:t>10.25</w:t>
            </w:r>
          </w:p>
        </w:tc>
        <w:tc>
          <w:tcPr>
            <w:tcW w:w="581" w:type="dxa"/>
            <w:tcBorders>
              <w:top w:val="single" w:sz="4" w:space="0" w:color="auto"/>
              <w:left w:val="single" w:sz="4" w:space="0" w:color="auto"/>
              <w:bottom w:val="single" w:sz="4" w:space="0" w:color="auto"/>
              <w:right w:val="single" w:sz="4" w:space="0" w:color="auto"/>
            </w:tcBorders>
            <w:noWrap/>
            <w:vAlign w:val="center"/>
            <w:hideMark/>
          </w:tcPr>
          <w:p w14:paraId="4E2D3894" w14:textId="77777777" w:rsidR="001546BE" w:rsidRDefault="001546BE">
            <w:pPr>
              <w:spacing w:line="240" w:lineRule="auto"/>
              <w:jc w:val="center"/>
              <w:rPr>
                <w:sz w:val="16"/>
              </w:rPr>
            </w:pPr>
            <w:r>
              <w:rPr>
                <w:sz w:val="16"/>
              </w:rPr>
              <w:t>10.25</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37E05677" w14:textId="77777777" w:rsidR="001546BE" w:rsidRDefault="001546BE">
            <w:pPr>
              <w:spacing w:line="240" w:lineRule="auto"/>
              <w:jc w:val="center"/>
              <w:rPr>
                <w:sz w:val="16"/>
              </w:rPr>
            </w:pPr>
            <w:r>
              <w:rPr>
                <w:sz w:val="16"/>
              </w:rPr>
              <w:t>15.80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461DEC2" w14:textId="77777777" w:rsidR="001546BE" w:rsidRDefault="001546BE">
            <w:pPr>
              <w:spacing w:line="240" w:lineRule="auto"/>
              <w:jc w:val="center"/>
              <w:rPr>
                <w:sz w:val="16"/>
              </w:rPr>
            </w:pPr>
            <w:r>
              <w:rPr>
                <w:sz w:val="16"/>
              </w:rPr>
              <w:t>6.24</w:t>
            </w:r>
          </w:p>
        </w:tc>
        <w:tc>
          <w:tcPr>
            <w:tcW w:w="1034" w:type="dxa"/>
            <w:tcBorders>
              <w:top w:val="single" w:sz="4" w:space="0" w:color="auto"/>
              <w:left w:val="single" w:sz="4" w:space="0" w:color="auto"/>
              <w:bottom w:val="single" w:sz="4" w:space="0" w:color="auto"/>
              <w:right w:val="single" w:sz="4" w:space="0" w:color="auto"/>
            </w:tcBorders>
            <w:noWrap/>
            <w:vAlign w:val="center"/>
            <w:hideMark/>
          </w:tcPr>
          <w:p w14:paraId="29AB95EA" w14:textId="77777777" w:rsidR="001546BE" w:rsidRDefault="001546BE">
            <w:pPr>
              <w:spacing w:line="240" w:lineRule="auto"/>
              <w:jc w:val="center"/>
              <w:rPr>
                <w:sz w:val="16"/>
              </w:rPr>
            </w:pPr>
            <w:r>
              <w:rPr>
                <w:sz w:val="16"/>
              </w:rPr>
              <w:t>19.12</w:t>
            </w:r>
          </w:p>
        </w:tc>
        <w:tc>
          <w:tcPr>
            <w:tcW w:w="855" w:type="dxa"/>
            <w:tcBorders>
              <w:top w:val="single" w:sz="4" w:space="0" w:color="auto"/>
              <w:left w:val="single" w:sz="4" w:space="0" w:color="auto"/>
              <w:bottom w:val="single" w:sz="4" w:space="0" w:color="auto"/>
              <w:right w:val="single" w:sz="4" w:space="0" w:color="auto"/>
            </w:tcBorders>
            <w:noWrap/>
            <w:vAlign w:val="center"/>
            <w:hideMark/>
          </w:tcPr>
          <w:p w14:paraId="36A2F8E4" w14:textId="77777777" w:rsidR="001546BE" w:rsidRDefault="001546BE">
            <w:pPr>
              <w:spacing w:line="240" w:lineRule="auto"/>
              <w:jc w:val="center"/>
              <w:rPr>
                <w:sz w:val="16"/>
              </w:rPr>
            </w:pPr>
            <w:r>
              <w:rPr>
                <w:sz w:val="16"/>
              </w:rPr>
              <w:t>0.17</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2533163A" w14:textId="77777777" w:rsidR="001546BE" w:rsidRDefault="001546BE">
            <w:pPr>
              <w:spacing w:line="240" w:lineRule="auto"/>
              <w:jc w:val="center"/>
              <w:rPr>
                <w:sz w:val="16"/>
              </w:rPr>
            </w:pPr>
            <w:r>
              <w:rPr>
                <w:sz w:val="16"/>
              </w:rPr>
              <w:t>yes</w:t>
            </w:r>
          </w:p>
        </w:tc>
      </w:tr>
      <w:tr w:rsidR="001546BE" w14:paraId="48499082" w14:textId="77777777" w:rsidTr="001546BE">
        <w:trPr>
          <w:trHeight w:val="263"/>
        </w:trPr>
        <w:tc>
          <w:tcPr>
            <w:tcW w:w="1271" w:type="dxa"/>
            <w:tcBorders>
              <w:top w:val="single" w:sz="4" w:space="0" w:color="auto"/>
              <w:left w:val="single" w:sz="4" w:space="0" w:color="auto"/>
              <w:bottom w:val="single" w:sz="4" w:space="0" w:color="auto"/>
              <w:right w:val="single" w:sz="4" w:space="0" w:color="auto"/>
            </w:tcBorders>
            <w:noWrap/>
            <w:vAlign w:val="center"/>
            <w:hideMark/>
          </w:tcPr>
          <w:p w14:paraId="760DBB89" w14:textId="77777777" w:rsidR="001546BE" w:rsidRDefault="001546BE">
            <w:pPr>
              <w:spacing w:line="240" w:lineRule="auto"/>
              <w:jc w:val="center"/>
              <w:rPr>
                <w:sz w:val="16"/>
              </w:rPr>
            </w:pPr>
            <w:r>
              <w:rPr>
                <w:sz w:val="16"/>
              </w:rPr>
              <w:t>37</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07E07181" w14:textId="77777777" w:rsidR="001546BE" w:rsidRDefault="001546BE">
            <w:pPr>
              <w:spacing w:line="240" w:lineRule="auto"/>
              <w:jc w:val="center"/>
              <w:rPr>
                <w:sz w:val="16"/>
              </w:rPr>
            </w:pPr>
            <w:r>
              <w:rPr>
                <w:sz w:val="16"/>
              </w:rPr>
              <w:t>22</w:t>
            </w:r>
          </w:p>
        </w:tc>
        <w:tc>
          <w:tcPr>
            <w:tcW w:w="1071" w:type="dxa"/>
            <w:tcBorders>
              <w:top w:val="single" w:sz="4" w:space="0" w:color="auto"/>
              <w:left w:val="single" w:sz="4" w:space="0" w:color="auto"/>
              <w:bottom w:val="single" w:sz="4" w:space="0" w:color="auto"/>
              <w:right w:val="single" w:sz="4" w:space="0" w:color="auto"/>
            </w:tcBorders>
            <w:noWrap/>
            <w:vAlign w:val="center"/>
            <w:hideMark/>
          </w:tcPr>
          <w:p w14:paraId="486F29B8" w14:textId="77777777" w:rsidR="001546BE" w:rsidRDefault="001546BE">
            <w:pPr>
              <w:spacing w:line="240" w:lineRule="auto"/>
              <w:jc w:val="center"/>
              <w:rPr>
                <w:sz w:val="16"/>
              </w:rPr>
            </w:pPr>
            <w:r>
              <w:rPr>
                <w:sz w:val="16"/>
              </w:rPr>
              <w:t>5</w:t>
            </w:r>
          </w:p>
        </w:tc>
        <w:tc>
          <w:tcPr>
            <w:tcW w:w="441" w:type="dxa"/>
            <w:tcBorders>
              <w:top w:val="single" w:sz="4" w:space="0" w:color="auto"/>
              <w:left w:val="single" w:sz="4" w:space="0" w:color="auto"/>
              <w:bottom w:val="single" w:sz="4" w:space="0" w:color="auto"/>
              <w:right w:val="single" w:sz="4" w:space="0" w:color="auto"/>
            </w:tcBorders>
            <w:noWrap/>
            <w:vAlign w:val="center"/>
            <w:hideMark/>
          </w:tcPr>
          <w:p w14:paraId="6BA05919" w14:textId="77777777" w:rsidR="001546BE" w:rsidRDefault="001546BE">
            <w:pPr>
              <w:spacing w:line="240" w:lineRule="auto"/>
              <w:jc w:val="center"/>
              <w:rPr>
                <w:sz w:val="16"/>
              </w:rPr>
            </w:pPr>
            <w:r>
              <w:rPr>
                <w:sz w:val="16"/>
              </w:rPr>
              <w:t>10</w:t>
            </w:r>
          </w:p>
        </w:tc>
        <w:tc>
          <w:tcPr>
            <w:tcW w:w="786" w:type="dxa"/>
            <w:tcBorders>
              <w:top w:val="single" w:sz="4" w:space="0" w:color="auto"/>
              <w:left w:val="single" w:sz="4" w:space="0" w:color="auto"/>
              <w:bottom w:val="single" w:sz="4" w:space="0" w:color="auto"/>
              <w:right w:val="single" w:sz="4" w:space="0" w:color="auto"/>
            </w:tcBorders>
            <w:noWrap/>
            <w:vAlign w:val="center"/>
            <w:hideMark/>
          </w:tcPr>
          <w:p w14:paraId="01870B72" w14:textId="77777777" w:rsidR="001546BE" w:rsidRDefault="001546BE">
            <w:pPr>
              <w:spacing w:line="240" w:lineRule="auto"/>
              <w:jc w:val="center"/>
              <w:rPr>
                <w:sz w:val="16"/>
              </w:rPr>
            </w:pPr>
            <w:r>
              <w:rPr>
                <w:sz w:val="16"/>
              </w:rPr>
              <w:t>18.50</w:t>
            </w:r>
          </w:p>
        </w:tc>
        <w:tc>
          <w:tcPr>
            <w:tcW w:w="819" w:type="dxa"/>
            <w:tcBorders>
              <w:top w:val="single" w:sz="4" w:space="0" w:color="auto"/>
              <w:left w:val="single" w:sz="4" w:space="0" w:color="auto"/>
              <w:bottom w:val="single" w:sz="4" w:space="0" w:color="auto"/>
              <w:right w:val="single" w:sz="4" w:space="0" w:color="auto"/>
            </w:tcBorders>
            <w:noWrap/>
            <w:vAlign w:val="center"/>
            <w:hideMark/>
          </w:tcPr>
          <w:p w14:paraId="34CED587" w14:textId="77777777" w:rsidR="001546BE" w:rsidRDefault="001546BE">
            <w:pPr>
              <w:spacing w:line="240" w:lineRule="auto"/>
              <w:jc w:val="center"/>
              <w:rPr>
                <w:sz w:val="16"/>
              </w:rPr>
            </w:pPr>
            <w:r>
              <w:rPr>
                <w:sz w:val="16"/>
              </w:rPr>
              <w:t>9.25</w:t>
            </w:r>
          </w:p>
        </w:tc>
        <w:tc>
          <w:tcPr>
            <w:tcW w:w="581" w:type="dxa"/>
            <w:tcBorders>
              <w:top w:val="single" w:sz="4" w:space="0" w:color="auto"/>
              <w:left w:val="single" w:sz="4" w:space="0" w:color="auto"/>
              <w:bottom w:val="single" w:sz="4" w:space="0" w:color="auto"/>
              <w:right w:val="single" w:sz="4" w:space="0" w:color="auto"/>
            </w:tcBorders>
            <w:noWrap/>
            <w:vAlign w:val="center"/>
            <w:hideMark/>
          </w:tcPr>
          <w:p w14:paraId="7DE26FF6" w14:textId="77777777" w:rsidR="001546BE" w:rsidRDefault="001546BE">
            <w:pPr>
              <w:spacing w:line="240" w:lineRule="auto"/>
              <w:jc w:val="center"/>
              <w:rPr>
                <w:sz w:val="16"/>
              </w:rPr>
            </w:pPr>
            <w:r>
              <w:rPr>
                <w:sz w:val="16"/>
              </w:rPr>
              <w:t>9.25</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72EE267D" w14:textId="77777777" w:rsidR="001546BE" w:rsidRDefault="001546BE">
            <w:pPr>
              <w:spacing w:line="240" w:lineRule="auto"/>
              <w:jc w:val="center"/>
              <w:rPr>
                <w:sz w:val="16"/>
              </w:rPr>
            </w:pPr>
            <w:r>
              <w:rPr>
                <w:sz w:val="16"/>
              </w:rPr>
              <w:t>26.16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5478438" w14:textId="77777777" w:rsidR="001546BE" w:rsidRDefault="001546BE">
            <w:pPr>
              <w:spacing w:line="240" w:lineRule="auto"/>
              <w:jc w:val="center"/>
              <w:rPr>
                <w:sz w:val="16"/>
              </w:rPr>
            </w:pPr>
            <w:r>
              <w:rPr>
                <w:sz w:val="16"/>
              </w:rPr>
              <w:t>2.70</w:t>
            </w:r>
          </w:p>
        </w:tc>
        <w:tc>
          <w:tcPr>
            <w:tcW w:w="1034" w:type="dxa"/>
            <w:tcBorders>
              <w:top w:val="single" w:sz="4" w:space="0" w:color="auto"/>
              <w:left w:val="single" w:sz="4" w:space="0" w:color="auto"/>
              <w:bottom w:val="single" w:sz="4" w:space="0" w:color="auto"/>
              <w:right w:val="single" w:sz="4" w:space="0" w:color="auto"/>
            </w:tcBorders>
            <w:noWrap/>
            <w:vAlign w:val="center"/>
            <w:hideMark/>
          </w:tcPr>
          <w:p w14:paraId="13A82719" w14:textId="77777777" w:rsidR="001546BE" w:rsidRDefault="001546BE">
            <w:pPr>
              <w:spacing w:line="240" w:lineRule="auto"/>
              <w:jc w:val="center"/>
              <w:rPr>
                <w:sz w:val="16"/>
              </w:rPr>
            </w:pPr>
            <w:r>
              <w:rPr>
                <w:sz w:val="16"/>
              </w:rPr>
              <w:t>10.81</w:t>
            </w:r>
          </w:p>
        </w:tc>
        <w:tc>
          <w:tcPr>
            <w:tcW w:w="855" w:type="dxa"/>
            <w:tcBorders>
              <w:top w:val="single" w:sz="4" w:space="0" w:color="auto"/>
              <w:left w:val="single" w:sz="4" w:space="0" w:color="auto"/>
              <w:bottom w:val="single" w:sz="4" w:space="0" w:color="auto"/>
              <w:right w:val="single" w:sz="4" w:space="0" w:color="auto"/>
            </w:tcBorders>
            <w:noWrap/>
            <w:vAlign w:val="center"/>
            <w:hideMark/>
          </w:tcPr>
          <w:p w14:paraId="34F099E3" w14:textId="77777777" w:rsidR="001546BE" w:rsidRDefault="001546BE">
            <w:pPr>
              <w:spacing w:line="240" w:lineRule="auto"/>
              <w:jc w:val="center"/>
              <w:rPr>
                <w:sz w:val="16"/>
              </w:rPr>
            </w:pPr>
            <w:r>
              <w:rPr>
                <w:sz w:val="16"/>
              </w:rPr>
              <w:t>2.68</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0D4C6EF6" w14:textId="77777777" w:rsidR="001546BE" w:rsidRDefault="001546BE">
            <w:pPr>
              <w:spacing w:line="240" w:lineRule="auto"/>
              <w:jc w:val="center"/>
              <w:rPr>
                <w:sz w:val="16"/>
              </w:rPr>
            </w:pPr>
            <w:r>
              <w:rPr>
                <w:sz w:val="16"/>
              </w:rPr>
              <w:t>yes</w:t>
            </w:r>
          </w:p>
        </w:tc>
      </w:tr>
    </w:tbl>
    <w:p w14:paraId="4939AD75" w14:textId="77777777" w:rsidR="001546BE" w:rsidRDefault="001546BE" w:rsidP="001546BE">
      <w:pPr>
        <w:jc w:val="both"/>
        <w:rPr>
          <w:lang w:val="en-US"/>
        </w:rPr>
      </w:pPr>
    </w:p>
    <w:p w14:paraId="44C0405D" w14:textId="77777777" w:rsidR="001546BE" w:rsidRDefault="001546BE" w:rsidP="001546BE">
      <w:pPr>
        <w:jc w:val="both"/>
        <w:rPr>
          <w:lang w:val="en-US"/>
        </w:rPr>
      </w:pPr>
    </w:p>
    <w:p w14:paraId="1E7207FA" w14:textId="77777777" w:rsidR="001546BE" w:rsidRDefault="001546BE" w:rsidP="001546BE">
      <w:pPr>
        <w:jc w:val="both"/>
        <w:rPr>
          <w:b/>
          <w:lang w:val="en-US"/>
        </w:rPr>
      </w:pPr>
    </w:p>
    <w:p w14:paraId="17A8D3A5" w14:textId="77777777" w:rsidR="001546BE" w:rsidRDefault="001546BE" w:rsidP="001546BE">
      <w:pPr>
        <w:rPr>
          <w:b/>
          <w:lang w:val="en-US"/>
        </w:rPr>
      </w:pPr>
    </w:p>
    <w:p w14:paraId="42CC21E8" w14:textId="77777777" w:rsidR="001546BE" w:rsidRDefault="001546BE" w:rsidP="001546BE">
      <w:pPr>
        <w:rPr>
          <w:rFonts w:cstheme="minorHAnsi"/>
          <w:b/>
          <w:lang w:val="en-GB"/>
        </w:rPr>
      </w:pPr>
      <w:r>
        <w:rPr>
          <w:rFonts w:cstheme="minorHAnsi"/>
          <w:b/>
          <w:lang w:val="en-GB"/>
        </w:rPr>
        <w:br w:type="page"/>
      </w:r>
    </w:p>
    <w:p w14:paraId="2C3D8744" w14:textId="77777777" w:rsidR="001546BE" w:rsidRDefault="001546BE" w:rsidP="001546BE">
      <w:pPr>
        <w:rPr>
          <w:rFonts w:cstheme="minorHAnsi"/>
          <w:lang w:val="en-GB"/>
        </w:rPr>
      </w:pPr>
      <w:r>
        <w:rPr>
          <w:rFonts w:cstheme="minorHAnsi"/>
          <w:b/>
          <w:lang w:val="en-GB"/>
        </w:rPr>
        <w:lastRenderedPageBreak/>
        <w:t>Supplementary Table 2.</w:t>
      </w:r>
      <w:r>
        <w:rPr>
          <w:rFonts w:cstheme="minorHAnsi"/>
          <w:lang w:val="en-GB"/>
        </w:rPr>
        <w:t xml:space="preserve"> </w:t>
      </w:r>
      <w:r>
        <w:rPr>
          <w:rFonts w:cstheme="minorHAnsi"/>
          <w:b/>
          <w:lang w:val="en-GB"/>
        </w:rPr>
        <w:t>BACs used for FISH analysis.</w:t>
      </w:r>
    </w:p>
    <w:p w14:paraId="4F7B0834" w14:textId="54D944F6" w:rsidR="001546BE" w:rsidRDefault="001546BE" w:rsidP="001546BE">
      <w:pPr>
        <w:rPr>
          <w:rFonts w:ascii="Arial" w:hAnsi="Arial" w:cs="Arial"/>
          <w:sz w:val="20"/>
          <w:szCs w:val="20"/>
          <w:lang w:val="en-GB"/>
        </w:rPr>
      </w:pPr>
      <w:r>
        <w:rPr>
          <w:noProof/>
          <w:lang w:eastAsia="de-DE"/>
        </w:rPr>
        <w:drawing>
          <wp:inline distT="0" distB="0" distL="0" distR="0" wp14:anchorId="47B99123" wp14:editId="088E4427">
            <wp:extent cx="4171950" cy="590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590550"/>
                    </a:xfrm>
                    <a:prstGeom prst="rect">
                      <a:avLst/>
                    </a:prstGeom>
                    <a:noFill/>
                    <a:ln>
                      <a:noFill/>
                    </a:ln>
                  </pic:spPr>
                </pic:pic>
              </a:graphicData>
            </a:graphic>
          </wp:inline>
        </w:drawing>
      </w:r>
    </w:p>
    <w:p w14:paraId="3DF69E30" w14:textId="77777777" w:rsidR="001546BE" w:rsidRDefault="001546BE" w:rsidP="001546BE">
      <w:pPr>
        <w:rPr>
          <w:b/>
          <w:lang w:val="en-US"/>
        </w:rPr>
      </w:pPr>
    </w:p>
    <w:p w14:paraId="391F7579" w14:textId="77777777" w:rsidR="001546BE" w:rsidRDefault="001546BE" w:rsidP="001546BE">
      <w:pPr>
        <w:rPr>
          <w:b/>
          <w:lang w:val="en-US"/>
        </w:rPr>
      </w:pPr>
    </w:p>
    <w:p w14:paraId="06EA7B3A" w14:textId="77777777" w:rsidR="001546BE" w:rsidRDefault="001546BE" w:rsidP="001546BE">
      <w:pPr>
        <w:rPr>
          <w:b/>
          <w:lang w:val="en-US"/>
        </w:rPr>
      </w:pPr>
    </w:p>
    <w:p w14:paraId="6C86127F" w14:textId="77777777" w:rsidR="001546BE" w:rsidRDefault="001546BE" w:rsidP="001546BE">
      <w:pPr>
        <w:rPr>
          <w:b/>
          <w:lang w:val="en-US"/>
        </w:rPr>
      </w:pPr>
      <w:r>
        <w:rPr>
          <w:b/>
          <w:lang w:val="en-US"/>
        </w:rPr>
        <w:br w:type="page"/>
      </w:r>
    </w:p>
    <w:p w14:paraId="6E807557" w14:textId="77777777" w:rsidR="001546BE" w:rsidRDefault="001546BE" w:rsidP="001546BE">
      <w:pPr>
        <w:rPr>
          <w:rFonts w:ascii="Arial" w:hAnsi="Arial" w:cs="Arial"/>
          <w:sz w:val="20"/>
          <w:szCs w:val="20"/>
          <w:lang w:val="en-US"/>
        </w:rPr>
      </w:pPr>
      <w:r>
        <w:rPr>
          <w:b/>
          <w:lang w:val="en-US"/>
        </w:rPr>
        <w:lastRenderedPageBreak/>
        <w:t>Supplemental Table 3. Overview of the position and sequence of the used SNP markers with corresponding intervals on chromosome 2 (top) and chromosome 3 (bottom).</w:t>
      </w:r>
      <w:r>
        <w:rPr>
          <w:lang w:val="en-US"/>
        </w:rPr>
        <w:t xml:space="preserve"> SNPs between Col-0 and Ler-1 are marked in red. The oligonucleotides were modified by adding a fluorophore (HEX/FAM) at the 5’ end and a quencher (BHQ1) at the 3’ end. LNAs integrated into the probe are represented by blue square brackets and a plus sign. </w:t>
      </w:r>
    </w:p>
    <w:p w14:paraId="51227753" w14:textId="7E95D3E7" w:rsidR="001546BE" w:rsidRDefault="001546BE" w:rsidP="001546BE">
      <w:pPr>
        <w:jc w:val="both"/>
        <w:rPr>
          <w:b/>
          <w:lang w:val="en-GB"/>
        </w:rPr>
      </w:pPr>
      <w:r>
        <w:rPr>
          <w:noProof/>
        </w:rPr>
        <w:drawing>
          <wp:inline distT="0" distB="0" distL="0" distR="0" wp14:anchorId="3501D883" wp14:editId="297B69C8">
            <wp:extent cx="5762625" cy="6677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6677025"/>
                    </a:xfrm>
                    <a:prstGeom prst="rect">
                      <a:avLst/>
                    </a:prstGeom>
                    <a:noFill/>
                    <a:ln>
                      <a:noFill/>
                    </a:ln>
                  </pic:spPr>
                </pic:pic>
              </a:graphicData>
            </a:graphic>
          </wp:inline>
        </w:drawing>
      </w:r>
    </w:p>
    <w:p w14:paraId="32489A92" w14:textId="77777777" w:rsidR="001546BE" w:rsidRDefault="001546BE" w:rsidP="001546BE">
      <w:pPr>
        <w:rPr>
          <w:b/>
          <w:lang w:val="en-US"/>
        </w:rPr>
      </w:pPr>
      <w:r>
        <w:rPr>
          <w:b/>
          <w:lang w:val="en-US"/>
        </w:rPr>
        <w:br w:type="page"/>
      </w:r>
    </w:p>
    <w:p w14:paraId="265EB0B4" w14:textId="77777777" w:rsidR="001546BE" w:rsidRDefault="001546BE" w:rsidP="001546BE">
      <w:pPr>
        <w:jc w:val="both"/>
        <w:rPr>
          <w:lang w:val="en-US"/>
        </w:rPr>
      </w:pPr>
      <w:r>
        <w:rPr>
          <w:b/>
          <w:lang w:val="en-US"/>
        </w:rPr>
        <w:lastRenderedPageBreak/>
        <w:t xml:space="preserve">Supplemental Table 4. </w:t>
      </w:r>
      <w:r>
        <w:rPr>
          <w:lang w:val="en-US"/>
        </w:rPr>
        <w:t>List of used oligonucleotides. Overhangs are represented by lowercase letters.</w:t>
      </w:r>
    </w:p>
    <w:p w14:paraId="5AAA4498" w14:textId="534DA038" w:rsidR="001546BE" w:rsidRPr="001546BE" w:rsidRDefault="001546BE" w:rsidP="001546BE">
      <w:pPr>
        <w:jc w:val="both"/>
        <w:rPr>
          <w:lang w:val="en-US"/>
        </w:rPr>
      </w:pPr>
      <w:r>
        <w:rPr>
          <w:noProof/>
          <w:lang w:eastAsia="de-DE"/>
        </w:rPr>
        <w:lastRenderedPageBreak/>
        <w:drawing>
          <wp:inline distT="0" distB="0" distL="0" distR="0" wp14:anchorId="22DBE98A" wp14:editId="78449188">
            <wp:extent cx="3533775" cy="8229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r="57339"/>
                    <a:stretch>
                      <a:fillRect/>
                    </a:stretch>
                  </pic:blipFill>
                  <pic:spPr bwMode="auto">
                    <a:xfrm>
                      <a:off x="0" y="0"/>
                      <a:ext cx="3533775" cy="8229600"/>
                    </a:xfrm>
                    <a:prstGeom prst="rect">
                      <a:avLst/>
                    </a:prstGeom>
                    <a:noFill/>
                    <a:ln>
                      <a:noFill/>
                    </a:ln>
                  </pic:spPr>
                </pic:pic>
              </a:graphicData>
            </a:graphic>
          </wp:inline>
        </w:drawing>
      </w:r>
    </w:p>
    <w:sectPr w:rsidR="001546BE" w:rsidRPr="001546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122A" w14:textId="77777777" w:rsidR="003B5579" w:rsidRDefault="003B5579" w:rsidP="001546BE">
      <w:pPr>
        <w:spacing w:after="0" w:line="240" w:lineRule="auto"/>
      </w:pPr>
      <w:r>
        <w:separator/>
      </w:r>
    </w:p>
  </w:endnote>
  <w:endnote w:type="continuationSeparator" w:id="0">
    <w:p w14:paraId="6D4126DB" w14:textId="77777777" w:rsidR="003B5579" w:rsidRDefault="003B5579" w:rsidP="00154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9BCE" w14:textId="77777777" w:rsidR="003B5579" w:rsidRDefault="003B5579" w:rsidP="001546BE">
      <w:pPr>
        <w:spacing w:after="0" w:line="240" w:lineRule="auto"/>
      </w:pPr>
      <w:r>
        <w:separator/>
      </w:r>
    </w:p>
  </w:footnote>
  <w:footnote w:type="continuationSeparator" w:id="0">
    <w:p w14:paraId="2CA29B7B" w14:textId="77777777" w:rsidR="003B5579" w:rsidRDefault="003B5579" w:rsidP="001546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6BE"/>
    <w:rsid w:val="001546BE"/>
    <w:rsid w:val="003B5579"/>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4E5E"/>
  <w15:chartTrackingRefBased/>
  <w15:docId w15:val="{7706AF90-03E8-4464-BA50-981F09F5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BE"/>
    <w:pPr>
      <w:spacing w:line="256" w:lineRule="auto"/>
    </w:pPr>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46B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4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6BE"/>
    <w:rPr>
      <w:lang w:val="de-DE"/>
    </w:rPr>
  </w:style>
  <w:style w:type="paragraph" w:styleId="Footer">
    <w:name w:val="footer"/>
    <w:basedOn w:val="Normal"/>
    <w:link w:val="FooterChar"/>
    <w:uiPriority w:val="99"/>
    <w:unhideWhenUsed/>
    <w:rsid w:val="00154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6BE"/>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337">
      <w:bodyDiv w:val="1"/>
      <w:marLeft w:val="0"/>
      <w:marRight w:val="0"/>
      <w:marTop w:val="0"/>
      <w:marBottom w:val="0"/>
      <w:divBdr>
        <w:top w:val="none" w:sz="0" w:space="0" w:color="auto"/>
        <w:left w:val="none" w:sz="0" w:space="0" w:color="auto"/>
        <w:bottom w:val="none" w:sz="0" w:space="0" w:color="auto"/>
        <w:right w:val="none" w:sz="0" w:space="0" w:color="auto"/>
      </w:divBdr>
    </w:div>
    <w:div w:id="163894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2022-01-19T23:03:00Z</dcterms:created>
  <dcterms:modified xsi:type="dcterms:W3CDTF">2022-01-19T23:05:00Z</dcterms:modified>
</cp:coreProperties>
</file>