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80" w:lineRule="auto"/>
        <w:ind w:firstLine="48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Top six provinces </w:t>
      </w:r>
      <w:r>
        <w:rPr>
          <w:rFonts w:hint="eastAsia" w:ascii="Times New Roman" w:hAnsi="Times New Roman"/>
          <w:b/>
          <w:sz w:val="36"/>
          <w:szCs w:val="36"/>
        </w:rPr>
        <w:t xml:space="preserve">TB </w:t>
      </w:r>
      <w:r>
        <w:rPr>
          <w:rFonts w:ascii="Times New Roman" w:hAnsi="Times New Roman"/>
          <w:b/>
          <w:sz w:val="36"/>
          <w:szCs w:val="36"/>
        </w:rPr>
        <w:t>inflows</w:t>
      </w:r>
    </w:p>
    <w:p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top six provinces </w:t>
      </w:r>
      <w:r>
        <w:rPr>
          <w:rFonts w:hint="eastAsia" w:ascii="Times New Roman" w:hAnsi="Times New Roman"/>
          <w:sz w:val="24"/>
          <w:szCs w:val="24"/>
        </w:rPr>
        <w:t xml:space="preserve">TB </w:t>
      </w:r>
      <w:r>
        <w:rPr>
          <w:rFonts w:ascii="Times New Roman" w:hAnsi="Times New Roman"/>
          <w:sz w:val="24"/>
          <w:szCs w:val="24"/>
        </w:rPr>
        <w:t>inflows were appeared in Guangdong, Zhejiang, Fujian, Shanghai, Jiangsu and Beijing, which accounted for 84.5% of the TB migration flows</w:t>
      </w:r>
      <w:r>
        <w:rPr>
          <w:rFonts w:hint="eastAsia" w:ascii="Times New Roman" w:hAnsi="Times New Roman"/>
          <w:sz w:val="24"/>
          <w:szCs w:val="24"/>
        </w:rPr>
        <w:t>.</w:t>
      </w:r>
    </w:p>
    <w:p>
      <w:pPr>
        <w:spacing w:line="480" w:lineRule="auto"/>
        <w:ind w:firstLine="240" w:firstLineChars="10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most obvious TB inflows to Guangdong accounted for 62.0% TB migration flows </w:t>
      </w:r>
      <w:r>
        <w:t>(</w:t>
      </w:r>
      <w:r>
        <w:rPr>
          <w:rFonts w:ascii="Times New Roman" w:hAnsi="Times New Roman"/>
          <w:sz w:val="24"/>
          <w:szCs w:val="24"/>
        </w:rPr>
        <w:t>Fig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.</w:t>
      </w:r>
      <w:r>
        <w:rPr>
          <w:rFonts w:ascii="Times New Roman" w:hAnsi="Times New Roman"/>
          <w:sz w:val="24"/>
          <w:szCs w:val="24"/>
        </w:rPr>
        <w:t xml:space="preserve"> S1), such as from Hunan to Guangdong (21.3%), Sichuan to Guangdong (17.3%), Guangxi to Guangdong (13.4%), and Guizhou to Guangdong (10.1%). The more obvious TB inflows to Guangdong were from Hubei to Guangdong (9.2%), Jiangxi to Guangdong (6.2%), Chongqing to Guangdong (5.8%), Yunnan to Guangdong (4.1%) and from Henan to Guangdong (3.9%), the TB migrant workers from the five provinces totally accounted for 29.2% TB migration flows to Guangdong.</w:t>
      </w:r>
      <w:r>
        <w:rPr>
          <w:sz w:val="24"/>
          <w:szCs w:val="24"/>
        </w:rPr>
        <w:t xml:space="preserve"> </w:t>
      </w:r>
    </w:p>
    <w:p>
      <w:pPr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drawing>
          <wp:inline distT="0" distB="0" distL="0" distR="0">
            <wp:extent cx="4495800" cy="3676650"/>
            <wp:effectExtent l="0" t="0" r="0" b="11430"/>
            <wp:docPr id="1073741829" name="officeArt object" descr="permcurr flow guangdo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officeArt object" descr="permcurr flow guangdong.png"/>
                    <pic:cNvPicPr>
                      <a:picLocks noChangeAspect="1"/>
                    </pic:cNvPicPr>
                  </pic:nvPicPr>
                  <pic:blipFill>
                    <a:blip r:embed="rId5"/>
                    <a:srcRect l="6861" t="4674" r="7897" b="5108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676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ascii="Times New Roman" w:hAnsi="Times New Roman"/>
          <w:b/>
          <w:bCs/>
          <w:sz w:val="24"/>
          <w:szCs w:val="24"/>
        </w:rPr>
        <w:t>Fig. S1</w:t>
      </w:r>
      <w:r>
        <w:rPr>
          <w:rFonts w:ascii="Times New Roman" w:hAnsi="Times New Roman"/>
          <w:sz w:val="24"/>
          <w:szCs w:val="24"/>
        </w:rPr>
        <w:t xml:space="preserve"> Flow map of China’s TB inflow to Guangdong in 2012 </w:t>
      </w:r>
    </w:p>
    <w:p>
      <w:pPr>
        <w:spacing w:line="480" w:lineRule="auto"/>
      </w:pPr>
    </w:p>
    <w:p>
      <w:pPr>
        <w:spacing w:line="480" w:lineRule="auto"/>
        <w:ind w:firstLine="240" w:firstLineChars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most abvious TB inflow to Zhejiang was from Guizhou, which accounted for 29.1% </w:t>
      </w:r>
      <w:r>
        <w:t>(</w:t>
      </w:r>
      <w:r>
        <w:rPr>
          <w:rFonts w:ascii="Times New Roman" w:hAnsi="Times New Roman"/>
          <w:sz w:val="24"/>
          <w:szCs w:val="24"/>
        </w:rPr>
        <w:t>Fig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.</w:t>
      </w:r>
      <w:r>
        <w:rPr>
          <w:rFonts w:ascii="Times New Roman" w:hAnsi="Times New Roman"/>
          <w:sz w:val="24"/>
          <w:szCs w:val="24"/>
        </w:rPr>
        <w:t xml:space="preserve"> S2). The other following TB inflows to Zhejiang were from Sichuan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(11.6%), Yunnan (10.3%), Jiangxi (9.0%), Anhui (8.5%), Hubei (6.7%), Hunan  (6.1%) and Chongqing (5.8%). These seven provinces TB inflow to Zhejiang accounted for 58.1% of Zhejiang's TB migration flows.</w:t>
      </w:r>
    </w:p>
    <w:p>
      <w:pPr>
        <w:spacing w:line="480" w:lineRule="auto"/>
      </w:pPr>
    </w:p>
    <w:p>
      <w:pPr>
        <w:spacing w:line="480" w:lineRule="auto"/>
        <w:jc w:val="center"/>
      </w:pPr>
      <w:r>
        <w:drawing>
          <wp:inline distT="0" distB="0" distL="0" distR="0">
            <wp:extent cx="4495800" cy="3686175"/>
            <wp:effectExtent l="0" t="0" r="0" b="0"/>
            <wp:docPr id="1073741830" name="officeArt object" descr="permcurr flow zhejia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officeArt object" descr="permcurr flow zhejiang.png"/>
                    <pic:cNvPicPr>
                      <a:picLocks noChangeAspect="1"/>
                    </pic:cNvPicPr>
                  </pic:nvPicPr>
                  <pic:blipFill>
                    <a:blip r:embed="rId6"/>
                    <a:srcRect l="7224" t="4908" r="7537" b="4641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686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Fig. S2</w:t>
      </w:r>
      <w:r>
        <w:rPr>
          <w:rFonts w:ascii="Times New Roman" w:hAnsi="Times New Roman"/>
          <w:sz w:val="24"/>
          <w:szCs w:val="24"/>
        </w:rPr>
        <w:t xml:space="preserve"> Flow map of China’s TB inflow to Zhejiang in 2012</w:t>
      </w:r>
    </w:p>
    <w:p>
      <w:pPr>
        <w:spacing w:line="480" w:lineRule="auto"/>
      </w:pPr>
    </w:p>
    <w:p>
      <w:pPr>
        <w:spacing w:line="480" w:lineRule="auto"/>
        <w:ind w:firstLine="240" w:firstLineChars="100"/>
        <w:jc w:val="left"/>
      </w:pPr>
      <w:r>
        <w:rPr>
          <w:rFonts w:ascii="Times New Roman" w:hAnsi="Times New Roman" w:cs="Times New Roman"/>
          <w:sz w:val="24"/>
          <w:szCs w:val="24"/>
        </w:rPr>
        <w:t>The most TB inflows to Fujian (Fig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S3) were from Guizhou (25.2%), Sichuan (20.0%), Chongqing (14.0%), and Jiangxi (12.2%). These four provinces accounted for 71.4% of Fujian's TB migration flows.</w:t>
      </w:r>
      <w:r>
        <w:drawing>
          <wp:inline distT="0" distB="0" distL="0" distR="0">
            <wp:extent cx="4495800" cy="3676650"/>
            <wp:effectExtent l="0" t="0" r="0" b="0"/>
            <wp:docPr id="1073741831" name="officeArt object" descr="permcurr flow fuji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officeArt object" descr="permcurr flow fujian.png"/>
                    <pic:cNvPicPr>
                      <a:picLocks noChangeAspect="1"/>
                    </pic:cNvPicPr>
                  </pic:nvPicPr>
                  <pic:blipFill>
                    <a:blip r:embed="rId7"/>
                    <a:srcRect l="7224" t="4674" r="7537" b="5108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676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Fig. S3</w:t>
      </w:r>
      <w:r>
        <w:rPr>
          <w:rFonts w:ascii="Times New Roman" w:hAnsi="Times New Roman"/>
          <w:sz w:val="24"/>
          <w:szCs w:val="24"/>
        </w:rPr>
        <w:t xml:space="preserve"> Flow map of China’s TB inflow to Fujian in 2012</w:t>
      </w:r>
    </w:p>
    <w:p>
      <w:pPr>
        <w:spacing w:line="480" w:lineRule="auto"/>
        <w:ind w:firstLine="480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line="480" w:lineRule="auto"/>
        <w:ind w:firstLine="240" w:firstLineChars="10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most TB inflows to Shanghai </w:t>
      </w:r>
      <w:r>
        <w:t>(</w:t>
      </w:r>
      <w:r>
        <w:rPr>
          <w:rFonts w:ascii="Times New Roman" w:hAnsi="Times New Roman"/>
          <w:sz w:val="24"/>
          <w:szCs w:val="24"/>
        </w:rPr>
        <w:t>Fig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.</w:t>
      </w:r>
      <w:r>
        <w:rPr>
          <w:rFonts w:ascii="Times New Roman" w:hAnsi="Times New Roman"/>
          <w:sz w:val="24"/>
          <w:szCs w:val="24"/>
        </w:rPr>
        <w:t xml:space="preserve"> S4) were from Anhui (22.2%) and Sichuan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(13.7%), Jiangsu (9.4%), Hubei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(5.4%), Henan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(5.3%), Chongqing (5.2%). These provinces accounted for 61.2% of Shanghai's TB migration flows.</w:t>
      </w:r>
    </w:p>
    <w:p>
      <w:pPr>
        <w:spacing w:line="480" w:lineRule="auto"/>
        <w:jc w:val="center"/>
      </w:pPr>
      <w:r>
        <w:drawing>
          <wp:inline distT="0" distB="0" distL="0" distR="0">
            <wp:extent cx="4495800" cy="3695700"/>
            <wp:effectExtent l="0" t="0" r="0" b="0"/>
            <wp:docPr id="1073741832" name="officeArt object" descr="permcurr flow shangh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officeArt object" descr="permcurr flow shanghai.png"/>
                    <pic:cNvPicPr>
                      <a:picLocks noChangeAspect="1"/>
                    </pic:cNvPicPr>
                  </pic:nvPicPr>
                  <pic:blipFill>
                    <a:blip r:embed="rId8"/>
                    <a:srcRect l="7224" t="4674" r="7537" b="4641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6957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Fig. S4</w:t>
      </w:r>
      <w:r>
        <w:rPr>
          <w:rFonts w:ascii="Times New Roman" w:hAnsi="Times New Roman"/>
          <w:sz w:val="24"/>
          <w:szCs w:val="24"/>
        </w:rPr>
        <w:t xml:space="preserve"> Flow map of China’s TB inflow to Shanghai in 2012</w:t>
      </w:r>
    </w:p>
    <w:p>
      <w:pPr>
        <w:spacing w:line="480" w:lineRule="auto"/>
      </w:pPr>
    </w:p>
    <w:p>
      <w:pPr>
        <w:spacing w:line="480" w:lineRule="auto"/>
        <w:ind w:firstLine="240" w:firstLineChars="10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most TB inflows to Jiangsu </w:t>
      </w:r>
      <w:r>
        <w:t>(</w:t>
      </w:r>
      <w:r>
        <w:rPr>
          <w:rFonts w:ascii="Times New Roman" w:hAnsi="Times New Roman"/>
          <w:sz w:val="24"/>
          <w:szCs w:val="24"/>
        </w:rPr>
        <w:t>Fig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.</w:t>
      </w:r>
      <w:r>
        <w:rPr>
          <w:rFonts w:ascii="Times New Roman" w:hAnsi="Times New Roman"/>
          <w:sz w:val="24"/>
          <w:szCs w:val="24"/>
        </w:rPr>
        <w:t xml:space="preserve"> S5) were from Anhui (21.9%) , Sichuan (15.6%), Guizhou (9.7%), Henan (8.0%), Hubei (6.4%), Yunnan(6.4%).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These provinces accounted for 68.0% of Jiangsu's TB migration flows.</w:t>
      </w:r>
    </w:p>
    <w:p>
      <w:pPr>
        <w:spacing w:line="480" w:lineRule="auto"/>
        <w:jc w:val="center"/>
      </w:pPr>
      <w:r>
        <w:drawing>
          <wp:inline distT="0" distB="0" distL="0" distR="0">
            <wp:extent cx="4495800" cy="3686175"/>
            <wp:effectExtent l="0" t="0" r="0" b="0"/>
            <wp:docPr id="1073741833" name="officeArt object" descr="permcurr flow jiang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officeArt object" descr="permcurr flow jiangsu.png"/>
                    <pic:cNvPicPr>
                      <a:picLocks noChangeAspect="1"/>
                    </pic:cNvPicPr>
                  </pic:nvPicPr>
                  <pic:blipFill>
                    <a:blip r:embed="rId9"/>
                    <a:srcRect l="7224" t="4674" r="7537" b="4874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686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Fig. S5</w:t>
      </w:r>
      <w:r>
        <w:rPr>
          <w:rFonts w:ascii="Times New Roman" w:hAnsi="Times New Roman"/>
          <w:sz w:val="24"/>
          <w:szCs w:val="24"/>
        </w:rPr>
        <w:t xml:space="preserve"> Flow map of China’s TB inflow to Jiangsu in 2012</w:t>
      </w:r>
    </w:p>
    <w:p>
      <w:pPr>
        <w:spacing w:line="480" w:lineRule="auto"/>
      </w:pPr>
    </w:p>
    <w:p>
      <w:pPr>
        <w:spacing w:line="480" w:lineRule="auto"/>
        <w:ind w:firstLine="240" w:firstLineChars="10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most TB inflows to Beijing were from Hebei, which accounted for 23.3% of Beijing's TB migration flows </w:t>
      </w:r>
      <w:r>
        <w:t>(</w:t>
      </w:r>
      <w:r>
        <w:rPr>
          <w:rFonts w:ascii="Times New Roman" w:hAnsi="Times New Roman"/>
          <w:sz w:val="24"/>
          <w:szCs w:val="24"/>
        </w:rPr>
        <w:t>Fig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.</w:t>
      </w:r>
      <w:r>
        <w:rPr>
          <w:rFonts w:ascii="Times New Roman" w:hAnsi="Times New Roman"/>
          <w:sz w:val="24"/>
          <w:szCs w:val="24"/>
        </w:rPr>
        <w:t xml:space="preserve"> S6). Other TB inflows were mainly from Henan (10.3%) , Sichuan (9.1%), Heilongjiang (8.7%), Shandong (6.9%), and Anhui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(5.9%).</w:t>
      </w:r>
    </w:p>
    <w:p>
      <w:pPr>
        <w:spacing w:line="480" w:lineRule="auto"/>
        <w:jc w:val="center"/>
      </w:pPr>
      <w:r>
        <w:drawing>
          <wp:inline distT="0" distB="0" distL="0" distR="0">
            <wp:extent cx="4514850" cy="3686175"/>
            <wp:effectExtent l="0" t="0" r="0" b="0"/>
            <wp:docPr id="1073741834" name="officeArt object" descr="permcurr flow beij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officeArt object" descr="permcurr flow beijing.png"/>
                    <pic:cNvPicPr>
                      <a:picLocks noChangeAspect="1"/>
                    </pic:cNvPicPr>
                  </pic:nvPicPr>
                  <pic:blipFill>
                    <a:blip r:embed="rId10"/>
                    <a:srcRect l="6682" t="4908" r="7716" b="4641"/>
                    <a:stretch>
                      <a:fillRect/>
                    </a:stretch>
                  </pic:blipFill>
                  <pic:spPr>
                    <a:xfrm>
                      <a:off x="0" y="0"/>
                      <a:ext cx="4514851" cy="3686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Fig</w:t>
      </w:r>
      <w:bookmarkStart w:id="0" w:name="_GoBack"/>
      <w:r>
        <w:rPr>
          <w:rFonts w:ascii="Times New Roman" w:hAnsi="Times New Roman"/>
          <w:b/>
          <w:bCs/>
          <w:sz w:val="24"/>
          <w:szCs w:val="24"/>
        </w:rPr>
        <w:t>.</w:t>
      </w:r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S6</w:t>
      </w:r>
      <w:r>
        <w:rPr>
          <w:rFonts w:ascii="Times New Roman" w:hAnsi="Times New Roman"/>
          <w:sz w:val="24"/>
          <w:szCs w:val="24"/>
        </w:rPr>
        <w:t xml:space="preserve"> Flow map of China’s TB inflow to Beijing in 2012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</w:p>
    <w:sectPr>
      <w:footerReference r:id="rId3" w:type="default"/>
      <w:pgSz w:w="11900" w:h="16840"/>
      <w:pgMar w:top="1440" w:right="1800" w:bottom="1440" w:left="1800" w:header="851" w:footer="992" w:gutter="0"/>
      <w:lnNumType w:countBy="1" w:restart="continuous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80008573"/>
      <w:docPartObj>
        <w:docPartGallery w:val="autotext"/>
      </w:docPartObj>
    </w:sdtPr>
    <w:sdtContent>
      <w:sdt>
        <w:sdtPr>
          <w:id w:val="-1669238322"/>
          <w:docPartObj>
            <w:docPartGallery w:val="autotext"/>
          </w:docPartObj>
        </w:sdtPr>
        <w:sdtContent>
          <w:p>
            <w:pPr>
              <w:pStyle w:val="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wvepvdvlre9s9eas9epd0f9vt5p9rtee5rr&quot;&gt;My EndNote Library&lt;record-ids&gt;&lt;item&gt;1036&lt;/item&gt;&lt;item&gt;1059&lt;/item&gt;&lt;/record-ids&gt;&lt;/item&gt;&lt;/Libraries&gt;"/>
  </w:docVars>
  <w:rsids>
    <w:rsidRoot w:val="003832CA"/>
    <w:rsid w:val="00001FB7"/>
    <w:rsid w:val="000866B4"/>
    <w:rsid w:val="000C1D09"/>
    <w:rsid w:val="000C61BA"/>
    <w:rsid w:val="000F1438"/>
    <w:rsid w:val="0012066D"/>
    <w:rsid w:val="00153C59"/>
    <w:rsid w:val="001C048E"/>
    <w:rsid w:val="001C3968"/>
    <w:rsid w:val="00241813"/>
    <w:rsid w:val="00314A20"/>
    <w:rsid w:val="00327C3F"/>
    <w:rsid w:val="003832CA"/>
    <w:rsid w:val="003B4AAF"/>
    <w:rsid w:val="00517B07"/>
    <w:rsid w:val="0058593E"/>
    <w:rsid w:val="005F3FD9"/>
    <w:rsid w:val="00655D63"/>
    <w:rsid w:val="00796F16"/>
    <w:rsid w:val="008E2877"/>
    <w:rsid w:val="00930A7A"/>
    <w:rsid w:val="00983ED7"/>
    <w:rsid w:val="009D4392"/>
    <w:rsid w:val="009D6655"/>
    <w:rsid w:val="009F5C57"/>
    <w:rsid w:val="009F653F"/>
    <w:rsid w:val="00A54866"/>
    <w:rsid w:val="00A86685"/>
    <w:rsid w:val="00AC6E16"/>
    <w:rsid w:val="00B8075A"/>
    <w:rsid w:val="00BA13CF"/>
    <w:rsid w:val="00C263A5"/>
    <w:rsid w:val="00C355A3"/>
    <w:rsid w:val="00C5488D"/>
    <w:rsid w:val="00C76A2D"/>
    <w:rsid w:val="00CE34C5"/>
    <w:rsid w:val="00D01437"/>
    <w:rsid w:val="00D01F56"/>
    <w:rsid w:val="00D05582"/>
    <w:rsid w:val="00D07725"/>
    <w:rsid w:val="00D15CFE"/>
    <w:rsid w:val="00D372DC"/>
    <w:rsid w:val="00D43694"/>
    <w:rsid w:val="00D45ADE"/>
    <w:rsid w:val="00D6759E"/>
    <w:rsid w:val="00E2181A"/>
    <w:rsid w:val="00E2481C"/>
    <w:rsid w:val="00E6300A"/>
    <w:rsid w:val="00E827A7"/>
    <w:rsid w:val="00FC11D7"/>
    <w:rsid w:val="00FC71E1"/>
    <w:rsid w:val="5B0C3056"/>
    <w:rsid w:val="75156831"/>
    <w:rsid w:val="7E89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next w:val="1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 Light" w:hAnsi="Calibri Light" w:eastAsia="Arial Unicode MS" w:cs="Arial Unicode MS"/>
      <w:color w:val="000000"/>
      <w:kern w:val="2"/>
      <w:u w:color="000000"/>
      <w:lang w:val="en-US" w:eastAsia="zh-CN" w:bidi="ar-SA"/>
    </w:rPr>
  </w:style>
  <w:style w:type="paragraph" w:styleId="3">
    <w:name w:val="annotation text"/>
    <w:basedOn w:val="1"/>
    <w:link w:val="20"/>
    <w:semiHidden/>
    <w:unhideWhenUsed/>
    <w:uiPriority w:val="99"/>
    <w:pPr>
      <w:jc w:val="left"/>
    </w:pPr>
  </w:style>
  <w:style w:type="paragraph" w:styleId="4">
    <w:name w:val="Balloon Text"/>
    <w:basedOn w:val="1"/>
    <w:link w:val="21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2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next w:val="1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40" w:after="60" w:line="312" w:lineRule="auto"/>
      <w:jc w:val="center"/>
      <w:outlineLvl w:val="1"/>
    </w:pPr>
    <w:rPr>
      <w:rFonts w:ascii="Calibri" w:hAnsi="Calibri" w:eastAsia="Arial Unicode MS" w:cs="Arial Unicode MS"/>
      <w:b/>
      <w:bCs/>
      <w:color w:val="000000"/>
      <w:kern w:val="28"/>
      <w:sz w:val="32"/>
      <w:szCs w:val="32"/>
      <w:u w:color="000000"/>
      <w:lang w:val="en-US" w:eastAsia="zh-CN" w:bidi="ar-SA"/>
    </w:rPr>
  </w:style>
  <w:style w:type="paragraph" w:styleId="8">
    <w:name w:val="Normal (Web)"/>
    <w:basedOn w:val="1"/>
    <w:semiHidden/>
    <w:unhideWhenUsed/>
    <w:uiPriority w:val="99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auto"/>
      <w:kern w:val="0"/>
      <w:sz w:val="24"/>
      <w:szCs w:val="24"/>
    </w:rPr>
  </w:style>
  <w:style w:type="character" w:styleId="11">
    <w:name w:val="line number"/>
    <w:basedOn w:val="10"/>
    <w:semiHidden/>
    <w:unhideWhenUsed/>
    <w:uiPriority w:val="99"/>
  </w:style>
  <w:style w:type="character" w:styleId="12">
    <w:name w:val="Hyperlink"/>
    <w:uiPriority w:val="0"/>
    <w:rPr>
      <w:u w:val="single"/>
    </w:rPr>
  </w:style>
  <w:style w:type="character" w:styleId="13">
    <w:name w:val="annotation reference"/>
    <w:basedOn w:val="10"/>
    <w:semiHidden/>
    <w:unhideWhenUsed/>
    <w:uiPriority w:val="99"/>
    <w:rPr>
      <w:sz w:val="21"/>
      <w:szCs w:val="21"/>
    </w:rPr>
  </w:style>
  <w:style w:type="table" w:customStyle="1" w:styleId="14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页眉与页脚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6">
    <w:name w:val="默认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sz w:val="22"/>
      <w:szCs w:val="22"/>
      <w:lang w:val="en-US" w:eastAsia="zh-CN" w:bidi="ar-SA"/>
    </w:rPr>
  </w:style>
  <w:style w:type="paragraph" w:styleId="17">
    <w:name w:val="List Paragraph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firstLine="42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8">
    <w:name w:val="EndNote Bibliography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u w:color="000000"/>
      <w:lang w:val="en-US" w:eastAsia="zh-CN" w:bidi="ar-SA"/>
    </w:rPr>
  </w:style>
  <w:style w:type="character" w:customStyle="1" w:styleId="19">
    <w:name w:val="链接"/>
    <w:uiPriority w:val="0"/>
    <w:rPr>
      <w:color w:val="0563C1"/>
      <w:u w:val="single" w:color="0563C1"/>
      <w:lang w:val="en-US"/>
    </w:rPr>
  </w:style>
  <w:style w:type="character" w:customStyle="1" w:styleId="20">
    <w:name w:val="批注文字 Char"/>
    <w:basedOn w:val="10"/>
    <w:link w:val="3"/>
    <w:semiHidden/>
    <w:uiPriority w:val="99"/>
    <w:rPr>
      <w:rFonts w:ascii="Calibri" w:hAnsi="Calibri" w:cs="Arial Unicode MS"/>
      <w:color w:val="000000"/>
      <w:kern w:val="2"/>
      <w:sz w:val="21"/>
      <w:szCs w:val="21"/>
      <w:u w:color="000000"/>
    </w:rPr>
  </w:style>
  <w:style w:type="character" w:customStyle="1" w:styleId="21">
    <w:name w:val="批注框文本 Char"/>
    <w:basedOn w:val="10"/>
    <w:link w:val="4"/>
    <w:semiHidden/>
    <w:uiPriority w:val="99"/>
    <w:rPr>
      <w:rFonts w:ascii="Calibri" w:hAnsi="Calibri" w:eastAsia="Arial Unicode MS" w:cs="Arial Unicode MS"/>
      <w:color w:val="000000"/>
      <w:kern w:val="2"/>
      <w:sz w:val="18"/>
      <w:szCs w:val="18"/>
      <w:u w:color="000000"/>
    </w:rPr>
  </w:style>
  <w:style w:type="character" w:customStyle="1" w:styleId="22">
    <w:name w:val="页眉 Char"/>
    <w:basedOn w:val="10"/>
    <w:link w:val="6"/>
    <w:uiPriority w:val="99"/>
    <w:rPr>
      <w:rFonts w:ascii="Calibri" w:hAnsi="Calibri" w:eastAsia="Arial Unicode MS" w:cs="Arial Unicode MS"/>
      <w:color w:val="000000"/>
      <w:kern w:val="2"/>
      <w:sz w:val="18"/>
      <w:szCs w:val="18"/>
      <w:u w:color="000000"/>
    </w:rPr>
  </w:style>
  <w:style w:type="character" w:customStyle="1" w:styleId="23">
    <w:name w:val="页脚 Char"/>
    <w:basedOn w:val="10"/>
    <w:link w:val="5"/>
    <w:uiPriority w:val="99"/>
    <w:rPr>
      <w:rFonts w:ascii="Calibri" w:hAnsi="Calibri" w:eastAsia="Arial Unicode MS" w:cs="Arial Unicode MS"/>
      <w:color w:val="000000"/>
      <w:kern w:val="2"/>
      <w:sz w:val="18"/>
      <w:szCs w:val="18"/>
      <w:u w:color="000000"/>
    </w:rPr>
  </w:style>
  <w:style w:type="character" w:customStyle="1" w:styleId="24">
    <w:name w:val="apple-tab-span"/>
    <w:basedOn w:val="10"/>
    <w:uiPriority w:val="0"/>
  </w:style>
  <w:style w:type="character" w:customStyle="1" w:styleId="25">
    <w:name w:val="apple-converted-space"/>
    <w:basedOn w:val="10"/>
    <w:uiPriority w:val="0"/>
  </w:style>
  <w:style w:type="paragraph" w:styleId="26">
    <w:name w:val="No Spacing"/>
    <w:qFormat/>
    <w:uiPriority w:val="1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27">
    <w:name w:val="EndNote Bibliography Title"/>
    <w:basedOn w:val="1"/>
    <w:link w:val="28"/>
    <w:uiPriority w:val="0"/>
    <w:pPr>
      <w:jc w:val="center"/>
    </w:pPr>
    <w:rPr>
      <w:rFonts w:cs="Calibri"/>
      <w:sz w:val="20"/>
    </w:rPr>
  </w:style>
  <w:style w:type="character" w:customStyle="1" w:styleId="28">
    <w:name w:val="EndNote Bibliography Title Char"/>
    <w:basedOn w:val="10"/>
    <w:link w:val="27"/>
    <w:uiPriority w:val="0"/>
    <w:rPr>
      <w:rFonts w:ascii="Calibri" w:hAnsi="Calibri" w:eastAsia="Arial Unicode MS" w:cs="Calibri"/>
      <w:color w:val="000000"/>
      <w:kern w:val="2"/>
      <w:szCs w:val="21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207D43-67E9-40F1-B9EB-57872EC95C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344</Words>
  <Characters>1962</Characters>
  <Lines>16</Lines>
  <Paragraphs>4</Paragraphs>
  <TotalTime>1</TotalTime>
  <ScaleCrop>false</ScaleCrop>
  <LinksUpToDate>false</LinksUpToDate>
  <CharactersWithSpaces>2302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2019-04-23T09:17:00Z</dcterms:created>
  <dc:creator>Administrator</dc:creator>
  <cp:lastModifiedBy>dell</cp:lastModifiedBy>
  <dcterms:modified xsi:type="dcterms:W3CDTF">2020-06-15T11:45:49Z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