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482" w:hanging="482" w:hangingChars="200"/>
        <w:rPr>
          <w:rFonts w:hint="default" w:ascii="Times New Roman" w:hAnsi="Times New Roman" w:eastAsia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figure 1</w:t>
      </w:r>
      <w:bookmarkStart w:id="0" w:name="_GoBack"/>
      <w:bookmarkEnd w:id="0"/>
    </w:p>
    <w:p>
      <w:pPr>
        <w:tabs>
          <w:tab w:val="center" w:pos="4819"/>
        </w:tabs>
        <w:spacing w:line="480" w:lineRule="auto"/>
        <w:ind w:left="420" w:hanging="420" w:hangingChars="200"/>
        <w:rPr>
          <w:rFonts w:ascii="Times New Roman" w:hAnsi="Times New Roman"/>
          <w:color w:val="5B9BD5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/>
          <w:color w:val="5B9BD5" w:themeColor="accent1"/>
          <w:szCs w:val="21"/>
          <w14:textFill>
            <w14:solidFill>
              <w14:schemeClr w14:val="accent1"/>
            </w14:solidFill>
          </w14:textFill>
        </w:rPr>
        <w:tab/>
      </w:r>
      <w:r>
        <w:rPr>
          <w:rFonts w:ascii="Times New Roman" w:hAnsi="Times New Roman"/>
          <w:color w:val="5B9BD5" w:themeColor="accent1"/>
          <w:szCs w:val="21"/>
          <w14:textFill>
            <w14:solidFill>
              <w14:schemeClr w14:val="accent1"/>
            </w14:solidFill>
          </w14:textFill>
        </w:rPr>
        <w:t xml:space="preserve">                                    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b</w:t>
      </w:r>
    </w:p>
    <w:p>
      <w:pPr>
        <w:spacing w:line="480" w:lineRule="auto"/>
        <w:ind w:left="420" w:hanging="420" w:hangingChars="20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2611755" cy="1800225"/>
            <wp:effectExtent l="0" t="0" r="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643505" cy="1800225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left="422" w:hanging="422" w:hangingChars="20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Figure 1</w:t>
      </w:r>
      <w:r>
        <w:rPr>
          <w:rFonts w:ascii="Times New Roman" w:hAnsi="Times New Roman"/>
        </w:rPr>
        <w:t xml:space="preserve"> Correlation analysis of 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the green fluorescence </w:t>
      </w:r>
      <w:r>
        <w:rPr>
          <w:rFonts w:ascii="Times New Roman" w:hAnsi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intensity</w:t>
      </w:r>
      <w:r>
        <w:rPr>
          <w:rFonts w:ascii="Times New Roman" w:hAnsi="Times New Roman"/>
        </w:rPr>
        <w:t xml:space="preserve"> and biomass parameters under different light condition.</w:t>
      </w:r>
    </w:p>
    <w:p>
      <w:pPr>
        <w:widowControl/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Note: a, the fluorescence </w:t>
      </w:r>
      <w:r>
        <w:rPr>
          <w:rFonts w:ascii="Times New Roman" w:hAnsi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intensity</w:t>
      </w:r>
      <w:r>
        <w:rPr>
          <w:rFonts w:ascii="Times New Roman" w:hAnsi="Times New Roman"/>
          <w:szCs w:val="21"/>
        </w:rPr>
        <w:t xml:space="preserve"> in the seedlings infected with LBA4404 strain; b, the fluorescence </w:t>
      </w:r>
      <w:r>
        <w:rPr>
          <w:rFonts w:ascii="Times New Roman" w:hAnsi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intensity</w:t>
      </w:r>
      <w:r>
        <w:rPr>
          <w:rFonts w:ascii="Times New Roman" w:hAnsi="Times New Roman"/>
          <w:szCs w:val="21"/>
        </w:rPr>
        <w:t xml:space="preserve"> in the seedlings infected with EHA105 strain. A, different seedling ages; B, different light intensity before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agroinfiltration</w:t>
      </w:r>
      <w:r>
        <w:rPr>
          <w:rFonts w:ascii="Times New Roman" w:hAnsi="Times New Roman"/>
          <w:szCs w:val="21"/>
        </w:rPr>
        <w:t xml:space="preserve">; C, different photoperiod before 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agroinfiltration</w:t>
      </w:r>
      <w:r>
        <w:rPr>
          <w:rFonts w:ascii="Times New Roman" w:hAnsi="Times New Roman"/>
          <w:szCs w:val="21"/>
        </w:rPr>
        <w:t xml:space="preserve">; D, different light intensity after 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agroinfiltration</w:t>
      </w:r>
      <w:r>
        <w:rPr>
          <w:rFonts w:ascii="Times New Roman" w:hAnsi="Times New Roman"/>
          <w:szCs w:val="21"/>
        </w:rPr>
        <w:t xml:space="preserve">; E, different photoperiod after 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agroinfiltration</w:t>
      </w:r>
      <w:r>
        <w:rPr>
          <w:rFonts w:ascii="Times New Roman" w:hAnsi="Times New Roman"/>
          <w:szCs w:val="21"/>
        </w:rPr>
        <w:t>. * The level of significance is indicated as follows:</w:t>
      </w:r>
      <w:r>
        <w:rPr>
          <w:rFonts w:ascii="Times New Roman" w:hAnsi="Times New Roman"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ascii="Times New Roman" w:hAnsi="Times New Roman"/>
          <w:szCs w:val="21"/>
        </w:rPr>
        <w:t>＜0.05.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47FE5"/>
    <w:rsid w:val="2A2C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zyj</dc:creator>
  <cp:lastModifiedBy>zyj</cp:lastModifiedBy>
  <dcterms:modified xsi:type="dcterms:W3CDTF">2022-02-01T06:26:13Z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CD87DFCBEFAD437FBB3F0204E90E6961</vt:lpwstr>
  </property>
</Properties>
</file>