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7E" w:rsidRPr="003732B8" w:rsidRDefault="00B6587E" w:rsidP="00B6587E">
      <w:pPr>
        <w:tabs>
          <w:tab w:val="left" w:pos="284"/>
        </w:tabs>
        <w:adjustRightInd w:val="0"/>
        <w:snapToGrid w:val="0"/>
        <w:spacing w:line="480" w:lineRule="auto"/>
        <w:ind w:leftChars="118" w:left="283"/>
        <w:rPr>
          <w:b/>
          <w:szCs w:val="24"/>
        </w:rPr>
      </w:pPr>
      <w:proofErr w:type="gramStart"/>
      <w:r w:rsidRPr="003732B8">
        <w:rPr>
          <w:b/>
          <w:szCs w:val="24"/>
        </w:rPr>
        <w:t>Table 1.</w:t>
      </w:r>
      <w:proofErr w:type="gramEnd"/>
      <w:r w:rsidRPr="003732B8">
        <w:rPr>
          <w:b/>
          <w:szCs w:val="24"/>
        </w:rPr>
        <w:t xml:space="preserve"> Comparison of Biochemical Parameters in Experimental ACI//</w:t>
      </w:r>
      <w:proofErr w:type="spellStart"/>
      <w:r w:rsidRPr="003732B8">
        <w:rPr>
          <w:b/>
          <w:szCs w:val="24"/>
        </w:rPr>
        <w:t>NKyo</w:t>
      </w:r>
      <w:proofErr w:type="spellEnd"/>
      <w:r w:rsidRPr="003732B8">
        <w:rPr>
          <w:b/>
          <w:szCs w:val="24"/>
        </w:rPr>
        <w:t xml:space="preserve"> Rats.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43"/>
        <w:gridCol w:w="1650"/>
        <w:gridCol w:w="222"/>
        <w:gridCol w:w="1955"/>
        <w:gridCol w:w="1819"/>
        <w:gridCol w:w="236"/>
        <w:gridCol w:w="1914"/>
        <w:gridCol w:w="1701"/>
      </w:tblGrid>
      <w:tr w:rsidR="00B6587E" w:rsidRPr="003732B8" w:rsidTr="00B05DCF"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Control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(non-OAT)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OAT+ROW</w:t>
            </w:r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(PVG/</w:t>
            </w:r>
            <w:proofErr w:type="spellStart"/>
            <w:r w:rsidRPr="003732B8">
              <w:rPr>
                <w:b/>
                <w:szCs w:val="24"/>
              </w:rPr>
              <w:t>Seac</w:t>
            </w:r>
            <w:proofErr w:type="spellEnd"/>
            <w:r w:rsidRPr="003732B8">
              <w:rPr>
                <w:b/>
                <w:szCs w:val="24"/>
              </w:rPr>
              <w:t xml:space="preserve"> to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OAT+PAW</w:t>
            </w:r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(PVG/</w:t>
            </w:r>
            <w:proofErr w:type="spellStart"/>
            <w:r w:rsidRPr="003732B8">
              <w:rPr>
                <w:b/>
                <w:szCs w:val="24"/>
              </w:rPr>
              <w:t>Seac</w:t>
            </w:r>
            <w:proofErr w:type="spellEnd"/>
            <w:r w:rsidRPr="003732B8">
              <w:rPr>
                <w:b/>
                <w:szCs w:val="24"/>
              </w:rPr>
              <w:t xml:space="preserve"> to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-45" w:left="-108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Body weight (g)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240.3±18.6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3" w:left="31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350.1±16.7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220.9±12.8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332.5±15.6</w:t>
            </w:r>
          </w:p>
        </w:tc>
        <w:tc>
          <w:tcPr>
            <w:tcW w:w="23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234.6±10.2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365.7±13.4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-45" w:left="-108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BUN (mg/</w:t>
            </w:r>
            <w:proofErr w:type="spellStart"/>
            <w:r w:rsidRPr="003732B8">
              <w:rPr>
                <w:b/>
                <w:szCs w:val="24"/>
              </w:rPr>
              <w:t>dL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26.5±5.6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30.0±5.9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26.8±9.0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29.5±6.1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25.4±7.1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29.8±6.8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-45" w:left="-108"/>
              <w:rPr>
                <w:b/>
                <w:szCs w:val="24"/>
              </w:rPr>
            </w:pPr>
            <w:proofErr w:type="spellStart"/>
            <w:r w:rsidRPr="003732B8">
              <w:rPr>
                <w:b/>
                <w:szCs w:val="24"/>
              </w:rPr>
              <w:t>Creatinine</w:t>
            </w:r>
            <w:proofErr w:type="spellEnd"/>
            <w:r w:rsidRPr="003732B8">
              <w:rPr>
                <w:b/>
                <w:szCs w:val="24"/>
              </w:rPr>
              <w:t xml:space="preserve"> (mg/</w:t>
            </w:r>
            <w:proofErr w:type="spellStart"/>
            <w:r w:rsidRPr="003732B8">
              <w:rPr>
                <w:b/>
                <w:szCs w:val="24"/>
              </w:rPr>
              <w:t>dL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0.6±0.1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0.7±0.2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0.8±0.5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0.8±0.3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0.9±0.3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0.9±0.2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-45" w:left="-108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ALT (IU/L)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19.9±6.7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22.8±9.1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21.3±6.5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23.5±9.1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25.4±3.8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20.6±1.9</w:t>
            </w:r>
          </w:p>
        </w:tc>
      </w:tr>
      <w:tr w:rsidR="00B6587E" w:rsidRPr="003732B8" w:rsidTr="00B05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-45" w:left="-108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AST (IU/L)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30.5±6.1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32.5±8.1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30.5±3.6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30.6±8.1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29.8±9.9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30.5±9.1</w:t>
            </w:r>
          </w:p>
        </w:tc>
      </w:tr>
    </w:tbl>
    <w:p w:rsidR="00B6587E" w:rsidRPr="003732B8" w:rsidRDefault="00B6587E" w:rsidP="00B6587E">
      <w:pPr>
        <w:adjustRightInd w:val="0"/>
        <w:snapToGrid w:val="0"/>
        <w:spacing w:line="360" w:lineRule="atLeast"/>
        <w:ind w:leftChars="118" w:left="283"/>
        <w:rPr>
          <w:rFonts w:eastAsiaTheme="minorEastAsia"/>
          <w:szCs w:val="24"/>
          <w:lang w:eastAsia="zh-TW"/>
        </w:rPr>
      </w:pPr>
      <w:r w:rsidRPr="003732B8">
        <w:rPr>
          <w:szCs w:val="24"/>
        </w:rPr>
        <w:t xml:space="preserve">OAT, </w:t>
      </w:r>
      <w:proofErr w:type="spellStart"/>
      <w:r w:rsidRPr="003732B8">
        <w:rPr>
          <w:szCs w:val="24"/>
        </w:rPr>
        <w:t>orthotopic</w:t>
      </w:r>
      <w:proofErr w:type="spellEnd"/>
      <w:r w:rsidRPr="003732B8">
        <w:rPr>
          <w:szCs w:val="24"/>
        </w:rPr>
        <w:t xml:space="preserve"> aortic transplantation; BW, body weight; BUN, blood urea nitrogen; ALT, </w:t>
      </w:r>
      <w:proofErr w:type="spellStart"/>
      <w:r w:rsidRPr="003732B8">
        <w:rPr>
          <w:szCs w:val="24"/>
        </w:rPr>
        <w:t>alanine</w:t>
      </w:r>
      <w:proofErr w:type="spellEnd"/>
      <w:r w:rsidRPr="003732B8">
        <w:rPr>
          <w:szCs w:val="24"/>
        </w:rPr>
        <w:t xml:space="preserve"> </w:t>
      </w:r>
      <w:proofErr w:type="spellStart"/>
      <w:r w:rsidRPr="003732B8">
        <w:rPr>
          <w:szCs w:val="24"/>
        </w:rPr>
        <w:t>transaminase</w:t>
      </w:r>
      <w:proofErr w:type="spellEnd"/>
      <w:r w:rsidRPr="003732B8">
        <w:rPr>
          <w:szCs w:val="24"/>
        </w:rPr>
        <w:t xml:space="preserve">; AST, </w:t>
      </w:r>
      <w:proofErr w:type="spellStart"/>
      <w:r w:rsidRPr="003732B8">
        <w:rPr>
          <w:szCs w:val="24"/>
        </w:rPr>
        <w:t>aspartate</w:t>
      </w:r>
      <w:proofErr w:type="spellEnd"/>
      <w:r w:rsidRPr="003732B8">
        <w:rPr>
          <w:szCs w:val="24"/>
        </w:rPr>
        <w:t xml:space="preserve"> </w:t>
      </w:r>
      <w:proofErr w:type="spellStart"/>
      <w:r w:rsidRPr="003732B8">
        <w:rPr>
          <w:szCs w:val="24"/>
        </w:rPr>
        <w:t>transaminase</w:t>
      </w:r>
      <w:proofErr w:type="spellEnd"/>
      <w:r w:rsidRPr="003732B8">
        <w:rPr>
          <w:szCs w:val="24"/>
        </w:rPr>
        <w:t>; Values are represented as mean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±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 xml:space="preserve">SD. </w:t>
      </w:r>
      <w:proofErr w:type="spellStart"/>
      <w:r w:rsidRPr="003732B8">
        <w:rPr>
          <w:szCs w:val="24"/>
          <w:vertAlign w:val="superscript"/>
        </w:rPr>
        <w:t>a</w:t>
      </w:r>
      <w:r w:rsidRPr="003732B8">
        <w:rPr>
          <w:i/>
          <w:iCs/>
          <w:szCs w:val="24"/>
        </w:rPr>
        <w:t>p</w:t>
      </w:r>
      <w:proofErr w:type="spellEnd"/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 xml:space="preserve">0.05 compared with baseline of the same group; </w:t>
      </w:r>
      <w:proofErr w:type="spellStart"/>
      <w:r w:rsidRPr="003732B8">
        <w:rPr>
          <w:szCs w:val="24"/>
          <w:vertAlign w:val="superscript"/>
        </w:rPr>
        <w:t>b</w:t>
      </w:r>
      <w:r w:rsidRPr="003732B8">
        <w:rPr>
          <w:i/>
          <w:iCs/>
          <w:szCs w:val="24"/>
        </w:rPr>
        <w:t>p</w:t>
      </w:r>
      <w:proofErr w:type="spellEnd"/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0.05 compared with Control ACI/</w:t>
      </w:r>
      <w:proofErr w:type="spellStart"/>
      <w:r w:rsidRPr="003732B8">
        <w:rPr>
          <w:szCs w:val="24"/>
        </w:rPr>
        <w:t>NKyo</w:t>
      </w:r>
      <w:proofErr w:type="spellEnd"/>
      <w:r w:rsidRPr="003732B8">
        <w:rPr>
          <w:szCs w:val="24"/>
        </w:rPr>
        <w:t xml:space="preserve"> (non-OAT) group at the same time point; </w:t>
      </w:r>
      <w:r w:rsidRPr="003732B8">
        <w:rPr>
          <w:szCs w:val="24"/>
          <w:vertAlign w:val="superscript"/>
        </w:rPr>
        <w:t>c</w:t>
      </w:r>
      <w:r w:rsidRPr="003732B8">
        <w:rPr>
          <w:i/>
          <w:iCs/>
          <w:szCs w:val="24"/>
        </w:rPr>
        <w:t>p</w:t>
      </w:r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0.05 compared with OAT+ROW (PVG/</w:t>
      </w:r>
      <w:proofErr w:type="spellStart"/>
      <w:r w:rsidRPr="003732B8">
        <w:rPr>
          <w:szCs w:val="24"/>
        </w:rPr>
        <w:t>Seac</w:t>
      </w:r>
      <w:proofErr w:type="spellEnd"/>
      <w:r w:rsidRPr="003732B8">
        <w:rPr>
          <w:szCs w:val="24"/>
        </w:rPr>
        <w:t xml:space="preserve"> to ACI/</w:t>
      </w:r>
      <w:proofErr w:type="spellStart"/>
      <w:r w:rsidRPr="003732B8">
        <w:rPr>
          <w:szCs w:val="24"/>
        </w:rPr>
        <w:t>NKyo</w:t>
      </w:r>
      <w:proofErr w:type="spellEnd"/>
      <w:r w:rsidRPr="003732B8">
        <w:rPr>
          <w:szCs w:val="24"/>
        </w:rPr>
        <w:t>)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group at the same time point.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Statistical evaluations were performed using one-way ANOVA</w:t>
      </w:r>
      <w:r w:rsidRPr="003732B8">
        <w:rPr>
          <w:rFonts w:eastAsiaTheme="minorEastAsia"/>
          <w:szCs w:val="24"/>
          <w:lang w:eastAsia="zh-TW"/>
        </w:rPr>
        <w:t>.</w:t>
      </w:r>
    </w:p>
    <w:p w:rsidR="00B6587E" w:rsidRPr="003732B8" w:rsidRDefault="00B6587E" w:rsidP="00B6587E">
      <w:pPr>
        <w:adjustRightInd w:val="0"/>
        <w:snapToGrid w:val="0"/>
        <w:spacing w:line="480" w:lineRule="auto"/>
        <w:rPr>
          <w:szCs w:val="24"/>
        </w:rPr>
      </w:pPr>
    </w:p>
    <w:p w:rsidR="00D2518B" w:rsidRDefault="00D2518B">
      <w:pPr>
        <w:rPr>
          <w:rFonts w:eastAsiaTheme="minorEastAsia" w:hint="eastAsia"/>
          <w:lang w:eastAsia="zh-TW"/>
        </w:rPr>
      </w:pPr>
    </w:p>
    <w:p w:rsidR="00B6587E" w:rsidRDefault="00B6587E">
      <w:pPr>
        <w:rPr>
          <w:rFonts w:eastAsiaTheme="minorEastAsia" w:hint="eastAsia"/>
          <w:lang w:eastAsia="zh-TW"/>
        </w:rPr>
      </w:pPr>
    </w:p>
    <w:p w:rsidR="00B6587E" w:rsidRDefault="00B6587E" w:rsidP="00B6587E">
      <w:pPr>
        <w:adjustRightInd w:val="0"/>
        <w:snapToGrid w:val="0"/>
        <w:spacing w:line="480" w:lineRule="auto"/>
        <w:ind w:leftChars="59" w:left="142"/>
        <w:rPr>
          <w:rFonts w:eastAsiaTheme="minorEastAsia" w:hint="eastAsia"/>
          <w:b/>
          <w:szCs w:val="24"/>
          <w:lang w:eastAsia="zh-TW"/>
        </w:rPr>
      </w:pPr>
    </w:p>
    <w:p w:rsidR="00B6587E" w:rsidRPr="003732B8" w:rsidRDefault="00B6587E" w:rsidP="00B6587E">
      <w:pPr>
        <w:adjustRightInd w:val="0"/>
        <w:snapToGrid w:val="0"/>
        <w:spacing w:line="480" w:lineRule="auto"/>
        <w:ind w:leftChars="59" w:left="142"/>
        <w:rPr>
          <w:b/>
          <w:szCs w:val="24"/>
        </w:rPr>
      </w:pPr>
      <w:proofErr w:type="gramStart"/>
      <w:r w:rsidRPr="003732B8">
        <w:rPr>
          <w:b/>
          <w:szCs w:val="24"/>
        </w:rPr>
        <w:lastRenderedPageBreak/>
        <w:t>Table 2.</w:t>
      </w:r>
      <w:proofErr w:type="gramEnd"/>
      <w:r w:rsidRPr="003732B8">
        <w:rPr>
          <w:b/>
          <w:szCs w:val="24"/>
        </w:rPr>
        <w:t xml:space="preserve"> Comparison of OAT-induced </w:t>
      </w:r>
      <w:proofErr w:type="spellStart"/>
      <w:r w:rsidRPr="003732B8">
        <w:rPr>
          <w:b/>
          <w:szCs w:val="24"/>
        </w:rPr>
        <w:t>Vasculopathy</w:t>
      </w:r>
      <w:proofErr w:type="spellEnd"/>
      <w:r w:rsidRPr="003732B8">
        <w:rPr>
          <w:b/>
          <w:szCs w:val="24"/>
        </w:rPr>
        <w:t>-related Proteins in ACI//</w:t>
      </w:r>
      <w:proofErr w:type="spellStart"/>
      <w:r w:rsidRPr="003732B8">
        <w:rPr>
          <w:b/>
          <w:szCs w:val="24"/>
        </w:rPr>
        <w:t>NKyo</w:t>
      </w:r>
      <w:proofErr w:type="spellEnd"/>
      <w:r w:rsidRPr="003732B8">
        <w:rPr>
          <w:b/>
          <w:szCs w:val="24"/>
        </w:rPr>
        <w:t xml:space="preserve"> Rats.</w:t>
      </w:r>
    </w:p>
    <w:tbl>
      <w:tblPr>
        <w:tblW w:w="14187" w:type="dxa"/>
        <w:jc w:val="center"/>
        <w:tblLook w:val="04A0"/>
      </w:tblPr>
      <w:tblGrid>
        <w:gridCol w:w="2003"/>
        <w:gridCol w:w="1591"/>
        <w:gridCol w:w="1773"/>
        <w:gridCol w:w="275"/>
        <w:gridCol w:w="1868"/>
        <w:gridCol w:w="2542"/>
        <w:gridCol w:w="275"/>
        <w:gridCol w:w="1807"/>
        <w:gridCol w:w="2053"/>
      </w:tblGrid>
      <w:tr w:rsidR="00B6587E" w:rsidRPr="003732B8" w:rsidTr="00B05DCF">
        <w:trPr>
          <w:jc w:val="center"/>
        </w:trPr>
        <w:tc>
          <w:tcPr>
            <w:tcW w:w="2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rPr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Control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b/>
                <w:szCs w:val="24"/>
              </w:rPr>
              <w:t>(non-OAT)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</w:p>
        </w:tc>
        <w:tc>
          <w:tcPr>
            <w:tcW w:w="44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OAT+ROW</w:t>
            </w:r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(PVG/</w:t>
            </w:r>
            <w:proofErr w:type="spellStart"/>
            <w:r w:rsidRPr="003732B8">
              <w:rPr>
                <w:b/>
                <w:szCs w:val="24"/>
              </w:rPr>
              <w:t>Seac</w:t>
            </w:r>
            <w:proofErr w:type="spellEnd"/>
            <w:r w:rsidRPr="003732B8">
              <w:rPr>
                <w:b/>
                <w:szCs w:val="24"/>
              </w:rPr>
              <w:t xml:space="preserve"> to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OAT+PAW</w:t>
            </w:r>
          </w:p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(PVG/</w:t>
            </w:r>
            <w:proofErr w:type="spellStart"/>
            <w:r w:rsidRPr="003732B8">
              <w:rPr>
                <w:b/>
                <w:szCs w:val="24"/>
              </w:rPr>
              <w:t>Seac</w:t>
            </w:r>
            <w:proofErr w:type="spellEnd"/>
            <w:r w:rsidRPr="003732B8">
              <w:rPr>
                <w:b/>
                <w:szCs w:val="24"/>
              </w:rPr>
              <w:t xml:space="preserve"> to ACI/</w:t>
            </w:r>
            <w:proofErr w:type="spellStart"/>
            <w:r w:rsidRPr="003732B8">
              <w:rPr>
                <w:b/>
                <w:szCs w:val="24"/>
              </w:rPr>
              <w:t>NKyo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  <w:tc>
          <w:tcPr>
            <w:tcW w:w="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  <w:tc>
          <w:tcPr>
            <w:tcW w:w="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baseline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 days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</w:tabs>
              <w:adjustRightInd w:val="0"/>
              <w:snapToGrid w:val="0"/>
              <w:spacing w:line="480" w:lineRule="auto"/>
              <w:ind w:leftChars="-12" w:left="-29" w:rightChars="14" w:right="34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LDH (IU/L)</w:t>
            </w:r>
          </w:p>
        </w:tc>
        <w:tc>
          <w:tcPr>
            <w:tcW w:w="1591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900.5±99.5</w:t>
            </w:r>
          </w:p>
        </w:tc>
        <w:tc>
          <w:tcPr>
            <w:tcW w:w="1773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895.9±125.6</w:t>
            </w:r>
          </w:p>
        </w:tc>
        <w:tc>
          <w:tcPr>
            <w:tcW w:w="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854.6±152.5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 w:right="440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1888.78±323.0</w:t>
            </w:r>
            <w:r w:rsidRPr="003732B8">
              <w:rPr>
                <w:szCs w:val="24"/>
                <w:vertAlign w:val="superscript"/>
              </w:rPr>
              <w:t>ab</w:t>
            </w:r>
            <w:bookmarkStart w:id="0" w:name="_GoBack"/>
            <w:bookmarkEnd w:id="0"/>
          </w:p>
        </w:tc>
        <w:tc>
          <w:tcPr>
            <w:tcW w:w="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802.3±152.0</w:t>
            </w:r>
          </w:p>
        </w:tc>
        <w:tc>
          <w:tcPr>
            <w:tcW w:w="2044" w:type="dxa"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968.8±116.4</w:t>
            </w:r>
            <w:r w:rsidRPr="003732B8">
              <w:rPr>
                <w:szCs w:val="24"/>
                <w:vertAlign w:val="superscript"/>
              </w:rPr>
              <w:t>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  <w:tab w:val="left" w:pos="1726"/>
              </w:tabs>
              <w:adjustRightInd w:val="0"/>
              <w:snapToGrid w:val="0"/>
              <w:spacing w:line="480" w:lineRule="auto"/>
              <w:ind w:leftChars="-12" w:left="-29" w:rightChars="14" w:right="34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CRP (mg/</w:t>
            </w:r>
            <w:proofErr w:type="spellStart"/>
            <w:r w:rsidRPr="003732B8">
              <w:rPr>
                <w:b/>
                <w:szCs w:val="24"/>
              </w:rPr>
              <w:t>dL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40.2±13.5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39.6±9.1</w:t>
            </w:r>
          </w:p>
        </w:tc>
        <w:tc>
          <w:tcPr>
            <w:tcW w:w="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39.4±9.8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 w:right="440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163.5±22.5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26.5±8.1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72.1±5.4</w:t>
            </w:r>
            <w:r w:rsidRPr="003732B8">
              <w:rPr>
                <w:szCs w:val="24"/>
                <w:vertAlign w:val="superscript"/>
              </w:rPr>
              <w:t>abc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  <w:tab w:val="left" w:pos="1726"/>
              </w:tabs>
              <w:adjustRightInd w:val="0"/>
              <w:snapToGrid w:val="0"/>
              <w:spacing w:line="480" w:lineRule="auto"/>
              <w:ind w:leftChars="-12" w:left="-29" w:rightChars="-67" w:right="-161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HMGB1 (</w:t>
            </w:r>
            <w:proofErr w:type="spellStart"/>
            <w:r w:rsidRPr="003732B8">
              <w:rPr>
                <w:b/>
                <w:szCs w:val="24"/>
              </w:rPr>
              <w:t>ng</w:t>
            </w:r>
            <w:proofErr w:type="spellEnd"/>
            <w:r w:rsidRPr="003732B8">
              <w:rPr>
                <w:b/>
                <w:szCs w:val="24"/>
              </w:rPr>
              <w:t>/</w:t>
            </w:r>
            <w:proofErr w:type="spellStart"/>
            <w:r w:rsidRPr="003732B8">
              <w:rPr>
                <w:b/>
                <w:szCs w:val="24"/>
              </w:rPr>
              <w:t>mL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2.7±1.4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2.8±1.3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3.4±1.5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98.7±19.7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2.5±1.4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55.4±13.1</w:t>
            </w:r>
            <w:r w:rsidRPr="003732B8">
              <w:rPr>
                <w:szCs w:val="24"/>
                <w:vertAlign w:val="superscript"/>
              </w:rPr>
              <w:t>abc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</w:tabs>
              <w:adjustRightInd w:val="0"/>
              <w:snapToGrid w:val="0"/>
              <w:spacing w:line="480" w:lineRule="auto"/>
              <w:ind w:leftChars="-12" w:left="-29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SDF-1</w:t>
            </w:r>
            <w:r w:rsidRPr="003732B8">
              <w:rPr>
                <w:szCs w:val="24"/>
              </w:rPr>
              <w:sym w:font="Symbol" w:char="F061"/>
            </w:r>
            <w:r w:rsidRPr="003732B8">
              <w:rPr>
                <w:b/>
                <w:szCs w:val="24"/>
              </w:rPr>
              <w:t xml:space="preserve"> (pg/</w:t>
            </w:r>
            <w:proofErr w:type="spellStart"/>
            <w:r w:rsidRPr="003732B8">
              <w:rPr>
                <w:b/>
                <w:szCs w:val="24"/>
              </w:rPr>
              <w:t>mL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200.3±22.6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196.5±52.1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220.1±41.5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432.6±100.4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241.3±54.1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1211.4±130.2</w:t>
            </w:r>
            <w:r w:rsidRPr="003732B8">
              <w:rPr>
                <w:szCs w:val="24"/>
                <w:vertAlign w:val="superscript"/>
              </w:rPr>
              <w:t>abc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</w:tabs>
              <w:adjustRightInd w:val="0"/>
              <w:snapToGrid w:val="0"/>
              <w:spacing w:line="480" w:lineRule="auto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TGF-β1 (</w:t>
            </w:r>
            <w:proofErr w:type="spellStart"/>
            <w:r w:rsidRPr="003732B8">
              <w:rPr>
                <w:b/>
                <w:szCs w:val="24"/>
              </w:rPr>
              <w:t>ng</w:t>
            </w:r>
            <w:proofErr w:type="spellEnd"/>
            <w:r w:rsidRPr="003732B8">
              <w:rPr>
                <w:b/>
                <w:szCs w:val="24"/>
              </w:rPr>
              <w:t>/</w:t>
            </w:r>
            <w:proofErr w:type="spellStart"/>
            <w:r w:rsidRPr="003732B8">
              <w:rPr>
                <w:b/>
                <w:szCs w:val="24"/>
              </w:rPr>
              <w:t>mL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66.3±21.2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78.9±25.4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72.4±19.7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378.1±55.9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72.1±22.0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129.7±54.1</w:t>
            </w:r>
            <w:r w:rsidRPr="003732B8">
              <w:rPr>
                <w:szCs w:val="24"/>
                <w:vertAlign w:val="superscript"/>
              </w:rPr>
              <w:t>abc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  <w:tab w:val="left" w:pos="1726"/>
              </w:tabs>
              <w:adjustRightInd w:val="0"/>
              <w:snapToGrid w:val="0"/>
              <w:spacing w:line="480" w:lineRule="auto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INF-γ (pg/</w:t>
            </w:r>
            <w:proofErr w:type="spellStart"/>
            <w:r w:rsidRPr="003732B8">
              <w:rPr>
                <w:b/>
                <w:szCs w:val="24"/>
              </w:rPr>
              <w:t>mL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2.5±0.8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3.1±0.9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1.5±0.7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18.7±5.3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1.9±0.8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3.5±1.2</w:t>
            </w:r>
            <w:r w:rsidRPr="003732B8">
              <w:rPr>
                <w:szCs w:val="24"/>
                <w:vertAlign w:val="superscript"/>
              </w:rPr>
              <w:t>c</w:t>
            </w:r>
          </w:p>
        </w:tc>
      </w:tr>
      <w:tr w:rsidR="00B6587E" w:rsidRPr="003732B8" w:rsidTr="00B05DCF">
        <w:trPr>
          <w:jc w:val="center"/>
        </w:trPr>
        <w:tc>
          <w:tcPr>
            <w:tcW w:w="20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tabs>
                <w:tab w:val="left" w:pos="0"/>
                <w:tab w:val="left" w:pos="1726"/>
              </w:tabs>
              <w:adjustRightInd w:val="0"/>
              <w:snapToGrid w:val="0"/>
              <w:spacing w:line="480" w:lineRule="auto"/>
              <w:ind w:rightChars="-67" w:right="-161"/>
              <w:rPr>
                <w:b/>
                <w:szCs w:val="24"/>
              </w:rPr>
            </w:pPr>
            <w:r w:rsidRPr="003732B8">
              <w:rPr>
                <w:b/>
                <w:szCs w:val="24"/>
              </w:rPr>
              <w:t>IL-2 (pg/</w:t>
            </w:r>
            <w:proofErr w:type="spellStart"/>
            <w:r w:rsidRPr="003732B8">
              <w:rPr>
                <w:b/>
                <w:szCs w:val="24"/>
              </w:rPr>
              <w:t>mL</w:t>
            </w:r>
            <w:proofErr w:type="spellEnd"/>
            <w:r w:rsidRPr="003732B8">
              <w:rPr>
                <w:b/>
                <w:szCs w:val="24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45.7±13.5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56.8±18.9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53.7±21.5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899.4±102.4</w:t>
            </w:r>
            <w:r w:rsidRPr="003732B8">
              <w:rPr>
                <w:szCs w:val="24"/>
                <w:vertAlign w:val="superscript"/>
              </w:rPr>
              <w:t>ab</w:t>
            </w: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45.2±21.0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6587E" w:rsidRPr="003732B8" w:rsidRDefault="00B6587E" w:rsidP="00B05DCF">
            <w:pPr>
              <w:adjustRightInd w:val="0"/>
              <w:snapToGrid w:val="0"/>
              <w:spacing w:line="480" w:lineRule="auto"/>
              <w:ind w:leftChars="118" w:left="283"/>
              <w:jc w:val="center"/>
              <w:rPr>
                <w:szCs w:val="24"/>
              </w:rPr>
            </w:pPr>
            <w:r w:rsidRPr="003732B8">
              <w:rPr>
                <w:szCs w:val="24"/>
              </w:rPr>
              <w:t>352.4±95.7</w:t>
            </w:r>
            <w:r w:rsidRPr="003732B8">
              <w:rPr>
                <w:szCs w:val="24"/>
                <w:vertAlign w:val="superscript"/>
              </w:rPr>
              <w:t>abc</w:t>
            </w:r>
          </w:p>
        </w:tc>
      </w:tr>
    </w:tbl>
    <w:p w:rsidR="00B6587E" w:rsidRPr="003732B8" w:rsidRDefault="00B6587E" w:rsidP="00B6587E">
      <w:pPr>
        <w:adjustRightInd w:val="0"/>
        <w:snapToGrid w:val="0"/>
        <w:spacing w:line="360" w:lineRule="atLeast"/>
        <w:rPr>
          <w:rFonts w:eastAsiaTheme="minorEastAsia"/>
          <w:szCs w:val="24"/>
          <w:lang w:eastAsia="zh-TW"/>
        </w:rPr>
      </w:pPr>
      <w:r w:rsidRPr="003732B8">
        <w:rPr>
          <w:szCs w:val="24"/>
        </w:rPr>
        <w:t xml:space="preserve">OAT, </w:t>
      </w:r>
      <w:proofErr w:type="spellStart"/>
      <w:r w:rsidRPr="003732B8">
        <w:rPr>
          <w:szCs w:val="24"/>
        </w:rPr>
        <w:t>orthotopic</w:t>
      </w:r>
      <w:proofErr w:type="spellEnd"/>
      <w:r w:rsidRPr="003732B8">
        <w:rPr>
          <w:szCs w:val="24"/>
        </w:rPr>
        <w:t xml:space="preserve"> aortic transplantation; LDH, lactic </w:t>
      </w:r>
      <w:proofErr w:type="spellStart"/>
      <w:r w:rsidRPr="003732B8">
        <w:rPr>
          <w:szCs w:val="24"/>
        </w:rPr>
        <w:t>dehydrogenase</w:t>
      </w:r>
      <w:proofErr w:type="spellEnd"/>
      <w:r w:rsidRPr="003732B8">
        <w:rPr>
          <w:szCs w:val="24"/>
        </w:rPr>
        <w:t>; CRP, C-reactive protein; HMGB1, high mobility group box 1 protein; INF-</w:t>
      </w:r>
      <w:r w:rsidRPr="003732B8">
        <w:rPr>
          <w:b/>
          <w:szCs w:val="24"/>
        </w:rPr>
        <w:t>γ</w:t>
      </w:r>
      <w:r w:rsidRPr="003732B8">
        <w:rPr>
          <w:szCs w:val="24"/>
        </w:rPr>
        <w:t xml:space="preserve">, interferon </w:t>
      </w:r>
      <w:r w:rsidRPr="003732B8">
        <w:rPr>
          <w:b/>
          <w:szCs w:val="24"/>
        </w:rPr>
        <w:t>γ</w:t>
      </w:r>
      <w:r w:rsidRPr="003732B8">
        <w:rPr>
          <w:szCs w:val="24"/>
        </w:rPr>
        <w:t>; TGF-β1, transforming growth factor- beta 1; SDF-1</w:t>
      </w:r>
      <w:r w:rsidRPr="003732B8">
        <w:rPr>
          <w:szCs w:val="24"/>
        </w:rPr>
        <w:sym w:font="Symbol" w:char="F061"/>
      </w:r>
      <w:r w:rsidRPr="003732B8">
        <w:rPr>
          <w:szCs w:val="24"/>
        </w:rPr>
        <w:t xml:space="preserve">, </w:t>
      </w:r>
      <w:proofErr w:type="spellStart"/>
      <w:r w:rsidRPr="003732B8">
        <w:rPr>
          <w:szCs w:val="24"/>
        </w:rPr>
        <w:t>stromal</w:t>
      </w:r>
      <w:proofErr w:type="spellEnd"/>
      <w:r w:rsidRPr="003732B8">
        <w:rPr>
          <w:szCs w:val="24"/>
        </w:rPr>
        <w:t xml:space="preserve"> cell-derived factor 1</w:t>
      </w:r>
      <w:r w:rsidRPr="003732B8">
        <w:rPr>
          <w:szCs w:val="24"/>
        </w:rPr>
        <w:sym w:font="Symbol" w:char="F061"/>
      </w:r>
      <w:r w:rsidRPr="003732B8">
        <w:rPr>
          <w:szCs w:val="24"/>
        </w:rPr>
        <w:t xml:space="preserve">; IL-2, interleukin 2; Values are represented as </w:t>
      </w:r>
      <w:proofErr w:type="spellStart"/>
      <w:r w:rsidRPr="003732B8">
        <w:rPr>
          <w:szCs w:val="24"/>
        </w:rPr>
        <w:t>mean±SD</w:t>
      </w:r>
      <w:proofErr w:type="spellEnd"/>
      <w:r w:rsidRPr="003732B8">
        <w:rPr>
          <w:szCs w:val="24"/>
        </w:rPr>
        <w:t xml:space="preserve">. </w:t>
      </w:r>
      <w:proofErr w:type="spellStart"/>
      <w:r w:rsidRPr="003732B8">
        <w:rPr>
          <w:szCs w:val="24"/>
          <w:vertAlign w:val="superscript"/>
        </w:rPr>
        <w:t>a</w:t>
      </w:r>
      <w:r w:rsidRPr="003732B8">
        <w:rPr>
          <w:i/>
          <w:iCs/>
          <w:szCs w:val="24"/>
        </w:rPr>
        <w:t>p</w:t>
      </w:r>
      <w:proofErr w:type="spellEnd"/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 xml:space="preserve">0.05 compared with baseline of the same group; </w:t>
      </w:r>
      <w:proofErr w:type="spellStart"/>
      <w:r w:rsidRPr="003732B8">
        <w:rPr>
          <w:szCs w:val="24"/>
          <w:vertAlign w:val="superscript"/>
        </w:rPr>
        <w:t>b</w:t>
      </w:r>
      <w:r w:rsidRPr="003732B8">
        <w:rPr>
          <w:i/>
          <w:iCs/>
          <w:szCs w:val="24"/>
        </w:rPr>
        <w:t>p</w:t>
      </w:r>
      <w:proofErr w:type="spellEnd"/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0.05 compared with control ACI</w:t>
      </w:r>
      <w:r w:rsidRPr="003732B8">
        <w:rPr>
          <w:b/>
          <w:szCs w:val="24"/>
        </w:rPr>
        <w:t>/</w:t>
      </w:r>
      <w:proofErr w:type="spellStart"/>
      <w:r w:rsidRPr="003732B8">
        <w:rPr>
          <w:szCs w:val="24"/>
        </w:rPr>
        <w:t>NKyo</w:t>
      </w:r>
      <w:proofErr w:type="spellEnd"/>
      <w:r w:rsidRPr="003732B8">
        <w:rPr>
          <w:szCs w:val="24"/>
        </w:rPr>
        <w:t xml:space="preserve"> (non-OAT) group at the same time point; </w:t>
      </w:r>
      <w:r w:rsidRPr="003732B8">
        <w:rPr>
          <w:szCs w:val="24"/>
          <w:vertAlign w:val="superscript"/>
        </w:rPr>
        <w:t>c</w:t>
      </w:r>
      <w:r w:rsidRPr="003732B8">
        <w:rPr>
          <w:i/>
          <w:iCs/>
          <w:szCs w:val="24"/>
        </w:rPr>
        <w:t>p</w:t>
      </w:r>
      <w:r w:rsidRPr="003732B8">
        <w:rPr>
          <w:rFonts w:eastAsiaTheme="minorEastAsia"/>
          <w:i/>
          <w:iCs/>
          <w:szCs w:val="24"/>
          <w:lang w:eastAsia="zh-TW"/>
        </w:rPr>
        <w:t xml:space="preserve"> </w:t>
      </w:r>
      <w:r w:rsidRPr="003732B8">
        <w:rPr>
          <w:szCs w:val="24"/>
        </w:rPr>
        <w:t>&lt;</w:t>
      </w:r>
      <w:r w:rsidRPr="003732B8">
        <w:rPr>
          <w:rFonts w:eastAsiaTheme="minorEastAsia"/>
          <w:szCs w:val="24"/>
          <w:lang w:eastAsia="zh-TW"/>
        </w:rPr>
        <w:t xml:space="preserve"> </w:t>
      </w:r>
      <w:r w:rsidRPr="003732B8">
        <w:rPr>
          <w:szCs w:val="24"/>
        </w:rPr>
        <w:t>0.05 compared with OAT+ROW (PVG/</w:t>
      </w:r>
      <w:proofErr w:type="spellStart"/>
      <w:r w:rsidRPr="003732B8">
        <w:rPr>
          <w:szCs w:val="24"/>
        </w:rPr>
        <w:t>Seac</w:t>
      </w:r>
      <w:proofErr w:type="spellEnd"/>
      <w:r w:rsidRPr="003732B8">
        <w:rPr>
          <w:szCs w:val="24"/>
        </w:rPr>
        <w:t xml:space="preserve"> to ACI/</w:t>
      </w:r>
      <w:proofErr w:type="spellStart"/>
      <w:r w:rsidRPr="003732B8">
        <w:rPr>
          <w:szCs w:val="24"/>
        </w:rPr>
        <w:t>NKyo</w:t>
      </w:r>
      <w:proofErr w:type="spellEnd"/>
      <w:r w:rsidRPr="003732B8">
        <w:rPr>
          <w:szCs w:val="24"/>
        </w:rPr>
        <w:t>) group at the same time point.</w:t>
      </w:r>
      <w:r w:rsidRPr="003732B8">
        <w:rPr>
          <w:rFonts w:eastAsiaTheme="minorEastAsia"/>
          <w:szCs w:val="24"/>
          <w:lang w:eastAsia="zh-TW"/>
        </w:rPr>
        <w:t xml:space="preserve"> Statistical evaluations were performed using one-way ANOVA.</w:t>
      </w:r>
    </w:p>
    <w:p w:rsidR="00B6587E" w:rsidRPr="00B6587E" w:rsidRDefault="00B6587E">
      <w:pPr>
        <w:rPr>
          <w:rFonts w:eastAsiaTheme="minorEastAsia" w:hint="eastAsia"/>
          <w:lang w:eastAsia="zh-TW"/>
        </w:rPr>
      </w:pPr>
    </w:p>
    <w:sectPr w:rsidR="00B6587E" w:rsidRPr="00B6587E" w:rsidSect="00B6587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87E"/>
    <w:rsid w:val="00B6587E"/>
    <w:rsid w:val="00D2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7E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林豐彥</dc:creator>
  <cp:lastModifiedBy>林豐彥</cp:lastModifiedBy>
  <cp:revision>1</cp:revision>
  <dcterms:created xsi:type="dcterms:W3CDTF">2020-12-03T03:35:00Z</dcterms:created>
  <dcterms:modified xsi:type="dcterms:W3CDTF">2020-12-03T03:39:00Z</dcterms:modified>
</cp:coreProperties>
</file>