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7E93" w:rsidRPr="00707E93" w:rsidRDefault="00696A71" w:rsidP="00707E93">
      <w:pPr>
        <w:spacing w:line="360" w:lineRule="auto"/>
        <w:jc w:val="both"/>
        <w:rPr>
          <w:b/>
          <w:sz w:val="28"/>
          <w:szCs w:val="28"/>
          <w:lang w:val="en-US"/>
        </w:rPr>
      </w:pPr>
      <w:r>
        <w:rPr>
          <w:b/>
          <w:sz w:val="28"/>
          <w:szCs w:val="28"/>
          <w:lang w:val="en-US"/>
        </w:rPr>
        <w:t>Myelination- and immune-</w:t>
      </w:r>
      <w:r w:rsidR="00707E93">
        <w:rPr>
          <w:b/>
          <w:sz w:val="28"/>
          <w:szCs w:val="28"/>
          <w:lang w:val="en-US"/>
        </w:rPr>
        <w:t xml:space="preserve">mediated MR-based brain network </w:t>
      </w:r>
      <w:r w:rsidR="00707E93" w:rsidRPr="00707E93">
        <w:rPr>
          <w:b/>
          <w:sz w:val="28"/>
          <w:szCs w:val="28"/>
          <w:lang w:val="en-US"/>
        </w:rPr>
        <w:t>correlates</w:t>
      </w:r>
    </w:p>
    <w:p w:rsidR="00707E93" w:rsidRPr="00707E93" w:rsidRDefault="00707E93" w:rsidP="00707E93">
      <w:pPr>
        <w:spacing w:line="360" w:lineRule="auto"/>
        <w:jc w:val="center"/>
        <w:rPr>
          <w:b/>
          <w:sz w:val="28"/>
          <w:szCs w:val="28"/>
          <w:lang w:val="en-US"/>
        </w:rPr>
      </w:pPr>
    </w:p>
    <w:p w:rsidR="00707E93" w:rsidRPr="006161F8" w:rsidRDefault="00707E93" w:rsidP="00707E93">
      <w:pPr>
        <w:spacing w:line="360" w:lineRule="auto"/>
        <w:jc w:val="both"/>
        <w:rPr>
          <w:sz w:val="22"/>
          <w:szCs w:val="22"/>
        </w:rPr>
      </w:pPr>
      <w:r w:rsidRPr="006161F8">
        <w:rPr>
          <w:sz w:val="22"/>
          <w:szCs w:val="22"/>
          <w:lang w:val="en-US"/>
        </w:rPr>
        <w:t>M. Cerina</w:t>
      </w:r>
      <w:r w:rsidRPr="006161F8">
        <w:rPr>
          <w:sz w:val="22"/>
          <w:szCs w:val="22"/>
          <w:vertAlign w:val="superscript"/>
          <w:lang w:val="en-US"/>
        </w:rPr>
        <w:t>1</w:t>
      </w:r>
      <w:r w:rsidRPr="006161F8">
        <w:rPr>
          <w:sz w:val="22"/>
          <w:szCs w:val="22"/>
          <w:lang w:val="en-US"/>
        </w:rPr>
        <w:t>*, M. Muthuraman</w:t>
      </w:r>
      <w:r w:rsidRPr="006161F8">
        <w:rPr>
          <w:sz w:val="22"/>
          <w:szCs w:val="22"/>
          <w:vertAlign w:val="superscript"/>
          <w:lang w:val="en-US"/>
        </w:rPr>
        <w:t>2</w:t>
      </w:r>
      <w:r w:rsidRPr="006161F8">
        <w:rPr>
          <w:sz w:val="22"/>
          <w:szCs w:val="22"/>
          <w:lang w:val="en-US"/>
        </w:rPr>
        <w:t>*, M. Gallus</w:t>
      </w:r>
      <w:r w:rsidRPr="006161F8">
        <w:rPr>
          <w:sz w:val="22"/>
          <w:szCs w:val="22"/>
          <w:vertAlign w:val="superscript"/>
          <w:lang w:val="en-US"/>
        </w:rPr>
        <w:t>1</w:t>
      </w:r>
      <w:r w:rsidRPr="006161F8">
        <w:rPr>
          <w:sz w:val="22"/>
          <w:szCs w:val="22"/>
          <w:lang w:val="en-US"/>
        </w:rPr>
        <w:t>*, N. Koirala</w:t>
      </w:r>
      <w:r w:rsidRPr="006161F8">
        <w:rPr>
          <w:sz w:val="22"/>
          <w:szCs w:val="22"/>
          <w:vertAlign w:val="superscript"/>
          <w:lang w:val="en-US"/>
        </w:rPr>
        <w:t>2</w:t>
      </w:r>
      <w:r w:rsidRPr="006161F8">
        <w:rPr>
          <w:sz w:val="22"/>
          <w:szCs w:val="22"/>
          <w:lang w:val="en-US"/>
        </w:rPr>
        <w:t>, A. Dik</w:t>
      </w:r>
      <w:r w:rsidRPr="006161F8">
        <w:rPr>
          <w:sz w:val="22"/>
          <w:szCs w:val="22"/>
          <w:vertAlign w:val="superscript"/>
          <w:lang w:val="en-US"/>
        </w:rPr>
        <w:t>1</w:t>
      </w:r>
      <w:r w:rsidRPr="006161F8">
        <w:rPr>
          <w:sz w:val="22"/>
          <w:szCs w:val="22"/>
          <w:lang w:val="en-US"/>
        </w:rPr>
        <w:t>, L. Wachsmuth</w:t>
      </w:r>
      <w:r w:rsidRPr="006161F8">
        <w:rPr>
          <w:sz w:val="22"/>
          <w:szCs w:val="22"/>
          <w:vertAlign w:val="superscript"/>
          <w:lang w:val="en-US"/>
        </w:rPr>
        <w:t>3</w:t>
      </w:r>
      <w:r w:rsidRPr="006161F8">
        <w:rPr>
          <w:sz w:val="22"/>
          <w:szCs w:val="22"/>
          <w:lang w:val="en-US"/>
        </w:rPr>
        <w:t>, P. Hundehege</w:t>
      </w:r>
      <w:r w:rsidRPr="006161F8">
        <w:rPr>
          <w:sz w:val="22"/>
          <w:szCs w:val="22"/>
          <w:vertAlign w:val="superscript"/>
          <w:lang w:val="en-US"/>
        </w:rPr>
        <w:t>1</w:t>
      </w:r>
      <w:r w:rsidRPr="006161F8">
        <w:rPr>
          <w:sz w:val="22"/>
          <w:szCs w:val="22"/>
          <w:lang w:val="en-US"/>
        </w:rPr>
        <w:t>, P. Schiffler</w:t>
      </w:r>
      <w:r w:rsidRPr="006161F8">
        <w:rPr>
          <w:sz w:val="22"/>
          <w:szCs w:val="22"/>
          <w:vertAlign w:val="superscript"/>
          <w:lang w:val="en-US"/>
        </w:rPr>
        <w:t>1</w:t>
      </w:r>
      <w:r w:rsidRPr="006161F8">
        <w:rPr>
          <w:sz w:val="22"/>
          <w:szCs w:val="22"/>
          <w:lang w:val="en-US"/>
        </w:rPr>
        <w:t>, J.-G. Tenberge</w:t>
      </w:r>
      <w:r w:rsidRPr="006161F8">
        <w:rPr>
          <w:sz w:val="22"/>
          <w:szCs w:val="22"/>
          <w:vertAlign w:val="superscript"/>
          <w:lang w:val="en-US"/>
        </w:rPr>
        <w:t>1</w:t>
      </w:r>
      <w:r w:rsidRPr="006161F8">
        <w:rPr>
          <w:sz w:val="22"/>
          <w:szCs w:val="22"/>
          <w:lang w:val="en-US"/>
        </w:rPr>
        <w:t>, V. Fleischer</w:t>
      </w:r>
      <w:r w:rsidRPr="006161F8">
        <w:rPr>
          <w:sz w:val="22"/>
          <w:szCs w:val="22"/>
          <w:vertAlign w:val="superscript"/>
          <w:lang w:val="en-US"/>
        </w:rPr>
        <w:t>2</w:t>
      </w:r>
      <w:r w:rsidRPr="006161F8">
        <w:rPr>
          <w:sz w:val="22"/>
          <w:szCs w:val="22"/>
          <w:lang w:val="en-US"/>
        </w:rPr>
        <w:t>, G. Gonzalez-Escamilla</w:t>
      </w:r>
      <w:r w:rsidRPr="006161F8">
        <w:rPr>
          <w:sz w:val="22"/>
          <w:szCs w:val="22"/>
          <w:vertAlign w:val="superscript"/>
          <w:lang w:val="en-US"/>
        </w:rPr>
        <w:t>2</w:t>
      </w:r>
      <w:r w:rsidRPr="006161F8">
        <w:rPr>
          <w:sz w:val="22"/>
          <w:szCs w:val="22"/>
          <w:lang w:val="en-US"/>
        </w:rPr>
        <w:t>, V. Narayanan</w:t>
      </w:r>
      <w:r w:rsidRPr="006161F8">
        <w:rPr>
          <w:sz w:val="22"/>
          <w:szCs w:val="22"/>
          <w:vertAlign w:val="superscript"/>
          <w:lang w:val="en-US"/>
        </w:rPr>
        <w:t>1</w:t>
      </w:r>
      <w:r w:rsidRPr="006161F8">
        <w:rPr>
          <w:sz w:val="22"/>
          <w:szCs w:val="22"/>
          <w:lang w:val="en-US"/>
        </w:rPr>
        <w:t xml:space="preserve">, J.                                                                                                                      </w:t>
      </w:r>
      <w:r w:rsidRPr="006161F8">
        <w:rPr>
          <w:sz w:val="22"/>
          <w:szCs w:val="22"/>
        </w:rPr>
        <w:t>Krämer</w:t>
      </w:r>
      <w:r w:rsidRPr="006161F8">
        <w:rPr>
          <w:sz w:val="22"/>
          <w:szCs w:val="22"/>
          <w:vertAlign w:val="superscript"/>
        </w:rPr>
        <w:t>1</w:t>
      </w:r>
      <w:r w:rsidRPr="006161F8">
        <w:rPr>
          <w:sz w:val="22"/>
          <w:szCs w:val="22"/>
        </w:rPr>
        <w:t>, C. Faber</w:t>
      </w:r>
      <w:r w:rsidRPr="006161F8">
        <w:rPr>
          <w:sz w:val="22"/>
          <w:szCs w:val="22"/>
          <w:vertAlign w:val="superscript"/>
        </w:rPr>
        <w:t>3</w:t>
      </w:r>
      <w:r w:rsidRPr="006161F8">
        <w:rPr>
          <w:sz w:val="22"/>
          <w:szCs w:val="22"/>
        </w:rPr>
        <w:t>, T. Budde</w:t>
      </w:r>
      <w:r w:rsidRPr="006161F8">
        <w:rPr>
          <w:sz w:val="22"/>
          <w:szCs w:val="22"/>
          <w:vertAlign w:val="superscript"/>
        </w:rPr>
        <w:t>4</w:t>
      </w:r>
      <w:r w:rsidRPr="006161F8">
        <w:rPr>
          <w:sz w:val="22"/>
          <w:szCs w:val="22"/>
        </w:rPr>
        <w:t>, S. Groppa</w:t>
      </w:r>
      <w:r w:rsidRPr="006161F8">
        <w:rPr>
          <w:sz w:val="22"/>
          <w:szCs w:val="22"/>
          <w:vertAlign w:val="superscript"/>
        </w:rPr>
        <w:t>2</w:t>
      </w:r>
      <w:r w:rsidRPr="006161F8">
        <w:rPr>
          <w:sz w:val="22"/>
          <w:szCs w:val="22"/>
        </w:rPr>
        <w:t>*, S.G. Meuth</w:t>
      </w:r>
      <w:r w:rsidRPr="006161F8">
        <w:rPr>
          <w:sz w:val="22"/>
          <w:szCs w:val="22"/>
          <w:vertAlign w:val="superscript"/>
        </w:rPr>
        <w:t>1</w:t>
      </w:r>
      <w:r w:rsidRPr="006161F8">
        <w:rPr>
          <w:sz w:val="22"/>
          <w:szCs w:val="22"/>
        </w:rPr>
        <w:t>*</w:t>
      </w:r>
    </w:p>
    <w:p w:rsidR="00707E93" w:rsidRPr="006161F8" w:rsidRDefault="00707E93" w:rsidP="00707E93">
      <w:pPr>
        <w:spacing w:line="360" w:lineRule="auto"/>
        <w:jc w:val="both"/>
        <w:rPr>
          <w:sz w:val="22"/>
          <w:szCs w:val="22"/>
        </w:rPr>
      </w:pPr>
    </w:p>
    <w:p w:rsidR="00707E93" w:rsidRPr="00707E93" w:rsidRDefault="00707E93" w:rsidP="00707E93">
      <w:pPr>
        <w:spacing w:line="360" w:lineRule="auto"/>
        <w:jc w:val="both"/>
        <w:rPr>
          <w:sz w:val="22"/>
          <w:szCs w:val="22"/>
          <w:lang w:val="en-US"/>
        </w:rPr>
      </w:pPr>
      <w:r w:rsidRPr="00707E93">
        <w:rPr>
          <w:sz w:val="22"/>
          <w:szCs w:val="22"/>
          <w:vertAlign w:val="superscript"/>
          <w:lang w:val="en-US"/>
        </w:rPr>
        <w:t>1</w:t>
      </w:r>
      <w:r w:rsidRPr="00707E93">
        <w:rPr>
          <w:sz w:val="22"/>
          <w:szCs w:val="22"/>
          <w:lang w:val="en-US"/>
        </w:rPr>
        <w:t>Department of Neurology with Institute of Translational Neurology, University of Münster</w:t>
      </w:r>
    </w:p>
    <w:p w:rsidR="00707E93" w:rsidRPr="00707E93" w:rsidRDefault="00707E93" w:rsidP="00707E93">
      <w:pPr>
        <w:spacing w:line="360" w:lineRule="auto"/>
        <w:jc w:val="both"/>
        <w:rPr>
          <w:sz w:val="22"/>
          <w:szCs w:val="22"/>
          <w:lang w:val="en-US"/>
        </w:rPr>
      </w:pPr>
      <w:r w:rsidRPr="00707E93">
        <w:rPr>
          <w:sz w:val="22"/>
          <w:szCs w:val="22"/>
          <w:vertAlign w:val="superscript"/>
          <w:lang w:val="en-US"/>
        </w:rPr>
        <w:t>2</w:t>
      </w:r>
      <w:r w:rsidRPr="00707E93">
        <w:rPr>
          <w:sz w:val="22"/>
          <w:szCs w:val="22"/>
          <w:lang w:val="en-US"/>
        </w:rPr>
        <w:t>Movement Disorders, Imaging and Neurostimulation, Biomedical Statistics and Multimodal Signal Processing Unit, Department of Neurology, University Medical Center of the Johannes Gutenberg University, Mainz, Germany</w:t>
      </w:r>
    </w:p>
    <w:p w:rsidR="00707E93" w:rsidRPr="00707E93" w:rsidRDefault="00707E93" w:rsidP="00707E93">
      <w:pPr>
        <w:spacing w:line="360" w:lineRule="auto"/>
        <w:jc w:val="both"/>
        <w:rPr>
          <w:sz w:val="22"/>
          <w:szCs w:val="22"/>
          <w:lang w:val="en-US"/>
        </w:rPr>
      </w:pPr>
      <w:r w:rsidRPr="00707E93">
        <w:rPr>
          <w:sz w:val="22"/>
          <w:szCs w:val="22"/>
          <w:vertAlign w:val="superscript"/>
          <w:lang w:val="en-US"/>
        </w:rPr>
        <w:t>3</w:t>
      </w:r>
      <w:r w:rsidRPr="00707E93">
        <w:rPr>
          <w:sz w:val="22"/>
          <w:szCs w:val="22"/>
          <w:lang w:val="en-US"/>
        </w:rPr>
        <w:t>Department of Radiology, University of Münster</w:t>
      </w:r>
    </w:p>
    <w:p w:rsidR="00707E93" w:rsidRPr="00707E93" w:rsidRDefault="00707E93" w:rsidP="00707E93">
      <w:pPr>
        <w:spacing w:line="360" w:lineRule="auto"/>
        <w:jc w:val="both"/>
        <w:rPr>
          <w:sz w:val="22"/>
          <w:szCs w:val="22"/>
          <w:lang w:val="en-US"/>
        </w:rPr>
      </w:pPr>
      <w:r w:rsidRPr="00707E93">
        <w:rPr>
          <w:sz w:val="22"/>
          <w:szCs w:val="22"/>
          <w:vertAlign w:val="superscript"/>
          <w:lang w:val="en-US"/>
        </w:rPr>
        <w:t>4</w:t>
      </w:r>
      <w:r w:rsidRPr="00707E93">
        <w:rPr>
          <w:sz w:val="22"/>
          <w:szCs w:val="22"/>
          <w:lang w:val="en-US"/>
        </w:rPr>
        <w:t>Institute of Physiology I, University of Münster</w:t>
      </w:r>
    </w:p>
    <w:p w:rsidR="00707E93" w:rsidRPr="00707E93" w:rsidRDefault="00707E93" w:rsidP="00707E93">
      <w:pPr>
        <w:spacing w:line="360" w:lineRule="auto"/>
        <w:jc w:val="both"/>
        <w:rPr>
          <w:sz w:val="22"/>
          <w:szCs w:val="22"/>
          <w:lang w:val="en-US"/>
        </w:rPr>
      </w:pPr>
    </w:p>
    <w:p w:rsidR="00707E93" w:rsidRPr="00707E93" w:rsidRDefault="00707E93" w:rsidP="00707E93">
      <w:pPr>
        <w:spacing w:line="360" w:lineRule="auto"/>
        <w:jc w:val="both"/>
        <w:rPr>
          <w:sz w:val="22"/>
          <w:szCs w:val="22"/>
          <w:lang w:val="en-US"/>
        </w:rPr>
      </w:pPr>
    </w:p>
    <w:p w:rsidR="00707E93" w:rsidRPr="00707E93" w:rsidRDefault="00707E93" w:rsidP="00707E93">
      <w:pPr>
        <w:spacing w:line="360" w:lineRule="auto"/>
        <w:jc w:val="both"/>
        <w:rPr>
          <w:sz w:val="22"/>
          <w:szCs w:val="22"/>
          <w:lang w:val="en-US"/>
        </w:rPr>
      </w:pPr>
      <w:r w:rsidRPr="00707E93">
        <w:rPr>
          <w:sz w:val="22"/>
          <w:szCs w:val="22"/>
          <w:lang w:val="en-US"/>
        </w:rPr>
        <w:t>*Equal contribution of the first authors (MC, MM and MG) and of the last authors (SG and SGM)</w:t>
      </w:r>
    </w:p>
    <w:p w:rsidR="00EA5B13" w:rsidRPr="003118EE" w:rsidRDefault="00EA5B13">
      <w:pPr>
        <w:rPr>
          <w:lang w:val="en-US"/>
        </w:rPr>
      </w:pPr>
    </w:p>
    <w:p w:rsidR="00F40359" w:rsidRPr="003118EE" w:rsidRDefault="00F40359">
      <w:pPr>
        <w:rPr>
          <w:b/>
          <w:sz w:val="24"/>
          <w:szCs w:val="24"/>
          <w:lang w:val="en-US"/>
        </w:rPr>
      </w:pPr>
    </w:p>
    <w:p w:rsidR="00F40359" w:rsidRPr="003118EE" w:rsidRDefault="00F40359" w:rsidP="00F40359">
      <w:pPr>
        <w:spacing w:line="360" w:lineRule="auto"/>
        <w:rPr>
          <w:b/>
          <w:sz w:val="24"/>
          <w:szCs w:val="24"/>
          <w:lang w:val="en-US"/>
        </w:rPr>
      </w:pPr>
      <w:r w:rsidRPr="003118EE">
        <w:rPr>
          <w:b/>
          <w:sz w:val="24"/>
          <w:szCs w:val="24"/>
          <w:lang w:val="en-US"/>
        </w:rPr>
        <w:t>Supplementary Material</w:t>
      </w:r>
    </w:p>
    <w:p w:rsidR="00F40359" w:rsidRPr="003118EE" w:rsidRDefault="00F40359" w:rsidP="00F40359">
      <w:pPr>
        <w:spacing w:line="360" w:lineRule="auto"/>
        <w:rPr>
          <w:b/>
          <w:sz w:val="24"/>
          <w:szCs w:val="24"/>
          <w:lang w:val="en-US"/>
        </w:rPr>
      </w:pPr>
    </w:p>
    <w:p w:rsidR="00D173CE" w:rsidRPr="00B62026" w:rsidRDefault="00D173CE" w:rsidP="00D173CE">
      <w:pPr>
        <w:spacing w:line="360" w:lineRule="auto"/>
        <w:jc w:val="both"/>
        <w:rPr>
          <w:sz w:val="24"/>
          <w:szCs w:val="24"/>
          <w:lang w:val="en-US"/>
        </w:rPr>
      </w:pPr>
      <w:r w:rsidRPr="00B62026">
        <w:rPr>
          <w:b/>
          <w:sz w:val="24"/>
          <w:szCs w:val="24"/>
          <w:lang w:val="en-US"/>
        </w:rPr>
        <w:t>Suppl. Figure 1. Representation of technical and biological replicates for histological evaluation of PLP intensity, astrocytosis and microglial activation in the CC</w:t>
      </w:r>
      <w:r w:rsidRPr="00B62026">
        <w:rPr>
          <w:sz w:val="24"/>
          <w:szCs w:val="24"/>
          <w:lang w:val="en-US"/>
        </w:rPr>
        <w:t>. (a) Scatter plots and graphs show the variability of the data acquired and used for histological evaluation on myelin intensity by using the specific marker PLP in the corpus callosum (upper panel).  (b) Scatter plots and graphs show the variability of the data acquired and used for histological evaluation of the number of astrocytes by using the specific marker GFAP in the corpus callosum (mid panel). (c) Scatter plots and graphs show the variability of the data acquired and used for histological evaluation of the number of activated microglial cells by using the specific marker Iba1 in the corpus callosum (lower panel). Simplified bar graphs are shown in the main figures.</w:t>
      </w:r>
    </w:p>
    <w:p w:rsidR="00D173CE" w:rsidRPr="00B62026" w:rsidRDefault="00D173CE" w:rsidP="00D173CE">
      <w:pPr>
        <w:spacing w:line="360" w:lineRule="auto"/>
        <w:jc w:val="both"/>
        <w:rPr>
          <w:sz w:val="24"/>
          <w:szCs w:val="24"/>
          <w:lang w:val="en-US"/>
        </w:rPr>
      </w:pPr>
    </w:p>
    <w:p w:rsidR="00C64ADD" w:rsidRDefault="00D173CE" w:rsidP="00C64ADD">
      <w:pPr>
        <w:spacing w:line="360" w:lineRule="auto"/>
        <w:jc w:val="both"/>
        <w:rPr>
          <w:sz w:val="24"/>
          <w:szCs w:val="24"/>
          <w:lang w:val="en-US"/>
        </w:rPr>
      </w:pPr>
      <w:r w:rsidRPr="00B62026">
        <w:rPr>
          <w:b/>
          <w:sz w:val="24"/>
          <w:szCs w:val="24"/>
          <w:lang w:val="en-US"/>
        </w:rPr>
        <w:t>Suppl. Figure 2</w:t>
      </w:r>
      <w:r w:rsidR="00C64ADD" w:rsidRPr="00B62026">
        <w:rPr>
          <w:b/>
          <w:sz w:val="24"/>
          <w:szCs w:val="24"/>
          <w:lang w:val="en-US"/>
        </w:rPr>
        <w:t>. The effect of cuprizone</w:t>
      </w:r>
      <w:r w:rsidR="0037503A" w:rsidRPr="00B62026">
        <w:rPr>
          <w:b/>
          <w:sz w:val="24"/>
          <w:szCs w:val="24"/>
          <w:lang w:val="en-US"/>
        </w:rPr>
        <w:t xml:space="preserve"> administration and withdrawal</w:t>
      </w:r>
      <w:r w:rsidR="00C64ADD" w:rsidRPr="00B62026">
        <w:rPr>
          <w:b/>
          <w:sz w:val="24"/>
          <w:szCs w:val="24"/>
          <w:lang w:val="en-US"/>
        </w:rPr>
        <w:t xml:space="preserve"> on the total number of microglial cells. </w:t>
      </w:r>
      <w:r w:rsidR="00C64ADD" w:rsidRPr="00B62026">
        <w:rPr>
          <w:sz w:val="24"/>
          <w:szCs w:val="24"/>
          <w:lang w:val="en-US"/>
        </w:rPr>
        <w:t xml:space="preserve">The </w:t>
      </w:r>
      <w:r w:rsidR="00A27857" w:rsidRPr="00B62026">
        <w:rPr>
          <w:sz w:val="24"/>
          <w:szCs w:val="24"/>
          <w:lang w:val="en-US"/>
        </w:rPr>
        <w:t xml:space="preserve">total </w:t>
      </w:r>
      <w:r w:rsidR="00C64ADD" w:rsidRPr="00B62026">
        <w:rPr>
          <w:sz w:val="24"/>
          <w:szCs w:val="24"/>
          <w:lang w:val="en-US"/>
        </w:rPr>
        <w:t xml:space="preserve">number of microglial cells positive for the specific </w:t>
      </w:r>
      <w:r w:rsidR="00C64ADD" w:rsidRPr="00B62026">
        <w:rPr>
          <w:sz w:val="24"/>
          <w:szCs w:val="24"/>
          <w:lang w:val="en-US"/>
        </w:rPr>
        <w:lastRenderedPageBreak/>
        <w:t xml:space="preserve">marker Iba1 is not affected by cuprizone diet or withdrawal </w:t>
      </w:r>
      <w:r w:rsidR="007B0B4E" w:rsidRPr="00B62026">
        <w:rPr>
          <w:sz w:val="24"/>
          <w:szCs w:val="24"/>
          <w:lang w:val="en-US"/>
        </w:rPr>
        <w:t>of cuprizone</w:t>
      </w:r>
      <w:r w:rsidR="00F248BD">
        <w:rPr>
          <w:sz w:val="24"/>
          <w:szCs w:val="24"/>
          <w:lang w:val="en-US"/>
        </w:rPr>
        <w:t xml:space="preserve"> –</w:t>
      </w:r>
      <w:r w:rsidR="00A27857">
        <w:rPr>
          <w:sz w:val="24"/>
          <w:szCs w:val="24"/>
          <w:lang w:val="en-US"/>
        </w:rPr>
        <w:t xml:space="preserve"> </w:t>
      </w:r>
      <w:r w:rsidR="00F248BD">
        <w:rPr>
          <w:sz w:val="24"/>
          <w:szCs w:val="24"/>
          <w:lang w:val="en-US"/>
        </w:rPr>
        <w:t>no</w:t>
      </w:r>
      <w:r w:rsidR="007B0B4E" w:rsidRPr="003118EE">
        <w:rPr>
          <w:sz w:val="24"/>
          <w:szCs w:val="24"/>
          <w:lang w:val="en-US"/>
        </w:rPr>
        <w:t xml:space="preserve"> infiltrating </w:t>
      </w:r>
      <w:r w:rsidR="00A27857">
        <w:rPr>
          <w:sz w:val="24"/>
          <w:szCs w:val="24"/>
          <w:lang w:val="en-US"/>
        </w:rPr>
        <w:t xml:space="preserve">microglial </w:t>
      </w:r>
      <w:r w:rsidR="007B0B4E" w:rsidRPr="003118EE">
        <w:rPr>
          <w:sz w:val="24"/>
          <w:szCs w:val="24"/>
          <w:lang w:val="en-US"/>
        </w:rPr>
        <w:t xml:space="preserve">cells </w:t>
      </w:r>
      <w:r w:rsidR="00A27857">
        <w:rPr>
          <w:sz w:val="24"/>
          <w:szCs w:val="24"/>
          <w:lang w:val="en-US"/>
        </w:rPr>
        <w:t>are</w:t>
      </w:r>
      <w:r w:rsidR="007B0B4E" w:rsidRPr="003118EE">
        <w:rPr>
          <w:sz w:val="24"/>
          <w:szCs w:val="24"/>
          <w:lang w:val="en-US"/>
        </w:rPr>
        <w:t xml:space="preserve"> observed in this model.</w:t>
      </w:r>
    </w:p>
    <w:p w:rsidR="00D173CE" w:rsidRDefault="00D173CE" w:rsidP="00C64ADD">
      <w:pPr>
        <w:spacing w:line="360" w:lineRule="auto"/>
        <w:jc w:val="both"/>
        <w:rPr>
          <w:sz w:val="24"/>
          <w:szCs w:val="24"/>
          <w:lang w:val="en-US"/>
        </w:rPr>
      </w:pPr>
    </w:p>
    <w:p w:rsidR="00D173CE" w:rsidRPr="00B62026" w:rsidRDefault="00D173CE" w:rsidP="00D173CE">
      <w:pPr>
        <w:spacing w:line="360" w:lineRule="auto"/>
        <w:jc w:val="both"/>
        <w:rPr>
          <w:sz w:val="24"/>
          <w:szCs w:val="24"/>
          <w:lang w:val="en-US"/>
        </w:rPr>
      </w:pPr>
      <w:r w:rsidRPr="00B62026">
        <w:rPr>
          <w:b/>
          <w:sz w:val="24"/>
          <w:szCs w:val="24"/>
          <w:lang w:val="en-US"/>
        </w:rPr>
        <w:t>Suppl. Figure 3. Representation of technical and biological replicates for histological evaluation of PLP intensity, astrocytosis and microglial activation in the Cx</w:t>
      </w:r>
      <w:r w:rsidRPr="00B62026">
        <w:rPr>
          <w:sz w:val="24"/>
          <w:szCs w:val="24"/>
          <w:lang w:val="en-US"/>
        </w:rPr>
        <w:t>. (a) Scatter plots and graphs show the variability of the data acquired and used for histological evaluation on myelin intensity by using the specific marker PLP in the cortex (upper panel).  (b) Scatter plots and graphs show the variability of the data acquired and used for histological evaluation of the number of astrocytes by using the specific marker GFAP in the cortex (mid panel). (c) Scatter plots and graphs show the variability of the data acquired and used for histological evaluation of the number of activated microglial cells by using the specific marker Iba1 in the cortex (lower panel). Simplified bar graphs are shown in the main figures.</w:t>
      </w:r>
    </w:p>
    <w:p w:rsidR="006161F8" w:rsidRDefault="006161F8" w:rsidP="00D173CE">
      <w:pPr>
        <w:spacing w:line="360" w:lineRule="auto"/>
        <w:jc w:val="both"/>
        <w:rPr>
          <w:sz w:val="24"/>
          <w:szCs w:val="24"/>
          <w:highlight w:val="yellow"/>
          <w:lang w:val="en-US"/>
        </w:rPr>
      </w:pPr>
    </w:p>
    <w:p w:rsidR="00F40359" w:rsidRDefault="007B0B4E" w:rsidP="00660EEA">
      <w:pPr>
        <w:spacing w:line="360" w:lineRule="auto"/>
        <w:jc w:val="both"/>
        <w:rPr>
          <w:sz w:val="24"/>
          <w:szCs w:val="24"/>
          <w:lang w:val="en-US"/>
        </w:rPr>
      </w:pPr>
      <w:r w:rsidRPr="003118EE">
        <w:rPr>
          <w:b/>
          <w:sz w:val="24"/>
          <w:szCs w:val="24"/>
          <w:lang w:val="en-US"/>
        </w:rPr>
        <w:t xml:space="preserve">Suppl. </w:t>
      </w:r>
      <w:r w:rsidRPr="00B62026">
        <w:rPr>
          <w:b/>
          <w:sz w:val="24"/>
          <w:szCs w:val="24"/>
          <w:lang w:val="en-US"/>
        </w:rPr>
        <w:t xml:space="preserve">Figure </w:t>
      </w:r>
      <w:r w:rsidR="00D173CE" w:rsidRPr="00B62026">
        <w:rPr>
          <w:b/>
          <w:sz w:val="24"/>
          <w:szCs w:val="24"/>
          <w:lang w:val="en-US"/>
        </w:rPr>
        <w:t>4</w:t>
      </w:r>
      <w:r w:rsidRPr="00B62026">
        <w:rPr>
          <w:b/>
          <w:sz w:val="24"/>
          <w:szCs w:val="24"/>
          <w:lang w:val="en-US"/>
        </w:rPr>
        <w:t xml:space="preserve">. </w:t>
      </w:r>
      <w:r w:rsidR="00F40359" w:rsidRPr="00B62026">
        <w:rPr>
          <w:b/>
          <w:sz w:val="24"/>
          <w:szCs w:val="24"/>
          <w:lang w:val="en-US"/>
        </w:rPr>
        <w:t>Structural</w:t>
      </w:r>
      <w:r w:rsidR="00F40359" w:rsidRPr="003118EE">
        <w:rPr>
          <w:b/>
          <w:sz w:val="24"/>
          <w:szCs w:val="24"/>
          <w:lang w:val="en-US"/>
        </w:rPr>
        <w:t xml:space="preserve"> and anatomical thalamic grey matter changes during de- and remyelin</w:t>
      </w:r>
      <w:r w:rsidR="008C1CE3" w:rsidRPr="003118EE">
        <w:rPr>
          <w:b/>
          <w:sz w:val="24"/>
          <w:szCs w:val="24"/>
          <w:lang w:val="en-US"/>
        </w:rPr>
        <w:t>ation in the cuprizone model. (a)</w:t>
      </w:r>
      <w:r w:rsidR="00F40359" w:rsidRPr="003118EE">
        <w:rPr>
          <w:b/>
          <w:sz w:val="24"/>
          <w:szCs w:val="24"/>
          <w:lang w:val="en-US"/>
        </w:rPr>
        <w:t xml:space="preserve"> </w:t>
      </w:r>
      <w:r w:rsidR="00F40359" w:rsidRPr="003118EE">
        <w:rPr>
          <w:sz w:val="24"/>
          <w:szCs w:val="24"/>
          <w:lang w:val="en-US"/>
        </w:rPr>
        <w:t xml:space="preserve">Exemplary pictures </w:t>
      </w:r>
      <w:r w:rsidR="00F248BD">
        <w:rPr>
          <w:sz w:val="24"/>
          <w:szCs w:val="24"/>
          <w:lang w:val="en-US"/>
        </w:rPr>
        <w:t>show</w:t>
      </w:r>
      <w:r w:rsidR="00F40359" w:rsidRPr="003118EE">
        <w:rPr>
          <w:sz w:val="24"/>
          <w:szCs w:val="24"/>
          <w:lang w:val="en-US"/>
        </w:rPr>
        <w:t xml:space="preserve"> </w:t>
      </w:r>
      <w:r w:rsidR="00296667" w:rsidRPr="003118EE">
        <w:rPr>
          <w:sz w:val="24"/>
          <w:szCs w:val="24"/>
          <w:lang w:val="en-US"/>
        </w:rPr>
        <w:t>staining</w:t>
      </w:r>
      <w:r w:rsidR="00F40359" w:rsidRPr="003118EE">
        <w:rPr>
          <w:sz w:val="24"/>
          <w:szCs w:val="24"/>
          <w:lang w:val="en-US"/>
        </w:rPr>
        <w:t xml:space="preserve"> </w:t>
      </w:r>
      <w:r w:rsidR="0037503A" w:rsidRPr="003118EE">
        <w:rPr>
          <w:sz w:val="24"/>
          <w:szCs w:val="24"/>
          <w:lang w:val="en-US"/>
        </w:rPr>
        <w:t>for the specific myelin marker PLP in</w:t>
      </w:r>
      <w:r w:rsidR="00F40359" w:rsidRPr="003118EE">
        <w:rPr>
          <w:sz w:val="24"/>
          <w:szCs w:val="24"/>
          <w:lang w:val="en-US"/>
        </w:rPr>
        <w:t xml:space="preserve"> coronal mouse slices containing the ventrobasal complex of the thalamus</w:t>
      </w:r>
      <w:r w:rsidR="00F548B1" w:rsidRPr="003118EE">
        <w:rPr>
          <w:sz w:val="24"/>
          <w:szCs w:val="24"/>
          <w:lang w:val="en-US"/>
        </w:rPr>
        <w:t xml:space="preserve"> (VB)</w:t>
      </w:r>
      <w:r w:rsidR="00F40359" w:rsidRPr="003118EE">
        <w:rPr>
          <w:sz w:val="24"/>
          <w:szCs w:val="24"/>
          <w:lang w:val="en-US"/>
        </w:rPr>
        <w:t xml:space="preserve"> in control conditions (left), at 6 weeks after </w:t>
      </w:r>
      <w:r w:rsidR="00296667">
        <w:rPr>
          <w:sz w:val="24"/>
          <w:szCs w:val="24"/>
          <w:lang w:val="en-US"/>
        </w:rPr>
        <w:t>starting the</w:t>
      </w:r>
      <w:r w:rsidR="00F40359" w:rsidRPr="003118EE">
        <w:rPr>
          <w:sz w:val="24"/>
          <w:szCs w:val="24"/>
          <w:lang w:val="en-US"/>
        </w:rPr>
        <w:t xml:space="preserve"> cuprizone diet (cupri 6 weeks – full demyelination, middle)</w:t>
      </w:r>
      <w:r w:rsidR="00296667">
        <w:rPr>
          <w:sz w:val="24"/>
          <w:szCs w:val="24"/>
          <w:lang w:val="en-US"/>
        </w:rPr>
        <w:t>,</w:t>
      </w:r>
      <w:r w:rsidR="00F40359" w:rsidRPr="003118EE">
        <w:rPr>
          <w:sz w:val="24"/>
          <w:szCs w:val="24"/>
          <w:lang w:val="en-US"/>
        </w:rPr>
        <w:t xml:space="preserve"> and at full remyelination 6 weeks after reintroduction of normal food (right). Note the decreased signal for PLP indicating demyelination in the cupri 6 weeks group in comparison to control</w:t>
      </w:r>
      <w:r w:rsidR="000B0F96">
        <w:rPr>
          <w:sz w:val="24"/>
          <w:szCs w:val="24"/>
          <w:lang w:val="en-US"/>
        </w:rPr>
        <w:t>,</w:t>
      </w:r>
      <w:r w:rsidR="00F40359" w:rsidRPr="003118EE">
        <w:rPr>
          <w:sz w:val="24"/>
          <w:szCs w:val="24"/>
          <w:lang w:val="en-US"/>
        </w:rPr>
        <w:t xml:space="preserve"> and a persistent </w:t>
      </w:r>
      <w:r w:rsidR="00E2214B">
        <w:rPr>
          <w:sz w:val="24"/>
          <w:szCs w:val="24"/>
          <w:lang w:val="en-US"/>
        </w:rPr>
        <w:t xml:space="preserve">low </w:t>
      </w:r>
      <w:r w:rsidR="00F40359" w:rsidRPr="003118EE">
        <w:rPr>
          <w:sz w:val="24"/>
          <w:szCs w:val="24"/>
          <w:lang w:val="en-US"/>
        </w:rPr>
        <w:t xml:space="preserve">PLP signal during remyelination. On the right, bar graphs </w:t>
      </w:r>
      <w:r w:rsidR="00E2214B">
        <w:rPr>
          <w:sz w:val="24"/>
          <w:szCs w:val="24"/>
          <w:lang w:val="en-US"/>
        </w:rPr>
        <w:t>show</w:t>
      </w:r>
      <w:r w:rsidR="00E2214B" w:rsidRPr="003118EE">
        <w:rPr>
          <w:sz w:val="24"/>
          <w:szCs w:val="24"/>
          <w:lang w:val="en-US"/>
        </w:rPr>
        <w:t xml:space="preserve"> </w:t>
      </w:r>
      <w:r w:rsidR="00F40359" w:rsidRPr="003118EE">
        <w:rPr>
          <w:sz w:val="24"/>
          <w:szCs w:val="24"/>
          <w:lang w:val="en-US"/>
        </w:rPr>
        <w:t xml:space="preserve">the quantification of myelin loss and regain </w:t>
      </w:r>
      <w:r w:rsidR="00E2214B">
        <w:rPr>
          <w:sz w:val="24"/>
          <w:szCs w:val="24"/>
          <w:lang w:val="en-US"/>
        </w:rPr>
        <w:t>for</w:t>
      </w:r>
      <w:r w:rsidR="00E2214B" w:rsidRPr="003118EE">
        <w:rPr>
          <w:sz w:val="24"/>
          <w:szCs w:val="24"/>
          <w:lang w:val="en-US"/>
        </w:rPr>
        <w:t xml:space="preserve"> </w:t>
      </w:r>
      <w:r w:rsidR="00F40359" w:rsidRPr="003118EE">
        <w:rPr>
          <w:sz w:val="24"/>
          <w:szCs w:val="24"/>
          <w:lang w:val="en-US"/>
        </w:rPr>
        <w:t xml:space="preserve">all groups </w:t>
      </w:r>
      <w:r w:rsidR="00E2214B">
        <w:rPr>
          <w:sz w:val="24"/>
          <w:szCs w:val="24"/>
          <w:lang w:val="en-US"/>
        </w:rPr>
        <w:t>and</w:t>
      </w:r>
      <w:r w:rsidR="00F40359" w:rsidRPr="003118EE">
        <w:rPr>
          <w:sz w:val="24"/>
          <w:szCs w:val="24"/>
          <w:lang w:val="en-US"/>
        </w:rPr>
        <w:t xml:space="preserve"> all investigated time points. </w:t>
      </w:r>
      <w:r w:rsidR="008C1CE3" w:rsidRPr="003118EE">
        <w:rPr>
          <w:b/>
          <w:sz w:val="24"/>
          <w:szCs w:val="24"/>
          <w:lang w:val="en-US"/>
        </w:rPr>
        <w:t>(b</w:t>
      </w:r>
      <w:r w:rsidR="00F40359" w:rsidRPr="003118EE">
        <w:rPr>
          <w:b/>
          <w:sz w:val="24"/>
          <w:szCs w:val="24"/>
          <w:lang w:val="en-US"/>
        </w:rPr>
        <w:t>)</w:t>
      </w:r>
      <w:r w:rsidR="00F40359" w:rsidRPr="003118EE">
        <w:rPr>
          <w:sz w:val="24"/>
          <w:szCs w:val="24"/>
          <w:lang w:val="en-US"/>
        </w:rPr>
        <w:t xml:space="preserve"> Exemplary pictures </w:t>
      </w:r>
      <w:r w:rsidR="00F248BD">
        <w:rPr>
          <w:sz w:val="24"/>
          <w:szCs w:val="24"/>
          <w:lang w:val="en-US"/>
        </w:rPr>
        <w:t>show</w:t>
      </w:r>
      <w:r w:rsidR="00F40359" w:rsidRPr="003118EE">
        <w:rPr>
          <w:sz w:val="24"/>
          <w:szCs w:val="24"/>
          <w:lang w:val="en-US"/>
        </w:rPr>
        <w:t xml:space="preserve"> </w:t>
      </w:r>
      <w:r w:rsidR="00E2214B" w:rsidRPr="003118EE">
        <w:rPr>
          <w:sz w:val="24"/>
          <w:szCs w:val="24"/>
          <w:lang w:val="en-US"/>
        </w:rPr>
        <w:t>staining</w:t>
      </w:r>
      <w:r w:rsidR="00F40359" w:rsidRPr="003118EE">
        <w:rPr>
          <w:sz w:val="24"/>
          <w:szCs w:val="24"/>
          <w:lang w:val="en-US"/>
        </w:rPr>
        <w:t xml:space="preserve"> </w:t>
      </w:r>
      <w:r w:rsidR="0037503A" w:rsidRPr="003118EE">
        <w:rPr>
          <w:sz w:val="24"/>
          <w:szCs w:val="24"/>
          <w:lang w:val="en-US"/>
        </w:rPr>
        <w:t xml:space="preserve">for the specific </w:t>
      </w:r>
      <w:r w:rsidR="00F248BD" w:rsidRPr="003118EE">
        <w:rPr>
          <w:sz w:val="24"/>
          <w:szCs w:val="24"/>
          <w:lang w:val="en-US"/>
        </w:rPr>
        <w:t>astrocytic</w:t>
      </w:r>
      <w:r w:rsidR="0037503A" w:rsidRPr="003118EE">
        <w:rPr>
          <w:sz w:val="24"/>
          <w:szCs w:val="24"/>
          <w:lang w:val="en-US"/>
        </w:rPr>
        <w:t xml:space="preserve"> marker GFAP in</w:t>
      </w:r>
      <w:r w:rsidR="00F40359" w:rsidRPr="003118EE">
        <w:rPr>
          <w:sz w:val="24"/>
          <w:szCs w:val="24"/>
          <w:lang w:val="en-US"/>
        </w:rPr>
        <w:t xml:space="preserve"> coronal mouse slices containing the ventrobasal complex of the thalamus in control conditions (left), at 6 weeks after </w:t>
      </w:r>
      <w:r w:rsidR="00E2214B">
        <w:rPr>
          <w:sz w:val="24"/>
          <w:szCs w:val="24"/>
          <w:lang w:val="en-US"/>
        </w:rPr>
        <w:t>starting the</w:t>
      </w:r>
      <w:r w:rsidR="00F40359" w:rsidRPr="003118EE">
        <w:rPr>
          <w:sz w:val="24"/>
          <w:szCs w:val="24"/>
          <w:lang w:val="en-US"/>
        </w:rPr>
        <w:t xml:space="preserve"> cuprizone diet (cupri 6 weeks – full demyelination, middle)</w:t>
      </w:r>
      <w:r w:rsidR="00E2214B">
        <w:rPr>
          <w:sz w:val="24"/>
          <w:szCs w:val="24"/>
          <w:lang w:val="en-US"/>
        </w:rPr>
        <w:t>,</w:t>
      </w:r>
      <w:r w:rsidR="00F40359" w:rsidRPr="003118EE">
        <w:rPr>
          <w:sz w:val="24"/>
          <w:szCs w:val="24"/>
          <w:lang w:val="en-US"/>
        </w:rPr>
        <w:t xml:space="preserve"> and at full remyelination 6 weeks after reintroduction of normal food (right). Note </w:t>
      </w:r>
      <w:proofErr w:type="gramStart"/>
      <w:r w:rsidR="00F40359" w:rsidRPr="003118EE">
        <w:rPr>
          <w:sz w:val="24"/>
          <w:szCs w:val="24"/>
          <w:lang w:val="en-US"/>
        </w:rPr>
        <w:t>the</w:t>
      </w:r>
      <w:proofErr w:type="gramEnd"/>
      <w:r w:rsidR="00F40359" w:rsidRPr="003118EE">
        <w:rPr>
          <w:sz w:val="24"/>
          <w:szCs w:val="24"/>
          <w:lang w:val="en-US"/>
        </w:rPr>
        <w:t xml:space="preserve"> increased number of astrocytes indicating astrocytosis in the cupri 6 weeks group in comparison to control and remy 6 weeks groups. On the right, bar graphs </w:t>
      </w:r>
      <w:r w:rsidR="00E2214B">
        <w:rPr>
          <w:sz w:val="24"/>
          <w:szCs w:val="24"/>
          <w:lang w:val="en-US"/>
        </w:rPr>
        <w:t>show</w:t>
      </w:r>
      <w:r w:rsidR="00E2214B" w:rsidRPr="003118EE">
        <w:rPr>
          <w:sz w:val="24"/>
          <w:szCs w:val="24"/>
          <w:lang w:val="en-US"/>
        </w:rPr>
        <w:t xml:space="preserve"> </w:t>
      </w:r>
      <w:r w:rsidR="00F40359" w:rsidRPr="003118EE">
        <w:rPr>
          <w:sz w:val="24"/>
          <w:szCs w:val="24"/>
          <w:lang w:val="en-US"/>
        </w:rPr>
        <w:t>the number of astrocytes (</w:t>
      </w:r>
      <w:r w:rsidR="0037503A" w:rsidRPr="003118EE">
        <w:rPr>
          <w:sz w:val="24"/>
          <w:szCs w:val="24"/>
          <w:lang w:val="en-US"/>
        </w:rPr>
        <w:t>cells/</w:t>
      </w:r>
      <w:r w:rsidR="00F40359" w:rsidRPr="003118EE">
        <w:rPr>
          <w:sz w:val="24"/>
          <w:szCs w:val="24"/>
          <w:lang w:val="en-US"/>
        </w:rPr>
        <w:t>mm</w:t>
      </w:r>
      <w:r w:rsidR="00F40359" w:rsidRPr="003118EE">
        <w:rPr>
          <w:sz w:val="24"/>
          <w:szCs w:val="24"/>
          <w:vertAlign w:val="superscript"/>
          <w:lang w:val="en-US"/>
        </w:rPr>
        <w:t>2</w:t>
      </w:r>
      <w:r w:rsidR="00F40359" w:rsidRPr="003118EE">
        <w:rPr>
          <w:sz w:val="24"/>
          <w:szCs w:val="24"/>
          <w:lang w:val="en-US"/>
        </w:rPr>
        <w:t xml:space="preserve">) in </w:t>
      </w:r>
      <w:r w:rsidR="00F548B1" w:rsidRPr="003118EE">
        <w:rPr>
          <w:sz w:val="24"/>
          <w:szCs w:val="24"/>
          <w:lang w:val="en-US"/>
        </w:rPr>
        <w:t>VB</w:t>
      </w:r>
      <w:r w:rsidR="00E2214B">
        <w:rPr>
          <w:sz w:val="24"/>
          <w:szCs w:val="24"/>
          <w:lang w:val="en-US"/>
        </w:rPr>
        <w:t>,</w:t>
      </w:r>
      <w:r w:rsidR="00F40359" w:rsidRPr="003118EE">
        <w:rPr>
          <w:sz w:val="24"/>
          <w:szCs w:val="24"/>
          <w:lang w:val="en-US"/>
        </w:rPr>
        <w:t xml:space="preserve"> which increased </w:t>
      </w:r>
      <w:r w:rsidR="00E2214B">
        <w:rPr>
          <w:sz w:val="24"/>
          <w:szCs w:val="24"/>
          <w:lang w:val="en-US"/>
        </w:rPr>
        <w:t>according</w:t>
      </w:r>
      <w:r w:rsidR="00E2214B" w:rsidRPr="003118EE">
        <w:rPr>
          <w:sz w:val="24"/>
          <w:szCs w:val="24"/>
          <w:lang w:val="en-US"/>
        </w:rPr>
        <w:t xml:space="preserve"> </w:t>
      </w:r>
      <w:r w:rsidR="00F40359" w:rsidRPr="003118EE">
        <w:rPr>
          <w:sz w:val="24"/>
          <w:szCs w:val="24"/>
          <w:lang w:val="en-US"/>
        </w:rPr>
        <w:t xml:space="preserve">to diet progression </w:t>
      </w:r>
      <w:r w:rsidR="00E2214B">
        <w:rPr>
          <w:sz w:val="24"/>
          <w:szCs w:val="24"/>
          <w:lang w:val="en-US"/>
        </w:rPr>
        <w:t>and</w:t>
      </w:r>
      <w:r w:rsidR="00E2214B" w:rsidRPr="003118EE">
        <w:rPr>
          <w:sz w:val="24"/>
          <w:szCs w:val="24"/>
          <w:lang w:val="en-US"/>
        </w:rPr>
        <w:t xml:space="preserve"> </w:t>
      </w:r>
      <w:r w:rsidR="00F40359" w:rsidRPr="003118EE">
        <w:rPr>
          <w:sz w:val="24"/>
          <w:szCs w:val="24"/>
          <w:lang w:val="en-US"/>
        </w:rPr>
        <w:t xml:space="preserve">cuprizone withdrawal. </w:t>
      </w:r>
      <w:r w:rsidR="008C1CE3" w:rsidRPr="003118EE">
        <w:rPr>
          <w:b/>
          <w:sz w:val="24"/>
          <w:szCs w:val="24"/>
          <w:lang w:val="en-US"/>
        </w:rPr>
        <w:t>(c</w:t>
      </w:r>
      <w:r w:rsidR="00F40359" w:rsidRPr="003118EE">
        <w:rPr>
          <w:b/>
          <w:sz w:val="24"/>
          <w:szCs w:val="24"/>
          <w:lang w:val="en-US"/>
        </w:rPr>
        <w:t>)</w:t>
      </w:r>
      <w:r w:rsidR="00F40359" w:rsidRPr="003118EE">
        <w:rPr>
          <w:sz w:val="24"/>
          <w:szCs w:val="24"/>
          <w:lang w:val="en-US"/>
        </w:rPr>
        <w:t xml:space="preserve"> Exemplary pictures </w:t>
      </w:r>
      <w:r w:rsidR="00F248BD">
        <w:rPr>
          <w:sz w:val="24"/>
          <w:szCs w:val="24"/>
          <w:lang w:val="en-US"/>
        </w:rPr>
        <w:t>show</w:t>
      </w:r>
      <w:r w:rsidR="00F40359" w:rsidRPr="003118EE">
        <w:rPr>
          <w:sz w:val="24"/>
          <w:szCs w:val="24"/>
          <w:lang w:val="en-US"/>
        </w:rPr>
        <w:t xml:space="preserve"> Iba1 </w:t>
      </w:r>
      <w:r w:rsidR="00E2214B" w:rsidRPr="003118EE">
        <w:rPr>
          <w:sz w:val="24"/>
          <w:szCs w:val="24"/>
          <w:lang w:val="en-US"/>
        </w:rPr>
        <w:t>staining</w:t>
      </w:r>
      <w:r w:rsidR="00F40359" w:rsidRPr="003118EE">
        <w:rPr>
          <w:sz w:val="24"/>
          <w:szCs w:val="24"/>
          <w:lang w:val="en-US"/>
        </w:rPr>
        <w:t xml:space="preserve"> </w:t>
      </w:r>
      <w:r w:rsidR="00E2214B">
        <w:rPr>
          <w:sz w:val="24"/>
          <w:szCs w:val="24"/>
          <w:lang w:val="en-US"/>
        </w:rPr>
        <w:t>to identify</w:t>
      </w:r>
      <w:r w:rsidR="00F40359" w:rsidRPr="003118EE">
        <w:rPr>
          <w:sz w:val="24"/>
          <w:szCs w:val="24"/>
          <w:lang w:val="en-US"/>
        </w:rPr>
        <w:t xml:space="preserve"> microglial cells in coron</w:t>
      </w:r>
      <w:r w:rsidR="00F548B1" w:rsidRPr="003118EE">
        <w:rPr>
          <w:sz w:val="24"/>
          <w:szCs w:val="24"/>
          <w:lang w:val="en-US"/>
        </w:rPr>
        <w:t xml:space="preserve">al mouse slices containing the ventrobasal complex of the </w:t>
      </w:r>
      <w:r w:rsidR="00F548B1" w:rsidRPr="003118EE">
        <w:rPr>
          <w:sz w:val="24"/>
          <w:szCs w:val="24"/>
          <w:lang w:val="en-US"/>
        </w:rPr>
        <w:lastRenderedPageBreak/>
        <w:t>thalamus</w:t>
      </w:r>
      <w:r w:rsidR="00F40359" w:rsidRPr="003118EE">
        <w:rPr>
          <w:sz w:val="24"/>
          <w:szCs w:val="24"/>
          <w:lang w:val="en-US"/>
        </w:rPr>
        <w:t xml:space="preserve"> in control conditions (left), at 6 weeks after </w:t>
      </w:r>
      <w:r w:rsidR="00E2214B">
        <w:rPr>
          <w:sz w:val="24"/>
          <w:szCs w:val="24"/>
          <w:lang w:val="en-US"/>
        </w:rPr>
        <w:t>starting the</w:t>
      </w:r>
      <w:r w:rsidR="00F40359" w:rsidRPr="003118EE">
        <w:rPr>
          <w:sz w:val="24"/>
          <w:szCs w:val="24"/>
          <w:lang w:val="en-US"/>
        </w:rPr>
        <w:t xml:space="preserve"> cuprizone diet (cupri 6 weeks – full demyelination, middle)</w:t>
      </w:r>
      <w:r w:rsidR="00E2214B">
        <w:rPr>
          <w:sz w:val="24"/>
          <w:szCs w:val="24"/>
          <w:lang w:val="en-US"/>
        </w:rPr>
        <w:t>,</w:t>
      </w:r>
      <w:r w:rsidR="00F40359" w:rsidRPr="003118EE">
        <w:rPr>
          <w:sz w:val="24"/>
          <w:szCs w:val="24"/>
          <w:lang w:val="en-US"/>
        </w:rPr>
        <w:t xml:space="preserve"> and at full remyelination 6 weeks after reintroduction of normal food (right). Note the increased number of activated microglial cells in the cupri 6 weeks group in comparison to control and remy 6 weeks groups. Activated cells show spherical morphology and increased </w:t>
      </w:r>
      <w:r w:rsidR="00E2214B">
        <w:rPr>
          <w:sz w:val="24"/>
          <w:szCs w:val="24"/>
          <w:lang w:val="en-US"/>
        </w:rPr>
        <w:t xml:space="preserve">in </w:t>
      </w:r>
      <w:r w:rsidR="00F40359" w:rsidRPr="003118EE">
        <w:rPr>
          <w:sz w:val="24"/>
          <w:szCs w:val="24"/>
          <w:lang w:val="en-US"/>
        </w:rPr>
        <w:t>size</w:t>
      </w:r>
      <w:r w:rsidR="000B0F96">
        <w:rPr>
          <w:sz w:val="24"/>
          <w:szCs w:val="24"/>
          <w:lang w:val="en-US"/>
        </w:rPr>
        <w:t>;</w:t>
      </w:r>
      <w:r w:rsidR="00F40359" w:rsidRPr="003118EE">
        <w:rPr>
          <w:sz w:val="24"/>
          <w:szCs w:val="24"/>
          <w:lang w:val="en-US"/>
        </w:rPr>
        <w:t xml:space="preserve"> </w:t>
      </w:r>
      <w:r w:rsidR="000B0F96">
        <w:rPr>
          <w:sz w:val="24"/>
          <w:szCs w:val="24"/>
          <w:lang w:val="en-US"/>
        </w:rPr>
        <w:t xml:space="preserve">they are </w:t>
      </w:r>
      <w:r w:rsidR="00F40359" w:rsidRPr="003118EE">
        <w:rPr>
          <w:sz w:val="24"/>
          <w:szCs w:val="24"/>
          <w:lang w:val="en-US"/>
        </w:rPr>
        <w:t xml:space="preserve">indicated by white arrows. On the right, bar graphs </w:t>
      </w:r>
      <w:r w:rsidR="007010D8">
        <w:rPr>
          <w:sz w:val="24"/>
          <w:szCs w:val="24"/>
          <w:lang w:val="en-US"/>
        </w:rPr>
        <w:t>show</w:t>
      </w:r>
      <w:r w:rsidR="007010D8" w:rsidRPr="003118EE">
        <w:rPr>
          <w:sz w:val="24"/>
          <w:szCs w:val="24"/>
          <w:lang w:val="en-US"/>
        </w:rPr>
        <w:t xml:space="preserve"> </w:t>
      </w:r>
      <w:r w:rsidR="00F40359" w:rsidRPr="003118EE">
        <w:rPr>
          <w:sz w:val="24"/>
          <w:szCs w:val="24"/>
          <w:lang w:val="en-US"/>
        </w:rPr>
        <w:t>the number of activated microglia (per mm</w:t>
      </w:r>
      <w:r w:rsidR="00F40359" w:rsidRPr="003118EE">
        <w:rPr>
          <w:sz w:val="24"/>
          <w:szCs w:val="24"/>
          <w:vertAlign w:val="superscript"/>
          <w:lang w:val="en-US"/>
        </w:rPr>
        <w:t>2</w:t>
      </w:r>
      <w:r w:rsidR="00F40359" w:rsidRPr="003118EE">
        <w:rPr>
          <w:sz w:val="24"/>
          <w:szCs w:val="24"/>
          <w:lang w:val="en-US"/>
        </w:rPr>
        <w:t>)</w:t>
      </w:r>
      <w:r w:rsidR="007010D8">
        <w:rPr>
          <w:sz w:val="24"/>
          <w:szCs w:val="24"/>
          <w:lang w:val="en-US"/>
        </w:rPr>
        <w:t>,</w:t>
      </w:r>
      <w:r w:rsidR="00F40359" w:rsidRPr="003118EE">
        <w:rPr>
          <w:sz w:val="24"/>
          <w:szCs w:val="24"/>
          <w:lang w:val="en-US"/>
        </w:rPr>
        <w:t xml:space="preserve"> which </w:t>
      </w:r>
      <w:r w:rsidR="007010D8">
        <w:rPr>
          <w:sz w:val="24"/>
          <w:szCs w:val="24"/>
          <w:lang w:val="en-US"/>
        </w:rPr>
        <w:t>increased according</w:t>
      </w:r>
      <w:r w:rsidR="00F40359" w:rsidRPr="003118EE">
        <w:rPr>
          <w:sz w:val="24"/>
          <w:szCs w:val="24"/>
          <w:lang w:val="en-US"/>
        </w:rPr>
        <w:t xml:space="preserve"> to diet progression or cuprizone withdrawal. </w:t>
      </w:r>
    </w:p>
    <w:p w:rsidR="00D173CE" w:rsidRDefault="00D173CE" w:rsidP="00660EEA">
      <w:pPr>
        <w:spacing w:line="360" w:lineRule="auto"/>
        <w:jc w:val="both"/>
        <w:rPr>
          <w:sz w:val="24"/>
          <w:szCs w:val="24"/>
          <w:lang w:val="en-US"/>
        </w:rPr>
      </w:pPr>
    </w:p>
    <w:p w:rsidR="00D173CE" w:rsidRDefault="00D173CE" w:rsidP="00D173CE">
      <w:pPr>
        <w:spacing w:line="360" w:lineRule="auto"/>
        <w:jc w:val="both"/>
        <w:rPr>
          <w:sz w:val="24"/>
          <w:szCs w:val="24"/>
          <w:lang w:val="en-US"/>
        </w:rPr>
      </w:pPr>
      <w:r w:rsidRPr="00B62026">
        <w:rPr>
          <w:b/>
          <w:sz w:val="24"/>
          <w:szCs w:val="24"/>
          <w:lang w:val="en-US"/>
        </w:rPr>
        <w:t>Suppl. Figure 5. Representation of technical and biological replicates for histological evaluation of PLP intensity, astrocytosis and microglial activation in the thalamus</w:t>
      </w:r>
      <w:r w:rsidRPr="00B62026">
        <w:rPr>
          <w:sz w:val="24"/>
          <w:szCs w:val="24"/>
          <w:lang w:val="en-US"/>
        </w:rPr>
        <w:t>. (a) Scatter plots and graphs show the variability of the data acquired and used for histological evaluation on myelin intensity by using the specific marker PLP in the thalamus (upper panel).  (b) Scatter plots and graphs show the variability of the data acquired and used for histological evaluation of the number of astrocytes by using the specific marker GFAP in the thalamus (mid panel). (c) Scatter plots and graphs show the variability of the data acquired and used for histological evaluation of the number of activated microglial cells by using the specific marker Iba1 in the thalamus (lower panel). Simplified bar graphs are shown in the main figures.</w:t>
      </w:r>
    </w:p>
    <w:p w:rsidR="00B62026" w:rsidRPr="00B62026" w:rsidRDefault="00B62026" w:rsidP="00D173CE">
      <w:pPr>
        <w:spacing w:line="360" w:lineRule="auto"/>
        <w:jc w:val="both"/>
        <w:rPr>
          <w:sz w:val="24"/>
          <w:szCs w:val="24"/>
          <w:lang w:val="en-US"/>
        </w:rPr>
      </w:pPr>
      <w:bookmarkStart w:id="0" w:name="_GoBack"/>
      <w:bookmarkEnd w:id="0"/>
    </w:p>
    <w:p w:rsidR="00B62026" w:rsidRPr="00B62026" w:rsidRDefault="00B62026" w:rsidP="00B62026">
      <w:pPr>
        <w:spacing w:line="360" w:lineRule="auto"/>
        <w:jc w:val="both"/>
        <w:rPr>
          <w:sz w:val="24"/>
          <w:szCs w:val="24"/>
          <w:lang w:val="en-US"/>
        </w:rPr>
      </w:pPr>
      <w:r w:rsidRPr="00B62026">
        <w:rPr>
          <w:b/>
          <w:sz w:val="24"/>
          <w:szCs w:val="24"/>
          <w:highlight w:val="yellow"/>
          <w:lang w:val="en-US"/>
        </w:rPr>
        <w:t xml:space="preserve">Suppl. Figure 6. The amyloid precursor protein (APP) accumulation upon de- and remyelination in frontal neocortical regions. </w:t>
      </w:r>
      <w:r w:rsidRPr="00B62026">
        <w:rPr>
          <w:sz w:val="24"/>
          <w:szCs w:val="24"/>
          <w:highlight w:val="yellow"/>
          <w:lang w:val="en-US"/>
        </w:rPr>
        <w:t xml:space="preserve">Exemplary pictures show APP staining in the lower layers of frontal neocortical regions in control conditions (left), at 6 weeks after starting the cuprizone diet (cupri 6 weeks – full demyelination, middle), and at full remyelination 6 weeks after reintroduction of normal food (right). Note that an increase of positive cells, indicating an accumulation of APP in the neuronal soma, occurred </w:t>
      </w:r>
      <w:r>
        <w:rPr>
          <w:sz w:val="24"/>
          <w:szCs w:val="24"/>
          <w:highlight w:val="yellow"/>
          <w:lang w:val="en-US"/>
        </w:rPr>
        <w:t xml:space="preserve">slowly </w:t>
      </w:r>
      <w:r w:rsidRPr="00B62026">
        <w:rPr>
          <w:sz w:val="24"/>
          <w:szCs w:val="24"/>
          <w:highlight w:val="yellow"/>
          <w:lang w:val="en-US"/>
        </w:rPr>
        <w:t>at the onset of the cuprizone diet</w:t>
      </w:r>
      <w:r>
        <w:rPr>
          <w:sz w:val="24"/>
          <w:szCs w:val="24"/>
          <w:highlight w:val="yellow"/>
          <w:lang w:val="en-US"/>
        </w:rPr>
        <w:t xml:space="preserve"> </w:t>
      </w:r>
      <w:r w:rsidRPr="00B62026">
        <w:rPr>
          <w:sz w:val="24"/>
          <w:szCs w:val="24"/>
          <w:highlight w:val="yellow"/>
          <w:lang w:val="en-US"/>
        </w:rPr>
        <w:t xml:space="preserve">to reach a significant threshold at </w:t>
      </w:r>
      <w:r>
        <w:rPr>
          <w:sz w:val="24"/>
          <w:szCs w:val="24"/>
          <w:highlight w:val="yellow"/>
          <w:lang w:val="en-US"/>
        </w:rPr>
        <w:t>remyelinating phases</w:t>
      </w:r>
      <w:r w:rsidRPr="00B62026">
        <w:rPr>
          <w:b/>
          <w:sz w:val="24"/>
          <w:szCs w:val="24"/>
          <w:highlight w:val="yellow"/>
          <w:lang w:val="en-US"/>
        </w:rPr>
        <w:t xml:space="preserve">. </w:t>
      </w:r>
      <w:r w:rsidRPr="00B62026">
        <w:rPr>
          <w:sz w:val="24"/>
          <w:szCs w:val="24"/>
          <w:highlight w:val="yellow"/>
          <w:lang w:val="en-US"/>
        </w:rPr>
        <w:t>On the right, bar graphs show the number of APP positive cells (cells/mm</w:t>
      </w:r>
      <w:r w:rsidRPr="00B62026">
        <w:rPr>
          <w:sz w:val="24"/>
          <w:szCs w:val="24"/>
          <w:highlight w:val="yellow"/>
          <w:vertAlign w:val="superscript"/>
          <w:lang w:val="en-US"/>
        </w:rPr>
        <w:t>2</w:t>
      </w:r>
      <w:r w:rsidRPr="00B62026">
        <w:rPr>
          <w:sz w:val="24"/>
          <w:szCs w:val="24"/>
          <w:highlight w:val="yellow"/>
          <w:lang w:val="en-US"/>
        </w:rPr>
        <w:t>) in Cx.</w:t>
      </w:r>
    </w:p>
    <w:p w:rsidR="00B62026" w:rsidRPr="001C18C2" w:rsidRDefault="00B62026" w:rsidP="00D173CE">
      <w:pPr>
        <w:spacing w:line="360" w:lineRule="auto"/>
        <w:jc w:val="both"/>
        <w:rPr>
          <w:b/>
          <w:sz w:val="24"/>
          <w:szCs w:val="24"/>
          <w:highlight w:val="yellow"/>
          <w:lang w:val="en-US"/>
        </w:rPr>
      </w:pPr>
    </w:p>
    <w:p w:rsidR="006161F8" w:rsidRDefault="00B62026" w:rsidP="00D173CE">
      <w:pPr>
        <w:spacing w:line="360" w:lineRule="auto"/>
        <w:jc w:val="both"/>
        <w:rPr>
          <w:sz w:val="24"/>
          <w:szCs w:val="24"/>
          <w:highlight w:val="yellow"/>
          <w:lang w:val="en-US"/>
        </w:rPr>
      </w:pPr>
      <w:r w:rsidRPr="001C18C2">
        <w:rPr>
          <w:b/>
          <w:sz w:val="24"/>
          <w:szCs w:val="24"/>
          <w:highlight w:val="yellow"/>
          <w:lang w:val="en-US"/>
        </w:rPr>
        <w:t>Suppl. Figure 7</w:t>
      </w:r>
      <w:r w:rsidR="006161F8" w:rsidRPr="001C18C2">
        <w:rPr>
          <w:b/>
          <w:sz w:val="24"/>
          <w:szCs w:val="24"/>
          <w:highlight w:val="yellow"/>
          <w:lang w:val="en-US"/>
        </w:rPr>
        <w:t xml:space="preserve">. </w:t>
      </w:r>
      <w:r w:rsidRPr="001C18C2">
        <w:rPr>
          <w:b/>
          <w:sz w:val="24"/>
          <w:szCs w:val="24"/>
          <w:highlight w:val="yellow"/>
          <w:lang w:val="en-US"/>
        </w:rPr>
        <w:t>Exploratory and gro</w:t>
      </w:r>
      <w:r w:rsidR="0085494D" w:rsidRPr="001C18C2">
        <w:rPr>
          <w:b/>
          <w:sz w:val="24"/>
          <w:szCs w:val="24"/>
          <w:highlight w:val="yellow"/>
          <w:lang w:val="en-US"/>
        </w:rPr>
        <w:t>oming behavior were al</w:t>
      </w:r>
      <w:r w:rsidRPr="001C18C2">
        <w:rPr>
          <w:b/>
          <w:sz w:val="24"/>
          <w:szCs w:val="24"/>
          <w:highlight w:val="yellow"/>
          <w:lang w:val="en-US"/>
        </w:rPr>
        <w:t>t</w:t>
      </w:r>
      <w:r w:rsidR="0085494D" w:rsidRPr="001C18C2">
        <w:rPr>
          <w:b/>
          <w:sz w:val="24"/>
          <w:szCs w:val="24"/>
          <w:highlight w:val="yellow"/>
          <w:lang w:val="en-US"/>
        </w:rPr>
        <w:t>e</w:t>
      </w:r>
      <w:r w:rsidRPr="001C18C2">
        <w:rPr>
          <w:b/>
          <w:sz w:val="24"/>
          <w:szCs w:val="24"/>
          <w:highlight w:val="yellow"/>
          <w:lang w:val="en-US"/>
        </w:rPr>
        <w:t xml:space="preserve">red by cuprizone diet and </w:t>
      </w:r>
      <w:proofErr w:type="gramStart"/>
      <w:r w:rsidRPr="001C18C2">
        <w:rPr>
          <w:b/>
          <w:sz w:val="24"/>
          <w:szCs w:val="24"/>
          <w:highlight w:val="yellow"/>
          <w:lang w:val="en-US"/>
        </w:rPr>
        <w:t>its</w:t>
      </w:r>
      <w:proofErr w:type="gramEnd"/>
      <w:r w:rsidRPr="001C18C2">
        <w:rPr>
          <w:b/>
          <w:sz w:val="24"/>
          <w:szCs w:val="24"/>
          <w:highlight w:val="yellow"/>
          <w:lang w:val="en-US"/>
        </w:rPr>
        <w:t xml:space="preserve"> withdrawn.</w:t>
      </w:r>
      <w:r>
        <w:rPr>
          <w:sz w:val="24"/>
          <w:szCs w:val="24"/>
          <w:highlight w:val="yellow"/>
          <w:lang w:val="en-US"/>
        </w:rPr>
        <w:t xml:space="preserve"> (a) Bar graph showing quantification of vertical exploratory behavior. Animals show a significant increase in comparison to control 2- and 6 weeks </w:t>
      </w:r>
      <w:r>
        <w:rPr>
          <w:sz w:val="24"/>
          <w:szCs w:val="24"/>
          <w:highlight w:val="yellow"/>
          <w:lang w:val="en-US"/>
        </w:rPr>
        <w:lastRenderedPageBreak/>
        <w:t xml:space="preserve">after the beginning of the diet. (b) </w:t>
      </w:r>
      <w:r w:rsidR="008C534F">
        <w:rPr>
          <w:sz w:val="24"/>
          <w:szCs w:val="24"/>
          <w:highlight w:val="yellow"/>
          <w:lang w:val="en-US"/>
        </w:rPr>
        <w:t xml:space="preserve">Bar graph showing the quantification of grooming behavior. The latter is often considered </w:t>
      </w:r>
      <w:proofErr w:type="gramStart"/>
      <w:r w:rsidR="008C534F">
        <w:rPr>
          <w:sz w:val="24"/>
          <w:szCs w:val="24"/>
          <w:highlight w:val="yellow"/>
          <w:lang w:val="en-US"/>
        </w:rPr>
        <w:t>a</w:t>
      </w:r>
      <w:proofErr w:type="gramEnd"/>
      <w:r w:rsidR="008C534F">
        <w:rPr>
          <w:sz w:val="24"/>
          <w:szCs w:val="24"/>
          <w:highlight w:val="yellow"/>
          <w:lang w:val="en-US"/>
        </w:rPr>
        <w:t xml:space="preserve"> indicator of stress levels I rodents and here it is significantly decreased, in comparison to control, in almost all experimental groups. *p &lt; 0.05; **p &lt; 0.01; ***p &lt; 0.001; ****p &lt; 0.0001.</w:t>
      </w:r>
    </w:p>
    <w:p w:rsidR="00D173CE" w:rsidRDefault="00D173CE" w:rsidP="00660EEA">
      <w:pPr>
        <w:spacing w:line="360" w:lineRule="auto"/>
        <w:jc w:val="both"/>
        <w:rPr>
          <w:sz w:val="24"/>
          <w:szCs w:val="24"/>
          <w:lang w:val="en-US"/>
        </w:rPr>
      </w:pPr>
    </w:p>
    <w:p w:rsidR="00831C3E" w:rsidRDefault="00831C3E" w:rsidP="00660EEA">
      <w:pPr>
        <w:spacing w:line="360" w:lineRule="auto"/>
        <w:jc w:val="both"/>
        <w:rPr>
          <w:sz w:val="24"/>
          <w:szCs w:val="24"/>
          <w:lang w:val="en-US"/>
        </w:rPr>
      </w:pPr>
    </w:p>
    <w:p w:rsidR="00914C91" w:rsidRPr="000662B9" w:rsidRDefault="00914C91" w:rsidP="00660EEA">
      <w:pPr>
        <w:spacing w:line="360" w:lineRule="auto"/>
        <w:jc w:val="both"/>
        <w:rPr>
          <w:b/>
          <w:sz w:val="24"/>
          <w:szCs w:val="24"/>
          <w:highlight w:val="yellow"/>
          <w:lang w:val="en-US"/>
        </w:rPr>
      </w:pPr>
    </w:p>
    <w:sectPr w:rsidR="00914C91" w:rsidRPr="000662B9">
      <w:pgSz w:w="12240" w:h="15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0359"/>
    <w:rsid w:val="000662B9"/>
    <w:rsid w:val="000B0F96"/>
    <w:rsid w:val="000C3BB3"/>
    <w:rsid w:val="00134F02"/>
    <w:rsid w:val="00164258"/>
    <w:rsid w:val="00184B39"/>
    <w:rsid w:val="001C18C2"/>
    <w:rsid w:val="00296667"/>
    <w:rsid w:val="003118EE"/>
    <w:rsid w:val="0037503A"/>
    <w:rsid w:val="00490386"/>
    <w:rsid w:val="006161F8"/>
    <w:rsid w:val="00660EEA"/>
    <w:rsid w:val="00696A71"/>
    <w:rsid w:val="006C16B3"/>
    <w:rsid w:val="007010D8"/>
    <w:rsid w:val="00707E93"/>
    <w:rsid w:val="007B0B4E"/>
    <w:rsid w:val="007D6158"/>
    <w:rsid w:val="00831C3E"/>
    <w:rsid w:val="0085494D"/>
    <w:rsid w:val="008609F6"/>
    <w:rsid w:val="008C1CE3"/>
    <w:rsid w:val="008C534F"/>
    <w:rsid w:val="00914C91"/>
    <w:rsid w:val="00A27857"/>
    <w:rsid w:val="00AB5A4E"/>
    <w:rsid w:val="00B62026"/>
    <w:rsid w:val="00C64ADD"/>
    <w:rsid w:val="00D173CE"/>
    <w:rsid w:val="00D745A7"/>
    <w:rsid w:val="00DE443E"/>
    <w:rsid w:val="00E2214B"/>
    <w:rsid w:val="00E67982"/>
    <w:rsid w:val="00EA5B13"/>
    <w:rsid w:val="00F248BD"/>
    <w:rsid w:val="00F40359"/>
    <w:rsid w:val="00F548B1"/>
    <w:rsid w:val="00F93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40359"/>
    <w:pPr>
      <w:spacing w:after="0" w:line="240" w:lineRule="auto"/>
    </w:pPr>
    <w:rPr>
      <w:rFonts w:ascii="Arial" w:eastAsia="Times New Roman" w:hAnsi="Arial" w:cs="Times New Roman"/>
      <w:sz w:val="20"/>
      <w:szCs w:val="20"/>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0B0F96"/>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B0F96"/>
    <w:rPr>
      <w:rFonts w:ascii="Segoe UI" w:eastAsia="Times New Roman" w:hAnsi="Segoe UI" w:cs="Segoe UI"/>
      <w:sz w:val="18"/>
      <w:szCs w:val="18"/>
      <w:lang w:val="de-DE"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40359"/>
    <w:pPr>
      <w:spacing w:after="0" w:line="240" w:lineRule="auto"/>
    </w:pPr>
    <w:rPr>
      <w:rFonts w:ascii="Arial" w:eastAsia="Times New Roman" w:hAnsi="Arial" w:cs="Times New Roman"/>
      <w:sz w:val="20"/>
      <w:szCs w:val="20"/>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0B0F96"/>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B0F96"/>
    <w:rPr>
      <w:rFonts w:ascii="Segoe UI" w:eastAsia="Times New Roman" w:hAnsi="Segoe UI" w:cs="Segoe UI"/>
      <w:sz w:val="18"/>
      <w:szCs w:val="18"/>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983</Words>
  <Characters>6200</Characters>
  <Application>Microsoft Office Word</Application>
  <DocSecurity>0</DocSecurity>
  <Lines>51</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7169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Manuela Cerina</dc:creator>
  <cp:lastModifiedBy>Muthuraman</cp:lastModifiedBy>
  <cp:revision>2</cp:revision>
  <dcterms:created xsi:type="dcterms:W3CDTF">2020-03-23T21:46:00Z</dcterms:created>
  <dcterms:modified xsi:type="dcterms:W3CDTF">2020-03-23T21:46:00Z</dcterms:modified>
</cp:coreProperties>
</file>