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A5636C" w:rsidRDefault="006B2E18">
      <w:pPr>
        <w:spacing w:after="0" w:line="48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00000002" w14:textId="77777777" w:rsidR="00A5636C" w:rsidRDefault="006B2E18">
      <w:pPr>
        <w:spacing w:after="0" w:line="48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Title: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Transcriptomics of Type 2 Diabetic and Healthy Human Neutrophils</w:t>
      </w:r>
    </w:p>
    <w:p w14:paraId="00000003" w14:textId="03AEA11D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Authors: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Sarah E.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Kleinstein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Jamison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McCorrison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Alaa Ahmed,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Hatice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Hasturk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Thomas E. Van Dyke, Marcelo Freire.</w:t>
      </w:r>
    </w:p>
    <w:p w14:paraId="00000004" w14:textId="77777777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Tables: 4</w:t>
      </w:r>
    </w:p>
    <w:p w14:paraId="00000005" w14:textId="77777777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Figures: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4</w:t>
      </w:r>
    </w:p>
    <w:p w14:paraId="00000006" w14:textId="77777777" w:rsidR="00A5636C" w:rsidRDefault="006B2E18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00000007" w14:textId="77777777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Tables:</w:t>
      </w:r>
    </w:p>
    <w:p w14:paraId="00000008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S1. </w:t>
      </w:r>
      <w:r>
        <w:rPr>
          <w:rFonts w:ascii="Times New Roman" w:eastAsia="Times New Roman" w:hAnsi="Times New Roman" w:cs="Times New Roman"/>
          <w:sz w:val="24"/>
          <w:szCs w:val="24"/>
        </w:rPr>
        <w:t>Over-represented KEGG pathways.</w:t>
      </w:r>
      <w:r>
        <w:rPr>
          <w:sz w:val="16"/>
          <w:szCs w:val="16"/>
        </w:rPr>
        <w:t xml:space="preserve"> </w:t>
      </w:r>
    </w:p>
    <w:tbl>
      <w:tblPr>
        <w:tblStyle w:val="a"/>
        <w:tblW w:w="959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115"/>
        <w:gridCol w:w="1223"/>
        <w:gridCol w:w="1810"/>
        <w:gridCol w:w="2450"/>
      </w:tblGrid>
      <w:tr w:rsidR="00A5636C" w14:paraId="692D5F14" w14:textId="77777777"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0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Pathway Name</w:t>
            </w:r>
          </w:p>
        </w:tc>
        <w:tc>
          <w:tcPr>
            <w:tcW w:w="12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0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p-value</w:t>
            </w:r>
          </w:p>
        </w:tc>
        <w:tc>
          <w:tcPr>
            <w:tcW w:w="18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0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-value (FDR)</w:t>
            </w:r>
          </w:p>
        </w:tc>
        <w:tc>
          <w:tcPr>
            <w:tcW w:w="24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000000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p-value (Bonferroni)</w:t>
            </w:r>
          </w:p>
        </w:tc>
      </w:tr>
      <w:tr w:rsidR="00A5636C" w14:paraId="0CA57B94" w14:textId="77777777">
        <w:tc>
          <w:tcPr>
            <w:tcW w:w="4115" w:type="dxa"/>
            <w:shd w:val="clear" w:color="auto" w:fill="CCCCCC"/>
          </w:tcPr>
          <w:p w14:paraId="0000000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Sphingolipid metabolism</w:t>
            </w:r>
          </w:p>
        </w:tc>
        <w:tc>
          <w:tcPr>
            <w:tcW w:w="1223" w:type="dxa"/>
            <w:shd w:val="clear" w:color="auto" w:fill="CCCCCC"/>
          </w:tcPr>
          <w:p w14:paraId="0000000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2.52E-04</w:t>
            </w:r>
          </w:p>
        </w:tc>
        <w:tc>
          <w:tcPr>
            <w:tcW w:w="1810" w:type="dxa"/>
            <w:shd w:val="clear" w:color="auto" w:fill="CCCCCC"/>
          </w:tcPr>
          <w:p w14:paraId="0000000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450" w:type="dxa"/>
            <w:shd w:val="clear" w:color="auto" w:fill="CCCCCC"/>
          </w:tcPr>
          <w:p w14:paraId="0000001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A5636C" w14:paraId="4382932A" w14:textId="77777777">
        <w:tc>
          <w:tcPr>
            <w:tcW w:w="4115" w:type="dxa"/>
          </w:tcPr>
          <w:p w14:paraId="00000011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Ether lipid metabolism</w:t>
            </w:r>
          </w:p>
        </w:tc>
        <w:tc>
          <w:tcPr>
            <w:tcW w:w="1223" w:type="dxa"/>
          </w:tcPr>
          <w:p w14:paraId="0000001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810" w:type="dxa"/>
          </w:tcPr>
          <w:p w14:paraId="0000001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2450" w:type="dxa"/>
          </w:tcPr>
          <w:p w14:paraId="0000001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A5636C" w14:paraId="03548728" w14:textId="77777777">
        <w:tc>
          <w:tcPr>
            <w:tcW w:w="4115" w:type="dxa"/>
            <w:shd w:val="clear" w:color="auto" w:fill="CCCCCC"/>
          </w:tcPr>
          <w:p w14:paraId="00000015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Phospholipase D signaling pathway</w:t>
            </w:r>
          </w:p>
        </w:tc>
        <w:tc>
          <w:tcPr>
            <w:tcW w:w="1223" w:type="dxa"/>
            <w:shd w:val="clear" w:color="auto" w:fill="CCCCCC"/>
          </w:tcPr>
          <w:p w14:paraId="0000001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810" w:type="dxa"/>
            <w:shd w:val="clear" w:color="auto" w:fill="CCCCCC"/>
          </w:tcPr>
          <w:p w14:paraId="0000001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1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5CD1B54A" w14:textId="77777777">
        <w:tc>
          <w:tcPr>
            <w:tcW w:w="4115" w:type="dxa"/>
          </w:tcPr>
          <w:p w14:paraId="0000001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Fc gamma R-mediated phagocytosis</w:t>
            </w:r>
          </w:p>
        </w:tc>
        <w:tc>
          <w:tcPr>
            <w:tcW w:w="1223" w:type="dxa"/>
          </w:tcPr>
          <w:p w14:paraId="0000001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810" w:type="dxa"/>
          </w:tcPr>
          <w:p w14:paraId="0000001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</w:tcPr>
          <w:p w14:paraId="0000001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7424B4B8" w14:textId="77777777">
        <w:tc>
          <w:tcPr>
            <w:tcW w:w="4115" w:type="dxa"/>
            <w:shd w:val="clear" w:color="auto" w:fill="CCCCCC"/>
          </w:tcPr>
          <w:p w14:paraId="0000001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Glycerophospholipid metabolism</w:t>
            </w:r>
          </w:p>
        </w:tc>
        <w:tc>
          <w:tcPr>
            <w:tcW w:w="1223" w:type="dxa"/>
            <w:shd w:val="clear" w:color="auto" w:fill="CCCCCC"/>
          </w:tcPr>
          <w:p w14:paraId="0000001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810" w:type="dxa"/>
            <w:shd w:val="clear" w:color="auto" w:fill="CCCCCC"/>
          </w:tcPr>
          <w:p w14:paraId="0000001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2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3F35E9B6" w14:textId="77777777">
        <w:tc>
          <w:tcPr>
            <w:tcW w:w="4115" w:type="dxa"/>
          </w:tcPr>
          <w:p w14:paraId="00000021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Colorectal cancer</w:t>
            </w:r>
          </w:p>
        </w:tc>
        <w:tc>
          <w:tcPr>
            <w:tcW w:w="1223" w:type="dxa"/>
          </w:tcPr>
          <w:p w14:paraId="0000002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10" w:type="dxa"/>
          </w:tcPr>
          <w:p w14:paraId="0000002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</w:tcPr>
          <w:p w14:paraId="0000002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1253B021" w14:textId="77777777">
        <w:tc>
          <w:tcPr>
            <w:tcW w:w="4115" w:type="dxa"/>
            <w:shd w:val="clear" w:color="auto" w:fill="CCCCCC"/>
          </w:tcPr>
          <w:p w14:paraId="00000025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Sphingolipid signaling pathway</w:t>
            </w:r>
          </w:p>
        </w:tc>
        <w:tc>
          <w:tcPr>
            <w:tcW w:w="1223" w:type="dxa"/>
            <w:shd w:val="clear" w:color="auto" w:fill="CCCCCC"/>
          </w:tcPr>
          <w:p w14:paraId="0000002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10" w:type="dxa"/>
            <w:shd w:val="clear" w:color="auto" w:fill="CCCCCC"/>
          </w:tcPr>
          <w:p w14:paraId="0000002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2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2F98A0A1" w14:textId="77777777">
        <w:tc>
          <w:tcPr>
            <w:tcW w:w="4115" w:type="dxa"/>
          </w:tcPr>
          <w:p w14:paraId="0000002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Viral carcinogenesis</w:t>
            </w:r>
          </w:p>
        </w:tc>
        <w:tc>
          <w:tcPr>
            <w:tcW w:w="1223" w:type="dxa"/>
          </w:tcPr>
          <w:p w14:paraId="0000002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10" w:type="dxa"/>
          </w:tcPr>
          <w:p w14:paraId="0000002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</w:tcPr>
          <w:p w14:paraId="0000002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0D5714A3" w14:textId="77777777">
        <w:tc>
          <w:tcPr>
            <w:tcW w:w="4115" w:type="dxa"/>
            <w:shd w:val="clear" w:color="auto" w:fill="CCCCCC"/>
          </w:tcPr>
          <w:p w14:paraId="0000002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Tuberculosis</w:t>
            </w:r>
          </w:p>
        </w:tc>
        <w:tc>
          <w:tcPr>
            <w:tcW w:w="1223" w:type="dxa"/>
            <w:shd w:val="clear" w:color="auto" w:fill="CCCCCC"/>
          </w:tcPr>
          <w:p w14:paraId="0000002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10" w:type="dxa"/>
            <w:shd w:val="clear" w:color="auto" w:fill="CCCCCC"/>
          </w:tcPr>
          <w:p w14:paraId="0000002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3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60BF6404" w14:textId="77777777">
        <w:tc>
          <w:tcPr>
            <w:tcW w:w="4115" w:type="dxa"/>
          </w:tcPr>
          <w:p w14:paraId="00000031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Transcriptional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misregulation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cancer</w:t>
            </w:r>
          </w:p>
        </w:tc>
        <w:tc>
          <w:tcPr>
            <w:tcW w:w="1223" w:type="dxa"/>
          </w:tcPr>
          <w:p w14:paraId="0000003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810" w:type="dxa"/>
          </w:tcPr>
          <w:p w14:paraId="0000003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</w:tcPr>
          <w:p w14:paraId="0000003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296CCD23" w14:textId="77777777">
        <w:tc>
          <w:tcPr>
            <w:tcW w:w="4115" w:type="dxa"/>
            <w:shd w:val="clear" w:color="auto" w:fill="CCCCCC"/>
          </w:tcPr>
          <w:p w14:paraId="00000035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Fluid shear stress and atherosclerosis</w:t>
            </w:r>
          </w:p>
        </w:tc>
        <w:tc>
          <w:tcPr>
            <w:tcW w:w="1223" w:type="dxa"/>
            <w:shd w:val="clear" w:color="auto" w:fill="CCCCCC"/>
          </w:tcPr>
          <w:p w14:paraId="0000003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810" w:type="dxa"/>
            <w:shd w:val="clear" w:color="auto" w:fill="CCCCCC"/>
          </w:tcPr>
          <w:p w14:paraId="0000003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3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4E068FD4" w14:textId="77777777">
        <w:tc>
          <w:tcPr>
            <w:tcW w:w="4115" w:type="dxa"/>
          </w:tcPr>
          <w:p w14:paraId="0000003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Complement and coagulation cascades</w:t>
            </w:r>
          </w:p>
        </w:tc>
        <w:tc>
          <w:tcPr>
            <w:tcW w:w="1223" w:type="dxa"/>
          </w:tcPr>
          <w:p w14:paraId="0000003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810" w:type="dxa"/>
          </w:tcPr>
          <w:p w14:paraId="0000003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</w:tcPr>
          <w:p w14:paraId="0000003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5636C" w14:paraId="6CC8A93B" w14:textId="77777777">
        <w:tc>
          <w:tcPr>
            <w:tcW w:w="4115" w:type="dxa"/>
            <w:shd w:val="clear" w:color="auto" w:fill="CCCCCC"/>
          </w:tcPr>
          <w:p w14:paraId="0000003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MicroRNAs in cancer</w:t>
            </w:r>
          </w:p>
        </w:tc>
        <w:tc>
          <w:tcPr>
            <w:tcW w:w="1223" w:type="dxa"/>
            <w:shd w:val="clear" w:color="auto" w:fill="CCCCCC"/>
          </w:tcPr>
          <w:p w14:paraId="0000003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810" w:type="dxa"/>
            <w:shd w:val="clear" w:color="auto" w:fill="CCCCCC"/>
          </w:tcPr>
          <w:p w14:paraId="0000003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450" w:type="dxa"/>
            <w:shd w:val="clear" w:color="auto" w:fill="CCCCCC"/>
          </w:tcPr>
          <w:p w14:paraId="0000004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0000041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Uncorrected p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 (before rounding) considered over-represented; Bonferroni or FDR-corrected p-value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>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 considered statistically significant. FDR, false discovery rate.</w:t>
      </w:r>
    </w:p>
    <w:p w14:paraId="00000042" w14:textId="77777777" w:rsidR="00A5636C" w:rsidRDefault="006B2E18">
      <w:pPr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S2. </w:t>
      </w:r>
      <w:r>
        <w:rPr>
          <w:rFonts w:ascii="Times New Roman" w:eastAsia="Times New Roman" w:hAnsi="Times New Roman" w:cs="Times New Roman"/>
          <w:sz w:val="24"/>
          <w:szCs w:val="24"/>
        </w:rPr>
        <w:t>Top 5 statistically significant over-represented diseases.</w:t>
      </w:r>
    </w:p>
    <w:tbl>
      <w:tblPr>
        <w:tblStyle w:val="a0"/>
        <w:tblW w:w="9628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5582"/>
        <w:gridCol w:w="1276"/>
        <w:gridCol w:w="1097"/>
        <w:gridCol w:w="1673"/>
      </w:tblGrid>
      <w:tr w:rsidR="00A5636C" w14:paraId="691127E1" w14:textId="77777777">
        <w:trPr>
          <w:trHeight w:val="99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43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Disease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4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No.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 xml:space="preserve"> Genes (DE/All)</w:t>
            </w:r>
          </w:p>
        </w:tc>
        <w:tc>
          <w:tcPr>
            <w:tcW w:w="1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4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p-value</w:t>
            </w:r>
          </w:p>
        </w:tc>
        <w:tc>
          <w:tcPr>
            <w:tcW w:w="16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000004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FDR-adjusted p-value</w:t>
            </w:r>
          </w:p>
        </w:tc>
      </w:tr>
      <w:tr w:rsidR="00A5636C" w14:paraId="5233CEDC" w14:textId="77777777">
        <w:trPr>
          <w:trHeight w:val="301"/>
        </w:trPr>
        <w:tc>
          <w:tcPr>
            <w:tcW w:w="5582" w:type="dxa"/>
            <w:shd w:val="clear" w:color="auto" w:fill="CCCCCC"/>
          </w:tcPr>
          <w:p w14:paraId="00000047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Citrullinemia</w:t>
            </w:r>
          </w:p>
        </w:tc>
        <w:tc>
          <w:tcPr>
            <w:tcW w:w="1276" w:type="dxa"/>
            <w:shd w:val="clear" w:color="auto" w:fill="CCCCCC"/>
            <w:vAlign w:val="center"/>
          </w:tcPr>
          <w:p w14:paraId="0000004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 1</w:t>
            </w:r>
          </w:p>
        </w:tc>
        <w:tc>
          <w:tcPr>
            <w:tcW w:w="1097" w:type="dxa"/>
            <w:shd w:val="clear" w:color="auto" w:fill="CCCCCC"/>
            <w:vAlign w:val="center"/>
          </w:tcPr>
          <w:p w14:paraId="0000004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673" w:type="dxa"/>
            <w:shd w:val="clear" w:color="auto" w:fill="CCCCCC"/>
            <w:vAlign w:val="center"/>
          </w:tcPr>
          <w:p w14:paraId="0000004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A5636C" w14:paraId="2893ABE2" w14:textId="77777777">
        <w:trPr>
          <w:trHeight w:val="301"/>
        </w:trPr>
        <w:tc>
          <w:tcPr>
            <w:tcW w:w="5582" w:type="dxa"/>
          </w:tcPr>
          <w:p w14:paraId="0000004B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Paget's disease of bone and related disorders</w:t>
            </w:r>
          </w:p>
        </w:tc>
        <w:tc>
          <w:tcPr>
            <w:tcW w:w="1276" w:type="dxa"/>
            <w:vAlign w:val="center"/>
          </w:tcPr>
          <w:p w14:paraId="0000004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 2</w:t>
            </w:r>
          </w:p>
        </w:tc>
        <w:tc>
          <w:tcPr>
            <w:tcW w:w="1097" w:type="dxa"/>
            <w:vAlign w:val="center"/>
          </w:tcPr>
          <w:p w14:paraId="0000004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673" w:type="dxa"/>
            <w:vAlign w:val="center"/>
          </w:tcPr>
          <w:p w14:paraId="0000004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A5636C" w14:paraId="4435CE66" w14:textId="77777777">
        <w:trPr>
          <w:trHeight w:val="301"/>
        </w:trPr>
        <w:tc>
          <w:tcPr>
            <w:tcW w:w="5582" w:type="dxa"/>
            <w:shd w:val="clear" w:color="auto" w:fill="CCCCCC"/>
          </w:tcPr>
          <w:p w14:paraId="0000004F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Endometriosis</w:t>
            </w:r>
          </w:p>
        </w:tc>
        <w:tc>
          <w:tcPr>
            <w:tcW w:w="1276" w:type="dxa"/>
            <w:shd w:val="clear" w:color="auto" w:fill="CCCCCC"/>
            <w:vAlign w:val="center"/>
          </w:tcPr>
          <w:p w14:paraId="0000005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 3</w:t>
            </w:r>
          </w:p>
        </w:tc>
        <w:tc>
          <w:tcPr>
            <w:tcW w:w="1097" w:type="dxa"/>
            <w:shd w:val="clear" w:color="auto" w:fill="CCCCCC"/>
            <w:vAlign w:val="center"/>
          </w:tcPr>
          <w:p w14:paraId="0000005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673" w:type="dxa"/>
            <w:shd w:val="clear" w:color="auto" w:fill="CCCCCC"/>
            <w:vAlign w:val="center"/>
          </w:tcPr>
          <w:p w14:paraId="0000005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A5636C" w14:paraId="5F3BFBF7" w14:textId="77777777">
        <w:trPr>
          <w:trHeight w:val="301"/>
        </w:trPr>
        <w:tc>
          <w:tcPr>
            <w:tcW w:w="5582" w:type="dxa"/>
          </w:tcPr>
          <w:p w14:paraId="00000053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Epidermolysis bullosa, junctional</w:t>
            </w:r>
          </w:p>
        </w:tc>
        <w:tc>
          <w:tcPr>
            <w:tcW w:w="1276" w:type="dxa"/>
            <w:vAlign w:val="center"/>
          </w:tcPr>
          <w:p w14:paraId="0000005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 4</w:t>
            </w:r>
          </w:p>
        </w:tc>
        <w:tc>
          <w:tcPr>
            <w:tcW w:w="1097" w:type="dxa"/>
            <w:vAlign w:val="center"/>
          </w:tcPr>
          <w:p w14:paraId="0000005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73" w:type="dxa"/>
            <w:vAlign w:val="center"/>
          </w:tcPr>
          <w:p w14:paraId="0000005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A5636C" w14:paraId="1B3E1590" w14:textId="77777777">
        <w:trPr>
          <w:trHeight w:val="301"/>
        </w:trPr>
        <w:tc>
          <w:tcPr>
            <w:tcW w:w="5582" w:type="dxa"/>
            <w:shd w:val="clear" w:color="auto" w:fill="CCCCCC"/>
          </w:tcPr>
          <w:p w14:paraId="00000057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Avascular necrosis of the femoral head /</w:t>
            </w:r>
          </w:p>
          <w:p w14:paraId="00000058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Osteonecrosis of the femoral head</w:t>
            </w:r>
          </w:p>
        </w:tc>
        <w:tc>
          <w:tcPr>
            <w:tcW w:w="1276" w:type="dxa"/>
            <w:shd w:val="clear" w:color="auto" w:fill="CCCCCC"/>
            <w:vAlign w:val="center"/>
          </w:tcPr>
          <w:p w14:paraId="0000005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/ 4</w:t>
            </w:r>
          </w:p>
        </w:tc>
        <w:tc>
          <w:tcPr>
            <w:tcW w:w="1097" w:type="dxa"/>
            <w:shd w:val="clear" w:color="auto" w:fill="CCCCCC"/>
            <w:vAlign w:val="center"/>
          </w:tcPr>
          <w:p w14:paraId="0000005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73" w:type="dxa"/>
            <w:shd w:val="clear" w:color="auto" w:fill="CCCCCC"/>
            <w:vAlign w:val="center"/>
          </w:tcPr>
          <w:p w14:paraId="0000005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</w:tbl>
    <w:p w14:paraId="0000005C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Uncorrected p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>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 considered over-represented; FDR-corrected p-value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>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 considered statistically significant.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DE,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differentially expressed; FDR, false discov</w:t>
      </w:r>
      <w:r>
        <w:rPr>
          <w:rFonts w:ascii="Times New Roman" w:eastAsia="Times New Roman" w:hAnsi="Times New Roman" w:cs="Times New Roman"/>
          <w:sz w:val="20"/>
          <w:szCs w:val="20"/>
        </w:rPr>
        <w:t>ery rate.</w:t>
      </w:r>
    </w:p>
    <w:p w14:paraId="0000005D" w14:textId="77777777" w:rsidR="00A5636C" w:rsidRDefault="006B2E18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0000005E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S3. </w:t>
      </w:r>
      <w:r>
        <w:rPr>
          <w:rFonts w:ascii="Times New Roman" w:eastAsia="Times New Roman" w:hAnsi="Times New Roman" w:cs="Times New Roman"/>
          <w:sz w:val="24"/>
          <w:szCs w:val="24"/>
        </w:rPr>
        <w:t>Average cytokine levels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/mL) by matched RvE1 treatment of T2D (N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3) and healthy (N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3) neutrophils in cell culture.</w:t>
      </w:r>
    </w:p>
    <w:tbl>
      <w:tblPr>
        <w:tblStyle w:val="a1"/>
        <w:tblW w:w="10699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06"/>
        <w:gridCol w:w="844"/>
        <w:gridCol w:w="739"/>
        <w:gridCol w:w="832"/>
        <w:gridCol w:w="830"/>
        <w:gridCol w:w="738"/>
        <w:gridCol w:w="832"/>
        <w:gridCol w:w="828"/>
        <w:gridCol w:w="738"/>
        <w:gridCol w:w="828"/>
        <w:gridCol w:w="828"/>
        <w:gridCol w:w="830"/>
        <w:gridCol w:w="826"/>
      </w:tblGrid>
      <w:tr w:rsidR="00A5636C" w14:paraId="37CDFF31" w14:textId="77777777">
        <w:trPr>
          <w:trHeight w:val="510"/>
        </w:trPr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5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Cytokine</w:t>
            </w:r>
          </w:p>
        </w:tc>
        <w:tc>
          <w:tcPr>
            <w:tcW w:w="8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6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Healthy (0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6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T2D (0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  <w:shd w:val="clear" w:color="auto" w:fill="000000"/>
          </w:tcPr>
          <w:p w14:paraId="0000006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p-value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  <w:shd w:val="clear" w:color="auto" w:fill="000000"/>
          </w:tcPr>
          <w:p w14:paraId="0000006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Healthy (1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7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6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T2D (1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  <w:shd w:val="clear" w:color="auto" w:fill="000000"/>
          </w:tcPr>
          <w:p w14:paraId="0000006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p-value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  <w:shd w:val="clear" w:color="auto" w:fill="000000"/>
          </w:tcPr>
          <w:p w14:paraId="0000006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Healthy (10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7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6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T2D (10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  <w:shd w:val="clear" w:color="auto" w:fill="000000"/>
          </w:tcPr>
          <w:p w14:paraId="0000006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p-value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  <w:shd w:val="clear" w:color="auto" w:fill="000000"/>
          </w:tcPr>
          <w:p w14:paraId="0000006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Healthy (100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8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6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Mean T2D (100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 xml:space="preserve"> RvE1)</w:t>
            </w:r>
          </w:p>
        </w:tc>
        <w:tc>
          <w:tcPr>
            <w:tcW w:w="8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000006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p-value</w:t>
            </w:r>
          </w:p>
        </w:tc>
      </w:tr>
      <w:tr w:rsidR="00A5636C" w14:paraId="74C3D862" w14:textId="77777777">
        <w:trPr>
          <w:trHeight w:val="255"/>
        </w:trPr>
        <w:tc>
          <w:tcPr>
            <w:tcW w:w="1007" w:type="dxa"/>
            <w:shd w:val="clear" w:color="auto" w:fill="CCCCCC"/>
          </w:tcPr>
          <w:p w14:paraId="0000006C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MIP-1α</w:t>
            </w:r>
          </w:p>
        </w:tc>
        <w:tc>
          <w:tcPr>
            <w:tcW w:w="844" w:type="dxa"/>
            <w:shd w:val="clear" w:color="auto" w:fill="CCCCCC"/>
          </w:tcPr>
          <w:p w14:paraId="0000006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9" w:type="dxa"/>
            <w:shd w:val="clear" w:color="auto" w:fill="CCCCCC"/>
          </w:tcPr>
          <w:p w14:paraId="0000006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11.2</w:t>
            </w:r>
          </w:p>
        </w:tc>
        <w:tc>
          <w:tcPr>
            <w:tcW w:w="832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CCCCCC"/>
          </w:tcPr>
          <w:p w14:paraId="0000006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830" w:type="dxa"/>
            <w:tcBorders>
              <w:left w:val="single" w:sz="12" w:space="0" w:color="000000"/>
            </w:tcBorders>
            <w:shd w:val="clear" w:color="auto" w:fill="CCCCCC"/>
          </w:tcPr>
          <w:p w14:paraId="0000007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11.2</w:t>
            </w:r>
          </w:p>
        </w:tc>
        <w:tc>
          <w:tcPr>
            <w:tcW w:w="738" w:type="dxa"/>
            <w:shd w:val="clear" w:color="auto" w:fill="CCCCCC"/>
          </w:tcPr>
          <w:p w14:paraId="0000007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15.7</w:t>
            </w:r>
          </w:p>
        </w:tc>
        <w:tc>
          <w:tcPr>
            <w:tcW w:w="832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CCCCCC"/>
          </w:tcPr>
          <w:p w14:paraId="0000007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7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</w:t>
            </w:r>
          </w:p>
        </w:tc>
        <w:tc>
          <w:tcPr>
            <w:tcW w:w="738" w:type="dxa"/>
            <w:shd w:val="clear" w:color="auto" w:fill="CCCCCC"/>
          </w:tcPr>
          <w:p w14:paraId="0000007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21.5</w:t>
            </w:r>
          </w:p>
        </w:tc>
        <w:tc>
          <w:tcPr>
            <w:tcW w:w="828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CCCCCC"/>
          </w:tcPr>
          <w:p w14:paraId="0000007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7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34.2</w:t>
            </w:r>
          </w:p>
        </w:tc>
        <w:tc>
          <w:tcPr>
            <w:tcW w:w="830" w:type="dxa"/>
            <w:shd w:val="clear" w:color="auto" w:fill="CCCCCC"/>
          </w:tcPr>
          <w:p w14:paraId="0000007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22.5</w:t>
            </w:r>
          </w:p>
        </w:tc>
        <w:tc>
          <w:tcPr>
            <w:tcW w:w="826" w:type="dxa"/>
            <w:shd w:val="clear" w:color="auto" w:fill="CCCCCC"/>
          </w:tcPr>
          <w:p w14:paraId="0000007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0.71</w:t>
            </w:r>
          </w:p>
        </w:tc>
      </w:tr>
      <w:tr w:rsidR="00A5636C" w14:paraId="185122C9" w14:textId="77777777">
        <w:trPr>
          <w:trHeight w:val="255"/>
        </w:trPr>
        <w:tc>
          <w:tcPr>
            <w:tcW w:w="1007" w:type="dxa"/>
          </w:tcPr>
          <w:p w14:paraId="0000007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IL-4</w:t>
            </w:r>
          </w:p>
        </w:tc>
        <w:tc>
          <w:tcPr>
            <w:tcW w:w="844" w:type="dxa"/>
          </w:tcPr>
          <w:p w14:paraId="0000007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739" w:type="dxa"/>
          </w:tcPr>
          <w:p w14:paraId="0000007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7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30" w:type="dxa"/>
            <w:tcBorders>
              <w:left w:val="single" w:sz="12" w:space="0" w:color="000000"/>
            </w:tcBorders>
          </w:tcPr>
          <w:p w14:paraId="0000007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738" w:type="dxa"/>
          </w:tcPr>
          <w:p w14:paraId="0000007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157.2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7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8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738" w:type="dxa"/>
          </w:tcPr>
          <w:p w14:paraId="0000008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828" w:type="dxa"/>
            <w:tcBorders>
              <w:right w:val="single" w:sz="12" w:space="0" w:color="000000"/>
            </w:tcBorders>
          </w:tcPr>
          <w:p w14:paraId="0000008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8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830" w:type="dxa"/>
          </w:tcPr>
          <w:p w14:paraId="0000008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826" w:type="dxa"/>
          </w:tcPr>
          <w:p w14:paraId="0000008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A5636C" w14:paraId="7BB0442B" w14:textId="77777777">
        <w:trPr>
          <w:trHeight w:val="255"/>
        </w:trPr>
        <w:tc>
          <w:tcPr>
            <w:tcW w:w="1007" w:type="dxa"/>
            <w:shd w:val="clear" w:color="auto" w:fill="CCCCCC"/>
          </w:tcPr>
          <w:p w14:paraId="00000086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IL-8</w:t>
            </w:r>
          </w:p>
        </w:tc>
        <w:tc>
          <w:tcPr>
            <w:tcW w:w="844" w:type="dxa"/>
            <w:shd w:val="clear" w:color="auto" w:fill="CCCCCC"/>
          </w:tcPr>
          <w:p w14:paraId="0000008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394.2</w:t>
            </w:r>
          </w:p>
        </w:tc>
        <w:tc>
          <w:tcPr>
            <w:tcW w:w="739" w:type="dxa"/>
            <w:shd w:val="clear" w:color="auto" w:fill="CCCCCC"/>
          </w:tcPr>
          <w:p w14:paraId="0000008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310.4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8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830" w:type="dxa"/>
            <w:tcBorders>
              <w:left w:val="single" w:sz="12" w:space="0" w:color="000000"/>
            </w:tcBorders>
            <w:shd w:val="clear" w:color="auto" w:fill="CCCCCC"/>
          </w:tcPr>
          <w:p w14:paraId="0000008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416.4</w:t>
            </w:r>
          </w:p>
        </w:tc>
        <w:tc>
          <w:tcPr>
            <w:tcW w:w="738" w:type="dxa"/>
            <w:shd w:val="clear" w:color="auto" w:fill="CCCCCC"/>
          </w:tcPr>
          <w:p w14:paraId="0000008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322.7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8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8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385.9</w:t>
            </w:r>
          </w:p>
        </w:tc>
        <w:tc>
          <w:tcPr>
            <w:tcW w:w="738" w:type="dxa"/>
            <w:shd w:val="clear" w:color="auto" w:fill="CCCCCC"/>
          </w:tcPr>
          <w:p w14:paraId="0000008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334.2</w:t>
            </w:r>
          </w:p>
        </w:tc>
        <w:tc>
          <w:tcPr>
            <w:tcW w:w="828" w:type="dxa"/>
            <w:tcBorders>
              <w:right w:val="single" w:sz="12" w:space="0" w:color="000000"/>
            </w:tcBorders>
            <w:shd w:val="clear" w:color="auto" w:fill="CCCCCC"/>
          </w:tcPr>
          <w:p w14:paraId="0000008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9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554.8</w:t>
            </w:r>
          </w:p>
        </w:tc>
        <w:tc>
          <w:tcPr>
            <w:tcW w:w="830" w:type="dxa"/>
            <w:shd w:val="clear" w:color="auto" w:fill="CCCCCC"/>
          </w:tcPr>
          <w:p w14:paraId="0000009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338.7</w:t>
            </w:r>
          </w:p>
        </w:tc>
        <w:tc>
          <w:tcPr>
            <w:tcW w:w="826" w:type="dxa"/>
            <w:shd w:val="clear" w:color="auto" w:fill="CCCCCC"/>
          </w:tcPr>
          <w:p w14:paraId="0000009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A5636C" w14:paraId="34342CF1" w14:textId="77777777">
        <w:trPr>
          <w:trHeight w:val="255"/>
        </w:trPr>
        <w:tc>
          <w:tcPr>
            <w:tcW w:w="1007" w:type="dxa"/>
          </w:tcPr>
          <w:p w14:paraId="00000093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MIP-1β</w:t>
            </w:r>
          </w:p>
        </w:tc>
        <w:tc>
          <w:tcPr>
            <w:tcW w:w="844" w:type="dxa"/>
          </w:tcPr>
          <w:p w14:paraId="0000009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80.4</w:t>
            </w:r>
          </w:p>
        </w:tc>
        <w:tc>
          <w:tcPr>
            <w:tcW w:w="739" w:type="dxa"/>
          </w:tcPr>
          <w:p w14:paraId="0000009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9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830" w:type="dxa"/>
            <w:tcBorders>
              <w:left w:val="single" w:sz="12" w:space="0" w:color="000000"/>
            </w:tcBorders>
          </w:tcPr>
          <w:p w14:paraId="0000009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83.5</w:t>
            </w:r>
          </w:p>
        </w:tc>
        <w:tc>
          <w:tcPr>
            <w:tcW w:w="738" w:type="dxa"/>
          </w:tcPr>
          <w:p w14:paraId="0000009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82.2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9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9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115.5</w:t>
            </w:r>
          </w:p>
        </w:tc>
        <w:tc>
          <w:tcPr>
            <w:tcW w:w="738" w:type="dxa"/>
          </w:tcPr>
          <w:p w14:paraId="0000009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93.7</w:t>
            </w:r>
          </w:p>
        </w:tc>
        <w:tc>
          <w:tcPr>
            <w:tcW w:w="828" w:type="dxa"/>
            <w:tcBorders>
              <w:right w:val="single" w:sz="12" w:space="0" w:color="000000"/>
            </w:tcBorders>
          </w:tcPr>
          <w:p w14:paraId="0000009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9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239.9</w:t>
            </w:r>
          </w:p>
        </w:tc>
        <w:tc>
          <w:tcPr>
            <w:tcW w:w="830" w:type="dxa"/>
          </w:tcPr>
          <w:p w14:paraId="0000009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137.4</w:t>
            </w:r>
          </w:p>
        </w:tc>
        <w:tc>
          <w:tcPr>
            <w:tcW w:w="826" w:type="dxa"/>
          </w:tcPr>
          <w:p w14:paraId="0000009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</w:t>
            </w:r>
          </w:p>
        </w:tc>
      </w:tr>
      <w:tr w:rsidR="00A5636C" w14:paraId="50ACF530" w14:textId="77777777">
        <w:trPr>
          <w:trHeight w:val="255"/>
        </w:trPr>
        <w:tc>
          <w:tcPr>
            <w:tcW w:w="1007" w:type="dxa"/>
            <w:shd w:val="clear" w:color="auto" w:fill="CCCCCC"/>
          </w:tcPr>
          <w:p w14:paraId="000000A0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P-Selectin</w:t>
            </w:r>
          </w:p>
        </w:tc>
        <w:tc>
          <w:tcPr>
            <w:tcW w:w="844" w:type="dxa"/>
            <w:shd w:val="clear" w:color="auto" w:fill="CCCCCC"/>
          </w:tcPr>
          <w:p w14:paraId="000000A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1219</w:t>
            </w:r>
          </w:p>
        </w:tc>
        <w:tc>
          <w:tcPr>
            <w:tcW w:w="739" w:type="dxa"/>
            <w:shd w:val="clear" w:color="auto" w:fill="CCCCCC"/>
          </w:tcPr>
          <w:p w14:paraId="000000A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1737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A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830" w:type="dxa"/>
            <w:tcBorders>
              <w:left w:val="single" w:sz="12" w:space="0" w:color="000000"/>
            </w:tcBorders>
            <w:shd w:val="clear" w:color="auto" w:fill="CCCCCC"/>
          </w:tcPr>
          <w:p w14:paraId="000000A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1219</w:t>
            </w:r>
          </w:p>
        </w:tc>
        <w:tc>
          <w:tcPr>
            <w:tcW w:w="738" w:type="dxa"/>
            <w:shd w:val="clear" w:color="auto" w:fill="CCCCCC"/>
          </w:tcPr>
          <w:p w14:paraId="000000A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1937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A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A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1090</w:t>
            </w:r>
          </w:p>
        </w:tc>
        <w:tc>
          <w:tcPr>
            <w:tcW w:w="738" w:type="dxa"/>
            <w:shd w:val="clear" w:color="auto" w:fill="CCCCCC"/>
          </w:tcPr>
          <w:p w14:paraId="000000A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1578</w:t>
            </w:r>
          </w:p>
        </w:tc>
        <w:tc>
          <w:tcPr>
            <w:tcW w:w="828" w:type="dxa"/>
            <w:tcBorders>
              <w:right w:val="single" w:sz="12" w:space="0" w:color="000000"/>
            </w:tcBorders>
            <w:shd w:val="clear" w:color="auto" w:fill="CCCCCC"/>
          </w:tcPr>
          <w:p w14:paraId="000000A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A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1511</w:t>
            </w:r>
          </w:p>
        </w:tc>
        <w:tc>
          <w:tcPr>
            <w:tcW w:w="830" w:type="dxa"/>
            <w:shd w:val="clear" w:color="auto" w:fill="CCCCCC"/>
          </w:tcPr>
          <w:p w14:paraId="000000A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1751</w:t>
            </w:r>
          </w:p>
        </w:tc>
        <w:tc>
          <w:tcPr>
            <w:tcW w:w="826" w:type="dxa"/>
            <w:shd w:val="clear" w:color="auto" w:fill="CCCCCC"/>
          </w:tcPr>
          <w:p w14:paraId="000000A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0.76</w:t>
            </w:r>
          </w:p>
        </w:tc>
      </w:tr>
      <w:tr w:rsidR="00A5636C" w14:paraId="164711E6" w14:textId="77777777">
        <w:trPr>
          <w:trHeight w:val="255"/>
        </w:trPr>
        <w:tc>
          <w:tcPr>
            <w:tcW w:w="1007" w:type="dxa"/>
          </w:tcPr>
          <w:p w14:paraId="000000A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sICAM-1</w:t>
            </w:r>
          </w:p>
        </w:tc>
        <w:tc>
          <w:tcPr>
            <w:tcW w:w="844" w:type="dxa"/>
          </w:tcPr>
          <w:p w14:paraId="000000A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555.8</w:t>
            </w:r>
          </w:p>
        </w:tc>
        <w:tc>
          <w:tcPr>
            <w:tcW w:w="739" w:type="dxa"/>
          </w:tcPr>
          <w:p w14:paraId="000000A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493.1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B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30" w:type="dxa"/>
            <w:tcBorders>
              <w:left w:val="single" w:sz="12" w:space="0" w:color="000000"/>
            </w:tcBorders>
          </w:tcPr>
          <w:p w14:paraId="000000B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469.3</w:t>
            </w:r>
          </w:p>
        </w:tc>
        <w:tc>
          <w:tcPr>
            <w:tcW w:w="738" w:type="dxa"/>
          </w:tcPr>
          <w:p w14:paraId="000000B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481.2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B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B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469.3</w:t>
            </w:r>
          </w:p>
        </w:tc>
        <w:tc>
          <w:tcPr>
            <w:tcW w:w="738" w:type="dxa"/>
          </w:tcPr>
          <w:p w14:paraId="000000B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445.6</w:t>
            </w:r>
          </w:p>
        </w:tc>
        <w:tc>
          <w:tcPr>
            <w:tcW w:w="828" w:type="dxa"/>
            <w:tcBorders>
              <w:right w:val="single" w:sz="12" w:space="0" w:color="000000"/>
            </w:tcBorders>
          </w:tcPr>
          <w:p w14:paraId="000000B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B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516.9</w:t>
            </w:r>
          </w:p>
        </w:tc>
        <w:tc>
          <w:tcPr>
            <w:tcW w:w="830" w:type="dxa"/>
          </w:tcPr>
          <w:p w14:paraId="000000B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445.6</w:t>
            </w:r>
          </w:p>
        </w:tc>
        <w:tc>
          <w:tcPr>
            <w:tcW w:w="826" w:type="dxa"/>
          </w:tcPr>
          <w:p w14:paraId="000000B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A5636C" w14:paraId="3F8667C4" w14:textId="77777777">
        <w:trPr>
          <w:trHeight w:val="255"/>
        </w:trPr>
        <w:tc>
          <w:tcPr>
            <w:tcW w:w="1007" w:type="dxa"/>
            <w:shd w:val="clear" w:color="auto" w:fill="CCCCCC"/>
          </w:tcPr>
          <w:p w14:paraId="000000BA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TNF-α</w:t>
            </w:r>
          </w:p>
        </w:tc>
        <w:tc>
          <w:tcPr>
            <w:tcW w:w="844" w:type="dxa"/>
            <w:shd w:val="clear" w:color="auto" w:fill="CCCCCC"/>
          </w:tcPr>
          <w:p w14:paraId="000000B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39" w:type="dxa"/>
            <w:shd w:val="clear" w:color="auto" w:fill="CCCCCC"/>
          </w:tcPr>
          <w:p w14:paraId="000000B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B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30" w:type="dxa"/>
            <w:tcBorders>
              <w:left w:val="single" w:sz="12" w:space="0" w:color="000000"/>
            </w:tcBorders>
            <w:shd w:val="clear" w:color="auto" w:fill="CCCCCC"/>
          </w:tcPr>
          <w:p w14:paraId="000000B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38" w:type="dxa"/>
            <w:shd w:val="clear" w:color="auto" w:fill="CCCCCC"/>
          </w:tcPr>
          <w:p w14:paraId="000000B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17.6</w:t>
            </w:r>
          </w:p>
        </w:tc>
        <w:tc>
          <w:tcPr>
            <w:tcW w:w="832" w:type="dxa"/>
            <w:tcBorders>
              <w:right w:val="single" w:sz="12" w:space="0" w:color="000000"/>
            </w:tcBorders>
            <w:shd w:val="clear" w:color="auto" w:fill="CCCCCC"/>
          </w:tcPr>
          <w:p w14:paraId="000000C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C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22.9</w:t>
            </w:r>
          </w:p>
        </w:tc>
        <w:tc>
          <w:tcPr>
            <w:tcW w:w="738" w:type="dxa"/>
            <w:shd w:val="clear" w:color="auto" w:fill="CCCCCC"/>
          </w:tcPr>
          <w:p w14:paraId="000000C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21.7</w:t>
            </w:r>
          </w:p>
        </w:tc>
        <w:tc>
          <w:tcPr>
            <w:tcW w:w="828" w:type="dxa"/>
            <w:tcBorders>
              <w:right w:val="single" w:sz="12" w:space="0" w:color="000000"/>
            </w:tcBorders>
            <w:shd w:val="clear" w:color="auto" w:fill="CCCCCC"/>
          </w:tcPr>
          <w:p w14:paraId="000000C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828" w:type="dxa"/>
            <w:tcBorders>
              <w:left w:val="single" w:sz="12" w:space="0" w:color="000000"/>
            </w:tcBorders>
            <w:shd w:val="clear" w:color="auto" w:fill="CCCCCC"/>
          </w:tcPr>
          <w:p w14:paraId="000000C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830" w:type="dxa"/>
            <w:shd w:val="clear" w:color="auto" w:fill="CCCCCC"/>
          </w:tcPr>
          <w:p w14:paraId="000000C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826" w:type="dxa"/>
            <w:shd w:val="clear" w:color="auto" w:fill="CCCCCC"/>
          </w:tcPr>
          <w:p w14:paraId="000000C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0.68</w:t>
            </w:r>
          </w:p>
        </w:tc>
      </w:tr>
      <w:tr w:rsidR="00A5636C" w14:paraId="2247A16C" w14:textId="77777777">
        <w:trPr>
          <w:trHeight w:val="255"/>
        </w:trPr>
        <w:tc>
          <w:tcPr>
            <w:tcW w:w="1007" w:type="dxa"/>
          </w:tcPr>
          <w:p w14:paraId="000000C7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IL-1α</w:t>
            </w:r>
          </w:p>
        </w:tc>
        <w:tc>
          <w:tcPr>
            <w:tcW w:w="844" w:type="dxa"/>
          </w:tcPr>
          <w:p w14:paraId="000000C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</w:t>
            </w:r>
          </w:p>
        </w:tc>
        <w:tc>
          <w:tcPr>
            <w:tcW w:w="739" w:type="dxa"/>
          </w:tcPr>
          <w:p w14:paraId="000000C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C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830" w:type="dxa"/>
            <w:tcBorders>
              <w:left w:val="single" w:sz="12" w:space="0" w:color="000000"/>
            </w:tcBorders>
          </w:tcPr>
          <w:p w14:paraId="000000C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738" w:type="dxa"/>
          </w:tcPr>
          <w:p w14:paraId="000000C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832" w:type="dxa"/>
            <w:tcBorders>
              <w:right w:val="single" w:sz="12" w:space="0" w:color="000000"/>
            </w:tcBorders>
          </w:tcPr>
          <w:p w14:paraId="000000C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C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6.1</w:t>
            </w:r>
          </w:p>
        </w:tc>
        <w:tc>
          <w:tcPr>
            <w:tcW w:w="738" w:type="dxa"/>
          </w:tcPr>
          <w:p w14:paraId="000000C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828" w:type="dxa"/>
            <w:tcBorders>
              <w:right w:val="single" w:sz="12" w:space="0" w:color="000000"/>
            </w:tcBorders>
          </w:tcPr>
          <w:p w14:paraId="000000D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828" w:type="dxa"/>
            <w:tcBorders>
              <w:left w:val="single" w:sz="12" w:space="0" w:color="000000"/>
            </w:tcBorders>
          </w:tcPr>
          <w:p w14:paraId="000000D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10.8</w:t>
            </w:r>
          </w:p>
        </w:tc>
        <w:tc>
          <w:tcPr>
            <w:tcW w:w="830" w:type="dxa"/>
          </w:tcPr>
          <w:p w14:paraId="000000D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826" w:type="dxa"/>
          </w:tcPr>
          <w:p w14:paraId="000000D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</w:tr>
    </w:tbl>
    <w:p w14:paraId="000000D4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-values calculated by unpaired t-tests, where possible. Significance threshold: p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>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0.05. RvE1,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resolvin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E1; T2D, type 2 diabetes.</w:t>
      </w:r>
    </w:p>
    <w:p w14:paraId="000000D5" w14:textId="77777777" w:rsidR="00A5636C" w:rsidRDefault="00A5636C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D6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S4. </w:t>
      </w:r>
      <w:r>
        <w:rPr>
          <w:rFonts w:ascii="Times New Roman" w:eastAsia="Times New Roman" w:hAnsi="Times New Roman" w:cs="Times New Roman"/>
          <w:sz w:val="24"/>
          <w:szCs w:val="24"/>
        </w:rPr>
        <w:t>Average cytokine levels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/mL) by differing RvE1 treatment of T2D (N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3) and healthy (N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3) neutrophils in cell culture.</w:t>
      </w:r>
    </w:p>
    <w:tbl>
      <w:tblPr>
        <w:tblStyle w:val="a2"/>
        <w:tblW w:w="10219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022"/>
        <w:gridCol w:w="1022"/>
        <w:gridCol w:w="1022"/>
        <w:gridCol w:w="1022"/>
        <w:gridCol w:w="1022"/>
        <w:gridCol w:w="1022"/>
        <w:gridCol w:w="1022"/>
        <w:gridCol w:w="1022"/>
        <w:gridCol w:w="1022"/>
      </w:tblGrid>
      <w:tr w:rsidR="00A5636C" w14:paraId="31087032" w14:textId="77777777">
        <w:trPr>
          <w:trHeight w:val="525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D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Cytokine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D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Healthy (0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D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Healthy (100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  <w:shd w:val="clear" w:color="auto" w:fill="000000"/>
          </w:tcPr>
          <w:p w14:paraId="000000D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p-value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  <w:shd w:val="clear" w:color="auto" w:fill="000000"/>
          </w:tcPr>
          <w:p w14:paraId="000000D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T2D (0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D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T2D (100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  <w:shd w:val="clear" w:color="auto" w:fill="000000"/>
          </w:tcPr>
          <w:p w14:paraId="000000D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p-value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  <w:shd w:val="clear" w:color="auto" w:fill="000000"/>
          </w:tcPr>
          <w:p w14:paraId="000000D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Healthy (0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000000"/>
          </w:tcPr>
          <w:p w14:paraId="000000D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Mean T2D (100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  <w:highlight w:val="yellow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 xml:space="preserve"> RvE1)</w:t>
            </w:r>
          </w:p>
        </w:tc>
        <w:tc>
          <w:tcPr>
            <w:tcW w:w="10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00000E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18"/>
                <w:szCs w:val="18"/>
              </w:rPr>
              <w:t>p-value</w:t>
            </w:r>
          </w:p>
        </w:tc>
      </w:tr>
      <w:tr w:rsidR="00A5636C" w14:paraId="2BC4FE57" w14:textId="77777777">
        <w:trPr>
          <w:trHeight w:val="300"/>
        </w:trPr>
        <w:tc>
          <w:tcPr>
            <w:tcW w:w="1021" w:type="dxa"/>
            <w:shd w:val="clear" w:color="auto" w:fill="CCCCCC"/>
          </w:tcPr>
          <w:p w14:paraId="000000E1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MIP-1α</w:t>
            </w:r>
          </w:p>
        </w:tc>
        <w:tc>
          <w:tcPr>
            <w:tcW w:w="1022" w:type="dxa"/>
            <w:shd w:val="clear" w:color="auto" w:fill="CCCCCC"/>
          </w:tcPr>
          <w:p w14:paraId="000000E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22" w:type="dxa"/>
            <w:shd w:val="clear" w:color="auto" w:fill="CCCCCC"/>
          </w:tcPr>
          <w:p w14:paraId="000000E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34.2</w:t>
            </w:r>
          </w:p>
        </w:tc>
        <w:tc>
          <w:tcPr>
            <w:tcW w:w="1022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CCCCCC"/>
          </w:tcPr>
          <w:p w14:paraId="000000E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0E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022" w:type="dxa"/>
            <w:shd w:val="clear" w:color="auto" w:fill="CCCCCC"/>
          </w:tcPr>
          <w:p w14:paraId="000000E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22.5</w:t>
            </w:r>
          </w:p>
        </w:tc>
        <w:tc>
          <w:tcPr>
            <w:tcW w:w="1022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CCCCCC"/>
          </w:tcPr>
          <w:p w14:paraId="000000E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0E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22" w:type="dxa"/>
            <w:shd w:val="clear" w:color="auto" w:fill="CCCCCC"/>
          </w:tcPr>
          <w:p w14:paraId="000000E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22.5</w:t>
            </w:r>
          </w:p>
        </w:tc>
        <w:tc>
          <w:tcPr>
            <w:tcW w:w="1022" w:type="dxa"/>
            <w:shd w:val="clear" w:color="auto" w:fill="CCCCCC"/>
          </w:tcPr>
          <w:p w14:paraId="000000E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A5636C" w14:paraId="3F5E10B8" w14:textId="77777777">
        <w:trPr>
          <w:trHeight w:val="300"/>
        </w:trPr>
        <w:tc>
          <w:tcPr>
            <w:tcW w:w="1021" w:type="dxa"/>
          </w:tcPr>
          <w:p w14:paraId="000000EB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IL-4</w:t>
            </w:r>
          </w:p>
        </w:tc>
        <w:tc>
          <w:tcPr>
            <w:tcW w:w="1022" w:type="dxa"/>
          </w:tcPr>
          <w:p w14:paraId="000000E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</w:tcPr>
          <w:p w14:paraId="000000E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0E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0E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</w:tcPr>
          <w:p w14:paraId="000000F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0F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0F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</w:tcPr>
          <w:p w14:paraId="000000F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022" w:type="dxa"/>
          </w:tcPr>
          <w:p w14:paraId="000000F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5636C" w14:paraId="16B436C4" w14:textId="77777777">
        <w:trPr>
          <w:trHeight w:val="300"/>
        </w:trPr>
        <w:tc>
          <w:tcPr>
            <w:tcW w:w="1021" w:type="dxa"/>
            <w:shd w:val="clear" w:color="auto" w:fill="CCCCCC"/>
          </w:tcPr>
          <w:p w14:paraId="000000F5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IL-8</w:t>
            </w:r>
          </w:p>
        </w:tc>
        <w:tc>
          <w:tcPr>
            <w:tcW w:w="1022" w:type="dxa"/>
            <w:shd w:val="clear" w:color="auto" w:fill="CCCCCC"/>
          </w:tcPr>
          <w:p w14:paraId="000000F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394.2</w:t>
            </w:r>
          </w:p>
        </w:tc>
        <w:tc>
          <w:tcPr>
            <w:tcW w:w="1022" w:type="dxa"/>
            <w:shd w:val="clear" w:color="auto" w:fill="CCCCCC"/>
          </w:tcPr>
          <w:p w14:paraId="000000F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554.8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0F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0F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310.4</w:t>
            </w:r>
          </w:p>
        </w:tc>
        <w:tc>
          <w:tcPr>
            <w:tcW w:w="1022" w:type="dxa"/>
            <w:shd w:val="clear" w:color="auto" w:fill="CCCCCC"/>
          </w:tcPr>
          <w:p w14:paraId="000000F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338.7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0F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0F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394.2</w:t>
            </w:r>
          </w:p>
        </w:tc>
        <w:tc>
          <w:tcPr>
            <w:tcW w:w="1022" w:type="dxa"/>
            <w:shd w:val="clear" w:color="auto" w:fill="CCCCCC"/>
          </w:tcPr>
          <w:p w14:paraId="000000F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338.7</w:t>
            </w:r>
          </w:p>
        </w:tc>
        <w:tc>
          <w:tcPr>
            <w:tcW w:w="1022" w:type="dxa"/>
            <w:shd w:val="clear" w:color="auto" w:fill="CCCCCC"/>
          </w:tcPr>
          <w:p w14:paraId="000000F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</w:tr>
      <w:tr w:rsidR="00A5636C" w14:paraId="1AA5C177" w14:textId="77777777">
        <w:trPr>
          <w:trHeight w:val="300"/>
        </w:trPr>
        <w:tc>
          <w:tcPr>
            <w:tcW w:w="1021" w:type="dxa"/>
          </w:tcPr>
          <w:p w14:paraId="000000FF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MIP-1β</w:t>
            </w:r>
          </w:p>
        </w:tc>
        <w:tc>
          <w:tcPr>
            <w:tcW w:w="1022" w:type="dxa"/>
          </w:tcPr>
          <w:p w14:paraId="0000010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80.4</w:t>
            </w:r>
          </w:p>
        </w:tc>
        <w:tc>
          <w:tcPr>
            <w:tcW w:w="1022" w:type="dxa"/>
          </w:tcPr>
          <w:p w14:paraId="0000010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239.9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0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0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022" w:type="dxa"/>
          </w:tcPr>
          <w:p w14:paraId="0000010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137.4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0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0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80.4</w:t>
            </w:r>
          </w:p>
        </w:tc>
        <w:tc>
          <w:tcPr>
            <w:tcW w:w="1022" w:type="dxa"/>
          </w:tcPr>
          <w:p w14:paraId="0000010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137.4</w:t>
            </w:r>
          </w:p>
        </w:tc>
        <w:tc>
          <w:tcPr>
            <w:tcW w:w="1022" w:type="dxa"/>
          </w:tcPr>
          <w:p w14:paraId="0000010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</w:tr>
      <w:tr w:rsidR="00A5636C" w14:paraId="63FBB7E9" w14:textId="77777777">
        <w:trPr>
          <w:trHeight w:val="300"/>
        </w:trPr>
        <w:tc>
          <w:tcPr>
            <w:tcW w:w="1021" w:type="dxa"/>
            <w:shd w:val="clear" w:color="auto" w:fill="CCCCCC"/>
          </w:tcPr>
          <w:p w14:paraId="00000109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P-Selectin</w:t>
            </w:r>
          </w:p>
        </w:tc>
        <w:tc>
          <w:tcPr>
            <w:tcW w:w="1022" w:type="dxa"/>
            <w:shd w:val="clear" w:color="auto" w:fill="CCCCCC"/>
          </w:tcPr>
          <w:p w14:paraId="0000010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1219</w:t>
            </w:r>
          </w:p>
        </w:tc>
        <w:tc>
          <w:tcPr>
            <w:tcW w:w="1022" w:type="dxa"/>
            <w:shd w:val="clear" w:color="auto" w:fill="CCCCCC"/>
          </w:tcPr>
          <w:p w14:paraId="0000010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1511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10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10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1737</w:t>
            </w:r>
          </w:p>
        </w:tc>
        <w:tc>
          <w:tcPr>
            <w:tcW w:w="1022" w:type="dxa"/>
            <w:shd w:val="clear" w:color="auto" w:fill="CCCCCC"/>
          </w:tcPr>
          <w:p w14:paraId="0000010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1751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10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11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1219</w:t>
            </w:r>
          </w:p>
        </w:tc>
        <w:tc>
          <w:tcPr>
            <w:tcW w:w="1022" w:type="dxa"/>
            <w:shd w:val="clear" w:color="auto" w:fill="CCCCCC"/>
          </w:tcPr>
          <w:p w14:paraId="0000011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1751</w:t>
            </w:r>
          </w:p>
        </w:tc>
        <w:tc>
          <w:tcPr>
            <w:tcW w:w="1022" w:type="dxa"/>
            <w:shd w:val="clear" w:color="auto" w:fill="CCCCCC"/>
          </w:tcPr>
          <w:p w14:paraId="0000011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A5636C" w14:paraId="4ACB6300" w14:textId="77777777">
        <w:trPr>
          <w:trHeight w:val="300"/>
        </w:trPr>
        <w:tc>
          <w:tcPr>
            <w:tcW w:w="1021" w:type="dxa"/>
          </w:tcPr>
          <w:p w14:paraId="00000113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sICAM-1</w:t>
            </w:r>
          </w:p>
        </w:tc>
        <w:tc>
          <w:tcPr>
            <w:tcW w:w="1022" w:type="dxa"/>
          </w:tcPr>
          <w:p w14:paraId="0000011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555.8</w:t>
            </w:r>
          </w:p>
        </w:tc>
        <w:tc>
          <w:tcPr>
            <w:tcW w:w="1022" w:type="dxa"/>
          </w:tcPr>
          <w:p w14:paraId="0000011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516.9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1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17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493.1</w:t>
            </w:r>
          </w:p>
        </w:tc>
        <w:tc>
          <w:tcPr>
            <w:tcW w:w="1022" w:type="dxa"/>
          </w:tcPr>
          <w:p w14:paraId="0000011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445.6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1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1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555.8</w:t>
            </w:r>
          </w:p>
        </w:tc>
        <w:tc>
          <w:tcPr>
            <w:tcW w:w="1022" w:type="dxa"/>
          </w:tcPr>
          <w:p w14:paraId="0000011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445.6</w:t>
            </w:r>
          </w:p>
        </w:tc>
        <w:tc>
          <w:tcPr>
            <w:tcW w:w="1022" w:type="dxa"/>
          </w:tcPr>
          <w:p w14:paraId="0000011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</w:tr>
      <w:tr w:rsidR="00A5636C" w14:paraId="77A1CC6A" w14:textId="77777777">
        <w:trPr>
          <w:trHeight w:val="300"/>
        </w:trPr>
        <w:tc>
          <w:tcPr>
            <w:tcW w:w="1021" w:type="dxa"/>
            <w:shd w:val="clear" w:color="auto" w:fill="CCCCCC"/>
          </w:tcPr>
          <w:p w14:paraId="0000011D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TNF-α</w:t>
            </w:r>
          </w:p>
        </w:tc>
        <w:tc>
          <w:tcPr>
            <w:tcW w:w="1022" w:type="dxa"/>
            <w:shd w:val="clear" w:color="auto" w:fill="CCCCCC"/>
          </w:tcPr>
          <w:p w14:paraId="0000011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22" w:type="dxa"/>
            <w:shd w:val="clear" w:color="auto" w:fill="CCCCCC"/>
          </w:tcPr>
          <w:p w14:paraId="0000011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24.6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12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121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20.3</w:t>
            </w:r>
          </w:p>
        </w:tc>
        <w:tc>
          <w:tcPr>
            <w:tcW w:w="1022" w:type="dxa"/>
            <w:shd w:val="clear" w:color="auto" w:fill="CCCCCC"/>
          </w:tcPr>
          <w:p w14:paraId="00000122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19.3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  <w:shd w:val="clear" w:color="auto" w:fill="CCCCCC"/>
          </w:tcPr>
          <w:p w14:paraId="00000123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022" w:type="dxa"/>
            <w:tcBorders>
              <w:left w:val="single" w:sz="12" w:space="0" w:color="000000"/>
            </w:tcBorders>
            <w:shd w:val="clear" w:color="auto" w:fill="CCCCCC"/>
          </w:tcPr>
          <w:p w14:paraId="00000124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22" w:type="dxa"/>
            <w:shd w:val="clear" w:color="auto" w:fill="CCCCCC"/>
          </w:tcPr>
          <w:p w14:paraId="00000125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19.3</w:t>
            </w:r>
          </w:p>
        </w:tc>
        <w:tc>
          <w:tcPr>
            <w:tcW w:w="1022" w:type="dxa"/>
            <w:shd w:val="clear" w:color="auto" w:fill="CCCCCC"/>
          </w:tcPr>
          <w:p w14:paraId="00000126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</w:tr>
      <w:tr w:rsidR="00A5636C" w14:paraId="152C0169" w14:textId="77777777">
        <w:trPr>
          <w:trHeight w:val="300"/>
        </w:trPr>
        <w:tc>
          <w:tcPr>
            <w:tcW w:w="1021" w:type="dxa"/>
          </w:tcPr>
          <w:p w14:paraId="00000127" w14:textId="77777777" w:rsidR="00A5636C" w:rsidRDefault="006B2E18">
            <w:pPr>
              <w:ind w:left="0" w:hanging="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IL-1α</w:t>
            </w:r>
          </w:p>
        </w:tc>
        <w:tc>
          <w:tcPr>
            <w:tcW w:w="1022" w:type="dxa"/>
          </w:tcPr>
          <w:p w14:paraId="00000128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1022" w:type="dxa"/>
          </w:tcPr>
          <w:p w14:paraId="00000129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10.8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2A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2B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1022" w:type="dxa"/>
          </w:tcPr>
          <w:p w14:paraId="0000012C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1022" w:type="dxa"/>
            <w:tcBorders>
              <w:right w:val="single" w:sz="12" w:space="0" w:color="000000"/>
            </w:tcBorders>
          </w:tcPr>
          <w:p w14:paraId="0000012D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022" w:type="dxa"/>
            <w:tcBorders>
              <w:left w:val="single" w:sz="12" w:space="0" w:color="000000"/>
            </w:tcBorders>
          </w:tcPr>
          <w:p w14:paraId="0000012E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1022" w:type="dxa"/>
          </w:tcPr>
          <w:p w14:paraId="0000012F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1022" w:type="dxa"/>
          </w:tcPr>
          <w:p w14:paraId="00000130" w14:textId="77777777" w:rsidR="00A5636C" w:rsidRDefault="006B2E18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</w:tr>
    </w:tbl>
    <w:p w14:paraId="00000131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-values calculated by unpaired t-tests, where possible. Significance threshold: p </w:t>
      </w:r>
      <w:r>
        <w:rPr>
          <w:rFonts w:ascii="Times New Roman" w:eastAsia="Times New Roman" w:hAnsi="Times New Roman" w:cs="Times New Roman"/>
          <w:sz w:val="20"/>
          <w:szCs w:val="20"/>
          <w:highlight w:val="yellow"/>
        </w:rPr>
        <w:t>&lt;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0.05. RvE1,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resolvin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E1; T2D, type 2 diabetes.</w:t>
      </w:r>
    </w:p>
    <w:p w14:paraId="00000132" w14:textId="77777777" w:rsidR="00A5636C" w:rsidRDefault="00A5636C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133" w14:textId="77777777" w:rsidR="00A5636C" w:rsidRDefault="006B2E18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00000134" w14:textId="77777777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Figures:</w:t>
      </w:r>
    </w:p>
    <w:sdt>
      <w:sdtPr>
        <w:tag w:val="goog_rdk_0"/>
        <w:id w:val="-1468197825"/>
      </w:sdtPr>
      <w:sdtEndPr/>
      <w:sdtContent>
        <w:p w14:paraId="00000135" w14:textId="77777777" w:rsidR="00A5636C" w:rsidRPr="0006018A" w:rsidRDefault="006B2E18">
          <w:pPr>
            <w:spacing w:after="0" w:line="480" w:lineRule="auto"/>
            <w:ind w:left="0" w:hanging="2"/>
            <w:rPr>
              <w:rFonts w:ascii="Times New Roman" w:eastAsia="Times New Roman" w:hAnsi="Times New Roman" w:cs="Times New Roman"/>
              <w:b/>
              <w:sz w:val="24"/>
              <w:szCs w:val="24"/>
              <w:highlight w:val="yellow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24"/>
              <w:szCs w:val="24"/>
              <w:highlight w:val="yellow"/>
            </w:rPr>
            <w:drawing>
              <wp:inline distT="0" distB="0" distL="114300" distR="114300">
                <wp:extent cx="5943600" cy="5943600"/>
                <wp:effectExtent l="0" t="0" r="0" b="0"/>
                <wp:docPr id="1029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5943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sdtContent>
    </w:sdt>
    <w:p w14:paraId="00000136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"/>
          <w:id w:val="-132800311"/>
        </w:sdtPr>
        <w:sdtEndPr/>
        <w:sdtContent/>
      </w:sdt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Supplementary Figure S1.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 Principal component analysis (PCA) plot of type 2 diabetic and healthy subjects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. EIGENSTRAT PCA plot of the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two main axes of variation (PC1, x-axis; PC2, y-axis) for gene expression results,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color-coded by disease: blue =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type 2 diabetic; black = healthy.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PC1, principal component 1; PC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, principal compo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nent 2.</w:t>
      </w:r>
    </w:p>
    <w:p w14:paraId="00000137" w14:textId="77777777" w:rsidR="00A5636C" w:rsidRDefault="00A5636C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138" w14:textId="77777777" w:rsidR="00A5636C" w:rsidRDefault="006B2E18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114300" distR="114300">
            <wp:extent cx="5052060" cy="7578725"/>
            <wp:effectExtent l="0" t="0" r="0" b="0"/>
            <wp:docPr id="103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7578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39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S2.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Neutrophil gene expression in type 2 diabetic versus healthy subjects for all 50 significant genes.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Bean plots of the ln-transformed relative abundance of neutrophil gene expression (line at mean) of all 50 significant (FDR-corrected p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&lt;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0.05) differentia</w:t>
      </w:r>
      <w:r>
        <w:rPr>
          <w:rFonts w:ascii="Times New Roman" w:eastAsia="Times New Roman" w:hAnsi="Times New Roman" w:cs="Times New Roman"/>
          <w:sz w:val="24"/>
          <w:szCs w:val="24"/>
        </w:rPr>
        <w:t>lly expressed genes between T2D and healthy subjects. T2D, type 2 diabetes.</w:t>
      </w:r>
    </w:p>
    <w:p w14:paraId="0000013A" w14:textId="77777777" w:rsidR="00A5636C" w:rsidRDefault="006B2E18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0000013B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S3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Top 50 significant neutrophil genes differentially expressed in type 2 diabetic and healthy subjects by top biological pathways.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RNA-seq transcript expre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ssion of T2D (D; 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11) vs. healthy (H; 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>7) subject neutrophils. Heatmap of T2D and healthy gene expression by over-represented KEGG and Gene Ontology (GO) pathways (L to R: sphingolipid metabolism, ether lipid metabolism, phospholipase D signaling path</w:t>
      </w:r>
      <w:r>
        <w:rPr>
          <w:rFonts w:ascii="Times New Roman" w:eastAsia="Times New Roman" w:hAnsi="Times New Roman" w:cs="Times New Roman"/>
          <w:sz w:val="24"/>
          <w:szCs w:val="24"/>
        </w:rPr>
        <w:t>way, Fc gamma R-mediated phagocytosis, glycerophospholipid metabolism, ammonium ion metabolic process, surfactant homeostasis, sphingosine-1-phosphate-phosphatase activity, plasma membrane, integral component of plasma membrane) across all 50 statistically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significant differentially expressed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genes (FDR-corrected p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&lt;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0.05). Blue indicates decreased and red indicates increased gene expression.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087110" cy="5819775"/>
                <wp:effectExtent l="0" t="0" r="0" b="0"/>
                <wp:wrapSquare wrapText="bothSides" distT="0" distB="0" distL="114300" distR="114300"/>
                <wp:docPr id="1028" name="Group 10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7110" cy="5819775"/>
                          <a:chOff x="2302307" y="870113"/>
                          <a:chExt cx="6087387" cy="581977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2302307" y="870113"/>
                            <a:ext cx="6087387" cy="5819775"/>
                            <a:chOff x="0" y="0"/>
                            <a:chExt cx="7214282" cy="6897130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0" y="0"/>
                              <a:ext cx="7214275" cy="6897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9E04013" w14:textId="77777777" w:rsidR="00A5636C" w:rsidRDefault="00A5636C">
                                <w:pPr>
                                  <w:spacing w:after="0" w:line="240" w:lineRule="auto"/>
                                  <w:ind w:left="0" w:hanging="2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317152" y="0"/>
                              <a:ext cx="6897130" cy="6897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l="18904" t="1" r="76979" b="284"/>
                            <a:stretch/>
                          </pic:blipFill>
                          <pic:spPr>
                            <a:xfrm>
                              <a:off x="1270673" y="0"/>
                              <a:ext cx="617848" cy="6858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r="81218"/>
                            <a:stretch/>
                          </pic:blipFill>
                          <pic:spPr>
                            <a:xfrm>
                              <a:off x="0" y="0"/>
                              <a:ext cx="1295391" cy="6897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087110" cy="5819775"/>
                <wp:effectExtent b="0" l="0" r="0" t="0"/>
                <wp:wrapSquare wrapText="bothSides" distB="0" distT="0" distL="114300" distR="114300"/>
                <wp:docPr id="102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7110" cy="5819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00013C" w14:textId="77777777" w:rsidR="00A5636C" w:rsidRDefault="00A5636C">
      <w:pPr>
        <w:spacing w:after="0" w:line="48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13D" w14:textId="77777777" w:rsidR="00A5636C" w:rsidRDefault="006B2E18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0000013E" w14:textId="77777777" w:rsidR="00A5636C" w:rsidRDefault="006B2E18">
      <w:pPr>
        <w:spacing w:after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114300" distR="114300">
            <wp:extent cx="5229860" cy="5267325"/>
            <wp:effectExtent l="0" t="0" r="0" b="0"/>
            <wp:docPr id="10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5267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3F" w14:textId="77777777" w:rsidR="00A5636C" w:rsidRDefault="006B2E18">
      <w:pPr>
        <w:spacing w:after="0" w:line="48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>S4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Neutrophil gene expression of type 2 diabetic and healthy subjects by biologically relevant KEGG pathways.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RNA-seq transcript expression of T2D (D; 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11) vs. healthy (H; N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7) subject neutrophils. Heatmap of T2D and healthy gene expression by biologic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ally relevant KEGG pathways (L to R: Jak-STAT signaling pathway,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NFκB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signaling pathway, Phagosome, Toll-like receptor pathway, Fat digestion and absorption, Type II diabetes mellitus, Insulin resistance,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Staphylococcus aureus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infection, Herpes simplex vir</w:t>
      </w:r>
      <w:r>
        <w:rPr>
          <w:rFonts w:ascii="Times New Roman" w:eastAsia="Times New Roman" w:hAnsi="Times New Roman" w:cs="Times New Roman"/>
          <w:sz w:val="24"/>
          <w:szCs w:val="24"/>
        </w:rPr>
        <w:t>us 1 infection) and all differentially expressed genes in those pathways. Blue indicates decreased and red indicates increased gene expression.</w:t>
      </w:r>
    </w:p>
    <w:sectPr w:rsidR="00A563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36C"/>
    <w:rsid w:val="0006018A"/>
    <w:rsid w:val="006B2E18"/>
    <w:rsid w:val="00A5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FF716A"/>
  <w15:docId w15:val="{6E54321B-C875-4E47-A101-13699E782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qFormat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Emph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table" w:customStyle="1" w:styleId="ListTable41">
    <w:name w:val="List Table 41"/>
    <w:basedOn w:val="Table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FootnoteText">
    <w:name w:val="footnote text"/>
    <w:basedOn w:val="Normal"/>
    <w:qFormat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FootnoteReference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EndnoteReference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4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4" Type="http://schemas.openxmlformats.org/officeDocument/2006/relationships/webSettings" Target="webSetting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fnOpKSpRSM0A9ozq6yVqbttESQ==">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874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Kleinstein, Sarah</dc:creator>
  <cp:lastModifiedBy>Freire, Marcelo</cp:lastModifiedBy>
  <cp:revision>3</cp:revision>
  <dcterms:created xsi:type="dcterms:W3CDTF">2020-11-21T00:11:00Z</dcterms:created>
  <dcterms:modified xsi:type="dcterms:W3CDTF">2020-11-23T04:34:00Z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0x010100435B7A5087BAC243954466AAB6E52883</vt:lpwstr>
  </property>
</Properties>
</file>