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09B" w:rsidRDefault="0078009B" w:rsidP="0078009B">
      <w:pPr>
        <w:spacing w:line="360" w:lineRule="auto"/>
        <w:jc w:val="left"/>
        <w:rPr>
          <w:rFonts w:ascii="Times New Roman" w:hAnsi="Times New Roman" w:cs="Times New Roman"/>
          <w:b/>
          <w:szCs w:val="21"/>
        </w:rPr>
      </w:pPr>
      <w:r>
        <w:rPr>
          <w:rFonts w:ascii="Times New Roman" w:hAnsi="Times New Roman" w:cs="Times New Roman" w:hint="eastAsia"/>
          <w:b/>
          <w:szCs w:val="21"/>
        </w:rPr>
        <w:t xml:space="preserve">Supplementary </w:t>
      </w:r>
      <w:r w:rsidRPr="0078009B">
        <w:rPr>
          <w:rFonts w:ascii="Times New Roman" w:hAnsi="Times New Roman" w:cs="Times New Roman"/>
          <w:b/>
          <w:szCs w:val="21"/>
        </w:rPr>
        <w:t>Materials and Methods</w:t>
      </w:r>
    </w:p>
    <w:p w:rsidR="0078009B" w:rsidRDefault="0078009B" w:rsidP="0078009B">
      <w:pPr>
        <w:spacing w:line="360" w:lineRule="auto"/>
        <w:jc w:val="left"/>
        <w:rPr>
          <w:rFonts w:ascii="Times New Roman" w:hAnsi="Times New Roman" w:cs="Times New Roman"/>
          <w:b/>
          <w:szCs w:val="21"/>
        </w:rPr>
      </w:pPr>
    </w:p>
    <w:p w:rsidR="004B0CDD" w:rsidRPr="00AA7239" w:rsidRDefault="004B0CDD" w:rsidP="004B0CDD">
      <w:pPr>
        <w:spacing w:line="360" w:lineRule="auto"/>
        <w:jc w:val="left"/>
        <w:rPr>
          <w:rFonts w:ascii="Times New Roman" w:hAnsi="Times New Roman" w:cs="Times New Roman"/>
          <w:b/>
          <w:szCs w:val="21"/>
        </w:rPr>
      </w:pPr>
      <w:r w:rsidRPr="00AA7239">
        <w:rPr>
          <w:rFonts w:ascii="Times New Roman" w:hAnsi="Times New Roman" w:cs="Times New Roman"/>
          <w:b/>
          <w:szCs w:val="21"/>
        </w:rPr>
        <w:t>Cell culture and reagents</w:t>
      </w:r>
    </w:p>
    <w:p w:rsidR="004B0CDD" w:rsidRPr="00AA7239" w:rsidRDefault="004B0CDD" w:rsidP="004B0CDD">
      <w:pPr>
        <w:spacing w:line="360" w:lineRule="auto"/>
        <w:jc w:val="left"/>
        <w:rPr>
          <w:rFonts w:ascii="Times New Roman" w:hAnsi="Times New Roman" w:cs="Times New Roman"/>
          <w:szCs w:val="21"/>
        </w:rPr>
      </w:pPr>
      <w:r w:rsidRPr="00AA7239">
        <w:rPr>
          <w:rFonts w:ascii="Times New Roman" w:hAnsi="Times New Roman" w:cs="Times New Roman"/>
          <w:szCs w:val="21"/>
        </w:rPr>
        <w:t>Human melanoma cell lines WM35, A375, A2058 and 451LU were obtained from American Type Culture Collection (ATCC). WM35 and 451LU cell lines were routinely cultured in RPMI-1640 medium (</w:t>
      </w:r>
      <w:proofErr w:type="spellStart"/>
      <w:r w:rsidRPr="00AA7239">
        <w:rPr>
          <w:rFonts w:ascii="Times New Roman" w:hAnsi="Times New Roman" w:cs="Times New Roman"/>
          <w:szCs w:val="21"/>
        </w:rPr>
        <w:t>Thermo</w:t>
      </w:r>
      <w:proofErr w:type="spellEnd"/>
      <w:r w:rsidRPr="00AA7239">
        <w:rPr>
          <w:rFonts w:ascii="Times New Roman" w:hAnsi="Times New Roman" w:cs="Times New Roman"/>
          <w:szCs w:val="21"/>
        </w:rPr>
        <w:t xml:space="preserve"> Fisher Scientific, 61870127) supplemented with 10% fetal bovine serum (FBS, </w:t>
      </w:r>
      <w:proofErr w:type="spellStart"/>
      <w:r w:rsidRPr="00AA7239">
        <w:rPr>
          <w:rFonts w:ascii="Times New Roman" w:hAnsi="Times New Roman" w:cs="Times New Roman"/>
          <w:szCs w:val="21"/>
        </w:rPr>
        <w:t>Thermo</w:t>
      </w:r>
      <w:proofErr w:type="spellEnd"/>
      <w:r w:rsidRPr="00AA7239">
        <w:rPr>
          <w:rFonts w:ascii="Times New Roman" w:hAnsi="Times New Roman" w:cs="Times New Roman"/>
          <w:szCs w:val="21"/>
        </w:rPr>
        <w:t xml:space="preserve"> Fisher Scientific, 10099141) and penicillin-streptomycin (Sigma-Aldrich, V900929100). A2058 and A375 cell lines were maintained in Dulbecco’s Modified Eagle Medium (DMEM, </w:t>
      </w:r>
      <w:proofErr w:type="spellStart"/>
      <w:r w:rsidRPr="00AA7239">
        <w:rPr>
          <w:rFonts w:ascii="Times New Roman" w:hAnsi="Times New Roman" w:cs="Times New Roman"/>
          <w:szCs w:val="21"/>
        </w:rPr>
        <w:t>Thermo</w:t>
      </w:r>
      <w:proofErr w:type="spellEnd"/>
      <w:r w:rsidRPr="00AA7239">
        <w:rPr>
          <w:rFonts w:ascii="Times New Roman" w:hAnsi="Times New Roman" w:cs="Times New Roman"/>
          <w:szCs w:val="21"/>
        </w:rPr>
        <w:t xml:space="preserve"> Fisher Scientific, 12800017) supplemented with 10% FBS and penicillin-streptomycin. All these melanoma cell lines were authenticated by short-tandem repeat (STR) fingerprinting in center of DNA typing in Fourth Military Medical University in 2016 and tested for mycoplasma contamination.</w:t>
      </w:r>
      <w:r w:rsidRPr="00AA7239">
        <w:rPr>
          <w:rFonts w:ascii="Times New Roman" w:hAnsi="Times New Roman" w:cs="Times New Roman" w:hint="eastAsia"/>
          <w:szCs w:val="21"/>
        </w:rPr>
        <w:t xml:space="preserve"> All these cells</w:t>
      </w:r>
      <w:r w:rsidRPr="00AA7239">
        <w:rPr>
          <w:rFonts w:ascii="Times New Roman" w:hAnsi="Times New Roman" w:cs="Times New Roman"/>
          <w:szCs w:val="21"/>
        </w:rPr>
        <w:t xml:space="preserve"> were maintained at 37°C with 5% CO</w:t>
      </w:r>
      <w:r w:rsidRPr="00AA7239">
        <w:rPr>
          <w:rFonts w:ascii="Times New Roman" w:hAnsi="Times New Roman" w:cs="Times New Roman"/>
          <w:szCs w:val="21"/>
          <w:vertAlign w:val="subscript"/>
        </w:rPr>
        <w:t>2</w:t>
      </w:r>
      <w:r w:rsidRPr="00AA7239">
        <w:rPr>
          <w:rFonts w:ascii="Times New Roman" w:hAnsi="Times New Roman" w:cs="Times New Roman"/>
          <w:szCs w:val="21"/>
        </w:rPr>
        <w:t xml:space="preserve">. 4-Phenylbutyric acid (4-PBA, SML0309), chloroquine (CQ, C6628), </w:t>
      </w:r>
      <w:proofErr w:type="spellStart"/>
      <w:r w:rsidRPr="00AA7239">
        <w:rPr>
          <w:rFonts w:ascii="Times New Roman" w:hAnsi="Times New Roman" w:cs="Times New Roman"/>
          <w:szCs w:val="21"/>
        </w:rPr>
        <w:t>tunicamycin</w:t>
      </w:r>
      <w:proofErr w:type="spellEnd"/>
      <w:r w:rsidRPr="00AA7239">
        <w:rPr>
          <w:rFonts w:ascii="Times New Roman" w:hAnsi="Times New Roman" w:cs="Times New Roman"/>
          <w:szCs w:val="21"/>
        </w:rPr>
        <w:t xml:space="preserve"> (TM, T7765) and </w:t>
      </w:r>
      <w:proofErr w:type="spellStart"/>
      <w:r w:rsidRPr="00AA7239">
        <w:rPr>
          <w:rFonts w:ascii="Times New Roman" w:hAnsi="Times New Roman" w:cs="Times New Roman"/>
          <w:szCs w:val="21"/>
        </w:rPr>
        <w:t>thapsigargin</w:t>
      </w:r>
      <w:proofErr w:type="spellEnd"/>
      <w:r w:rsidRPr="00AA7239">
        <w:rPr>
          <w:rFonts w:ascii="Times New Roman" w:hAnsi="Times New Roman" w:cs="Times New Roman"/>
          <w:szCs w:val="21"/>
        </w:rPr>
        <w:t xml:space="preserve"> (TG, T9033) were purchased from Sigma-Aldrich. The mitochondrial fission inhibitor</w:t>
      </w:r>
      <w:r w:rsidRPr="00AA7239">
        <w:rPr>
          <w:rFonts w:ascii="Times New Roman" w:hAnsi="Times New Roman" w:cs="Times New Roman" w:hint="eastAsia"/>
          <w:szCs w:val="21"/>
        </w:rPr>
        <w:t xml:space="preserve"> </w:t>
      </w:r>
      <w:r w:rsidRPr="00AA7239">
        <w:rPr>
          <w:rFonts w:ascii="Times New Roman" w:hAnsi="Times New Roman" w:cs="Times New Roman"/>
          <w:szCs w:val="21"/>
        </w:rPr>
        <w:t xml:space="preserve">mdivi-1(S7162) and the proteasome inhibitor MG132 (S2619) were obtained from </w:t>
      </w:r>
      <w:proofErr w:type="spellStart"/>
      <w:r w:rsidRPr="00AA7239">
        <w:rPr>
          <w:rFonts w:ascii="Times New Roman" w:hAnsi="Times New Roman" w:cs="Times New Roman"/>
          <w:szCs w:val="21"/>
        </w:rPr>
        <w:t>Selleck</w:t>
      </w:r>
      <w:proofErr w:type="spellEnd"/>
      <w:r w:rsidRPr="00AA7239">
        <w:rPr>
          <w:rFonts w:ascii="Times New Roman" w:hAnsi="Times New Roman" w:cs="Times New Roman"/>
          <w:szCs w:val="21"/>
        </w:rPr>
        <w:t xml:space="preserve">. CQ (20 </w:t>
      </w:r>
      <w:proofErr w:type="spellStart"/>
      <w:r w:rsidRPr="00AA7239">
        <w:rPr>
          <w:rFonts w:ascii="Times New Roman" w:hAnsi="Times New Roman" w:cs="Times New Roman"/>
          <w:szCs w:val="21"/>
        </w:rPr>
        <w:t>μM</w:t>
      </w:r>
      <w:proofErr w:type="spellEnd"/>
      <w:r w:rsidRPr="00AA7239">
        <w:rPr>
          <w:rFonts w:ascii="Times New Roman" w:hAnsi="Times New Roman" w:cs="Times New Roman"/>
          <w:szCs w:val="21"/>
        </w:rPr>
        <w:t xml:space="preserve">), TM (3 </w:t>
      </w:r>
      <w:proofErr w:type="spellStart"/>
      <w:r w:rsidRPr="00AA7239">
        <w:rPr>
          <w:rFonts w:ascii="Times New Roman" w:hAnsi="Times New Roman" w:cs="Times New Roman"/>
          <w:szCs w:val="21"/>
        </w:rPr>
        <w:t>μM</w:t>
      </w:r>
      <w:proofErr w:type="spellEnd"/>
      <w:r w:rsidRPr="00AA7239">
        <w:rPr>
          <w:rFonts w:ascii="Times New Roman" w:hAnsi="Times New Roman" w:cs="Times New Roman"/>
          <w:szCs w:val="21"/>
        </w:rPr>
        <w:t xml:space="preserve">), TG (1 </w:t>
      </w:r>
      <w:proofErr w:type="spellStart"/>
      <w:r w:rsidRPr="00AA7239">
        <w:rPr>
          <w:rFonts w:ascii="Times New Roman" w:hAnsi="Times New Roman" w:cs="Times New Roman"/>
          <w:szCs w:val="21"/>
        </w:rPr>
        <w:t>μM</w:t>
      </w:r>
      <w:proofErr w:type="spellEnd"/>
      <w:r w:rsidRPr="00AA7239">
        <w:rPr>
          <w:rFonts w:ascii="Times New Roman" w:hAnsi="Times New Roman" w:cs="Times New Roman"/>
          <w:szCs w:val="21"/>
        </w:rPr>
        <w:t xml:space="preserve">), together with mdivi-1 (10 </w:t>
      </w:r>
      <w:proofErr w:type="spellStart"/>
      <w:r w:rsidRPr="00AA7239">
        <w:rPr>
          <w:rFonts w:ascii="Times New Roman" w:hAnsi="Times New Roman" w:cs="Times New Roman"/>
          <w:szCs w:val="21"/>
        </w:rPr>
        <w:t>μM</w:t>
      </w:r>
      <w:proofErr w:type="spellEnd"/>
      <w:r w:rsidRPr="00AA7239">
        <w:rPr>
          <w:rFonts w:ascii="Times New Roman" w:hAnsi="Times New Roman" w:cs="Times New Roman"/>
          <w:szCs w:val="21"/>
        </w:rPr>
        <w:t xml:space="preserve">) and MG132 (10 </w:t>
      </w:r>
      <w:proofErr w:type="spellStart"/>
      <w:r w:rsidRPr="00AA7239">
        <w:rPr>
          <w:rFonts w:ascii="Times New Roman" w:hAnsi="Times New Roman" w:cs="Times New Roman"/>
          <w:szCs w:val="21"/>
        </w:rPr>
        <w:t>μM</w:t>
      </w:r>
      <w:proofErr w:type="spellEnd"/>
      <w:r w:rsidRPr="00AA7239">
        <w:rPr>
          <w:rFonts w:ascii="Times New Roman" w:hAnsi="Times New Roman" w:cs="Times New Roman"/>
          <w:szCs w:val="21"/>
        </w:rPr>
        <w:t>) were used</w:t>
      </w:r>
      <w:r w:rsidRPr="00AA7239">
        <w:rPr>
          <w:rFonts w:ascii="Times New Roman" w:hAnsi="Times New Roman" w:cs="Times New Roman" w:hint="eastAsia"/>
          <w:szCs w:val="21"/>
        </w:rPr>
        <w:t xml:space="preserve"> as indicated treatment</w:t>
      </w:r>
      <w:r w:rsidRPr="00AA7239">
        <w:rPr>
          <w:rFonts w:ascii="Times New Roman" w:hAnsi="Times New Roman" w:cs="Times New Roman"/>
          <w:szCs w:val="21"/>
        </w:rPr>
        <w:t>.</w:t>
      </w:r>
    </w:p>
    <w:p w:rsidR="004B0CDD" w:rsidRPr="004B0CDD" w:rsidRDefault="004B0CDD" w:rsidP="0078009B">
      <w:pPr>
        <w:spacing w:line="360" w:lineRule="auto"/>
        <w:jc w:val="left"/>
        <w:rPr>
          <w:rFonts w:ascii="Times New Roman" w:hAnsi="Times New Roman" w:cs="Times New Roman"/>
          <w:b/>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Knockdown and forced expression of target genes</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 xml:space="preserve">For the overexpression of MFN2, the lentiviral vector encoding </w:t>
      </w:r>
      <w:r w:rsidRPr="00AA7239">
        <w:rPr>
          <w:rFonts w:ascii="Times New Roman" w:hAnsi="Times New Roman" w:cs="Times New Roman"/>
          <w:i/>
          <w:szCs w:val="21"/>
        </w:rPr>
        <w:t>MFN2</w:t>
      </w:r>
      <w:r w:rsidRPr="00AA7239">
        <w:rPr>
          <w:rFonts w:ascii="Times New Roman" w:hAnsi="Times New Roman" w:cs="Times New Roman"/>
          <w:szCs w:val="21"/>
        </w:rPr>
        <w:t xml:space="preserve"> (</w:t>
      </w:r>
      <w:proofErr w:type="spellStart"/>
      <w:r w:rsidRPr="00AA7239">
        <w:rPr>
          <w:rFonts w:ascii="Times New Roman" w:hAnsi="Times New Roman" w:cs="Times New Roman"/>
          <w:szCs w:val="21"/>
        </w:rPr>
        <w:t>HanBio</w:t>
      </w:r>
      <w:proofErr w:type="spellEnd"/>
      <w:r w:rsidRPr="00AA7239">
        <w:rPr>
          <w:rFonts w:ascii="Times New Roman" w:hAnsi="Times New Roman" w:cs="Times New Roman"/>
          <w:szCs w:val="21"/>
        </w:rPr>
        <w:t xml:space="preserve">, Shanghai, China) was used to infect melanoma cells according to the manufacture’s protocol. After infection for 72 h, </w:t>
      </w:r>
      <w:proofErr w:type="spellStart"/>
      <w:r w:rsidRPr="00AA7239">
        <w:rPr>
          <w:rFonts w:ascii="Times New Roman" w:hAnsi="Times New Roman" w:cs="Times New Roman"/>
          <w:szCs w:val="21"/>
        </w:rPr>
        <w:t>puromycin</w:t>
      </w:r>
      <w:proofErr w:type="spellEnd"/>
      <w:r w:rsidRPr="00AA7239">
        <w:rPr>
          <w:rFonts w:ascii="Times New Roman" w:hAnsi="Times New Roman" w:cs="Times New Roman"/>
          <w:szCs w:val="21"/>
        </w:rPr>
        <w:t xml:space="preserve"> (</w:t>
      </w:r>
      <w:proofErr w:type="spellStart"/>
      <w:r w:rsidRPr="00AA7239">
        <w:rPr>
          <w:rFonts w:ascii="Times New Roman" w:hAnsi="Times New Roman" w:cs="Times New Roman"/>
          <w:szCs w:val="21"/>
        </w:rPr>
        <w:t>abcam</w:t>
      </w:r>
      <w:proofErr w:type="spellEnd"/>
      <w:r w:rsidRPr="00AA7239">
        <w:rPr>
          <w:rFonts w:ascii="Times New Roman" w:hAnsi="Times New Roman" w:cs="Times New Roman"/>
          <w:szCs w:val="21"/>
        </w:rPr>
        <w:t xml:space="preserve">, ab141453) was used to obtain stably infected clones. All small interference RNAs were synthesized by </w:t>
      </w:r>
      <w:proofErr w:type="spellStart"/>
      <w:r w:rsidRPr="00AA7239">
        <w:rPr>
          <w:rFonts w:ascii="Times New Roman" w:hAnsi="Times New Roman" w:cs="Times New Roman"/>
          <w:szCs w:val="21"/>
        </w:rPr>
        <w:t>GenePharma</w:t>
      </w:r>
      <w:proofErr w:type="spellEnd"/>
      <w:r w:rsidRPr="00AA7239">
        <w:rPr>
          <w:rFonts w:ascii="Times New Roman" w:hAnsi="Times New Roman" w:cs="Times New Roman"/>
          <w:szCs w:val="21"/>
        </w:rPr>
        <w:t xml:space="preserve"> (Shanghai, China). The sequences of siRNAs for</w:t>
      </w:r>
      <w:r w:rsidRPr="00AA7239">
        <w:rPr>
          <w:rFonts w:ascii="Times New Roman" w:hAnsi="Times New Roman" w:cs="Times New Roman"/>
          <w:i/>
          <w:iCs/>
          <w:szCs w:val="21"/>
        </w:rPr>
        <w:t xml:space="preserve"> EIF2A</w:t>
      </w:r>
      <w:r w:rsidRPr="00AA7239">
        <w:rPr>
          <w:rFonts w:ascii="Times New Roman" w:hAnsi="Times New Roman" w:cs="Times New Roman"/>
          <w:szCs w:val="21"/>
        </w:rPr>
        <w:t xml:space="preserve">, </w:t>
      </w:r>
      <w:r w:rsidRPr="00AA7239">
        <w:rPr>
          <w:rFonts w:ascii="Times New Roman" w:hAnsi="Times New Roman" w:cs="Times New Roman"/>
          <w:i/>
          <w:iCs/>
          <w:szCs w:val="21"/>
        </w:rPr>
        <w:t>ERN1</w:t>
      </w:r>
      <w:r w:rsidRPr="00AA7239">
        <w:rPr>
          <w:rFonts w:ascii="Times New Roman" w:hAnsi="Times New Roman" w:cs="Times New Roman"/>
          <w:szCs w:val="21"/>
        </w:rPr>
        <w:t xml:space="preserve">, </w:t>
      </w:r>
      <w:r w:rsidRPr="00AA7239">
        <w:rPr>
          <w:rFonts w:ascii="Times New Roman" w:hAnsi="Times New Roman" w:cs="Times New Roman"/>
          <w:i/>
          <w:iCs/>
          <w:szCs w:val="21"/>
        </w:rPr>
        <w:t>XBP1</w:t>
      </w:r>
      <w:r w:rsidRPr="00AA7239">
        <w:rPr>
          <w:rFonts w:ascii="Times New Roman" w:hAnsi="Times New Roman" w:cs="Times New Roman"/>
          <w:szCs w:val="21"/>
        </w:rPr>
        <w:t>,</w:t>
      </w:r>
      <w:r w:rsidRPr="00AA7239">
        <w:rPr>
          <w:rFonts w:ascii="Times New Roman" w:hAnsi="Times New Roman" w:cs="Times New Roman"/>
          <w:i/>
          <w:szCs w:val="21"/>
        </w:rPr>
        <w:t xml:space="preserve"> ATF6</w:t>
      </w:r>
      <w:r w:rsidRPr="00AA7239">
        <w:rPr>
          <w:rFonts w:ascii="Times New Roman" w:hAnsi="Times New Roman" w:cs="Times New Roman"/>
          <w:iCs/>
          <w:szCs w:val="21"/>
        </w:rPr>
        <w:t>,</w:t>
      </w:r>
      <w:r w:rsidRPr="00AA7239">
        <w:rPr>
          <w:rFonts w:ascii="Times New Roman" w:hAnsi="Times New Roman" w:cs="Times New Roman"/>
          <w:szCs w:val="21"/>
        </w:rPr>
        <w:t xml:space="preserve"> </w:t>
      </w:r>
      <w:r w:rsidRPr="00AA7239">
        <w:rPr>
          <w:rFonts w:ascii="Times New Roman" w:hAnsi="Times New Roman" w:cs="Times New Roman"/>
          <w:i/>
          <w:szCs w:val="21"/>
        </w:rPr>
        <w:t>MARCH5</w:t>
      </w:r>
      <w:r w:rsidRPr="00AA7239">
        <w:rPr>
          <w:rFonts w:ascii="Times New Roman" w:hAnsi="Times New Roman" w:cs="Times New Roman"/>
          <w:szCs w:val="21"/>
        </w:rPr>
        <w:t xml:space="preserve">, </w:t>
      </w:r>
      <w:r w:rsidRPr="00AA7239">
        <w:rPr>
          <w:rFonts w:ascii="Times New Roman" w:hAnsi="Times New Roman" w:cs="Times New Roman"/>
          <w:i/>
          <w:szCs w:val="21"/>
        </w:rPr>
        <w:t>HUWE1</w:t>
      </w:r>
      <w:r w:rsidRPr="00AA7239">
        <w:rPr>
          <w:rFonts w:ascii="Times New Roman" w:hAnsi="Times New Roman" w:cs="Times New Roman"/>
          <w:szCs w:val="21"/>
        </w:rPr>
        <w:t xml:space="preserve"> and </w:t>
      </w:r>
      <w:r w:rsidRPr="00AA7239">
        <w:rPr>
          <w:rFonts w:ascii="Times New Roman" w:hAnsi="Times New Roman" w:cs="Times New Roman"/>
          <w:i/>
          <w:szCs w:val="21"/>
        </w:rPr>
        <w:t>MUL1</w:t>
      </w:r>
      <w:r w:rsidRPr="00AA7239">
        <w:rPr>
          <w:rFonts w:ascii="Times New Roman" w:hAnsi="Times New Roman" w:cs="Times New Roman"/>
          <w:szCs w:val="21"/>
        </w:rPr>
        <w:t xml:space="preserve"> were listed in </w:t>
      </w:r>
      <w:r w:rsidRPr="00AA7239">
        <w:rPr>
          <w:rFonts w:ascii="Times New Roman" w:hAnsi="Times New Roman" w:cs="Times New Roman" w:hint="eastAsia"/>
          <w:szCs w:val="21"/>
        </w:rPr>
        <w:t xml:space="preserve">Supplementary </w:t>
      </w:r>
      <w:r w:rsidRPr="00AA7239">
        <w:rPr>
          <w:rFonts w:ascii="Times New Roman" w:hAnsi="Times New Roman" w:cs="Times New Roman"/>
          <w:szCs w:val="21"/>
        </w:rPr>
        <w:t xml:space="preserve">Table S1. The siRNAs were transfected with </w:t>
      </w:r>
      <w:proofErr w:type="spellStart"/>
      <w:r w:rsidRPr="00AA7239">
        <w:rPr>
          <w:rFonts w:ascii="Times New Roman" w:hAnsi="Times New Roman" w:cs="Times New Roman"/>
          <w:szCs w:val="21"/>
        </w:rPr>
        <w:t>Lipofectamine</w:t>
      </w:r>
      <w:proofErr w:type="spellEnd"/>
      <w:r w:rsidRPr="00AA7239">
        <w:rPr>
          <w:rFonts w:ascii="Times New Roman" w:hAnsi="Times New Roman" w:cs="Times New Roman"/>
          <w:szCs w:val="21"/>
        </w:rPr>
        <w:t xml:space="preserve"> 3000 (Invitrogen, L3000-015) reagent according to the manufacturer’s protocol.</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RNA isolation and real-time PCR</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 xml:space="preserve">Total RNA was extracted using </w:t>
      </w:r>
      <w:proofErr w:type="spellStart"/>
      <w:r w:rsidRPr="00AA7239">
        <w:rPr>
          <w:rFonts w:ascii="Times New Roman" w:hAnsi="Times New Roman" w:cs="Times New Roman"/>
          <w:szCs w:val="21"/>
        </w:rPr>
        <w:t>TRIzol</w:t>
      </w:r>
      <w:proofErr w:type="spellEnd"/>
      <w:r w:rsidRPr="00AA7239">
        <w:rPr>
          <w:rFonts w:ascii="Times New Roman" w:hAnsi="Times New Roman" w:cs="Times New Roman"/>
          <w:szCs w:val="21"/>
        </w:rPr>
        <w:t xml:space="preserve"> reagent (Invitrogen, 15596018), and then reversely transcribed to cDNA using the </w:t>
      </w:r>
      <w:proofErr w:type="spellStart"/>
      <w:r w:rsidRPr="00AA7239">
        <w:rPr>
          <w:rFonts w:ascii="Times New Roman" w:hAnsi="Times New Roman" w:cs="Times New Roman"/>
          <w:szCs w:val="21"/>
        </w:rPr>
        <w:t>PrimeScriptTM</w:t>
      </w:r>
      <w:proofErr w:type="spellEnd"/>
      <w:r w:rsidRPr="00AA7239">
        <w:rPr>
          <w:rFonts w:ascii="Times New Roman" w:hAnsi="Times New Roman" w:cs="Times New Roman"/>
          <w:szCs w:val="21"/>
        </w:rPr>
        <w:t xml:space="preserve"> RT Master Mix kit (</w:t>
      </w:r>
      <w:proofErr w:type="spellStart"/>
      <w:r w:rsidRPr="00AA7239">
        <w:rPr>
          <w:rFonts w:ascii="Times New Roman" w:hAnsi="Times New Roman" w:cs="Times New Roman"/>
          <w:szCs w:val="21"/>
        </w:rPr>
        <w:t>TaKaRa</w:t>
      </w:r>
      <w:proofErr w:type="spellEnd"/>
      <w:r w:rsidRPr="00AA7239">
        <w:rPr>
          <w:rFonts w:ascii="Times New Roman" w:hAnsi="Times New Roman" w:cs="Times New Roman"/>
          <w:szCs w:val="21"/>
        </w:rPr>
        <w:t xml:space="preserve">, RR036A) according to the manufacturer’s instructions. </w:t>
      </w:r>
      <w:proofErr w:type="spellStart"/>
      <w:proofErr w:type="gramStart"/>
      <w:r w:rsidRPr="00AA7239">
        <w:rPr>
          <w:rFonts w:ascii="Times New Roman" w:hAnsi="Times New Roman" w:cs="Times New Roman"/>
          <w:szCs w:val="21"/>
        </w:rPr>
        <w:t>qRT</w:t>
      </w:r>
      <w:proofErr w:type="spellEnd"/>
      <w:r w:rsidRPr="00AA7239">
        <w:rPr>
          <w:rFonts w:ascii="Times New Roman" w:hAnsi="Times New Roman" w:cs="Times New Roman"/>
          <w:szCs w:val="21"/>
        </w:rPr>
        <w:t>-PCR</w:t>
      </w:r>
      <w:proofErr w:type="gramEnd"/>
      <w:r w:rsidRPr="00AA7239">
        <w:rPr>
          <w:rFonts w:ascii="Times New Roman" w:hAnsi="Times New Roman" w:cs="Times New Roman"/>
          <w:szCs w:val="21"/>
        </w:rPr>
        <w:t xml:space="preserve"> was performed using SYBR Premix Ex </w:t>
      </w:r>
      <w:proofErr w:type="spellStart"/>
      <w:r w:rsidRPr="00AA7239">
        <w:rPr>
          <w:rFonts w:ascii="Times New Roman" w:hAnsi="Times New Roman" w:cs="Times New Roman"/>
          <w:szCs w:val="21"/>
        </w:rPr>
        <w:t>TaqTM</w:t>
      </w:r>
      <w:proofErr w:type="spellEnd"/>
      <w:r w:rsidRPr="00AA7239">
        <w:rPr>
          <w:rFonts w:ascii="Times New Roman" w:hAnsi="Times New Roman" w:cs="Times New Roman"/>
          <w:szCs w:val="21"/>
        </w:rPr>
        <w:t xml:space="preserve"> II kit (</w:t>
      </w:r>
      <w:proofErr w:type="spellStart"/>
      <w:r w:rsidRPr="00AA7239">
        <w:rPr>
          <w:rFonts w:ascii="Times New Roman" w:hAnsi="Times New Roman" w:cs="Times New Roman"/>
          <w:szCs w:val="21"/>
        </w:rPr>
        <w:t>TaKaRa</w:t>
      </w:r>
      <w:proofErr w:type="spellEnd"/>
      <w:r w:rsidRPr="00AA7239">
        <w:rPr>
          <w:rFonts w:ascii="Times New Roman" w:hAnsi="Times New Roman" w:cs="Times New Roman"/>
          <w:szCs w:val="21"/>
        </w:rPr>
        <w:t xml:space="preserve">, RR820A) with a Bio-Rad Multicolor Real-time PCR Detection System (Bio-Rad, iQTM5). The primers were listed in </w:t>
      </w:r>
      <w:r w:rsidRPr="00AA7239">
        <w:rPr>
          <w:rFonts w:ascii="Times New Roman" w:hAnsi="Times New Roman" w:cs="Times New Roman" w:hint="eastAsia"/>
          <w:szCs w:val="21"/>
        </w:rPr>
        <w:t xml:space="preserve">Supplementary </w:t>
      </w:r>
      <w:r w:rsidRPr="00AA7239">
        <w:rPr>
          <w:rFonts w:ascii="Times New Roman" w:hAnsi="Times New Roman" w:cs="Times New Roman"/>
          <w:szCs w:val="21"/>
        </w:rPr>
        <w:t>Table S1. Threshold cycle (CT) values were used to calculate the fold change by the 2</w:t>
      </w:r>
      <w:r w:rsidRPr="00AA7239">
        <w:rPr>
          <w:rFonts w:ascii="Times New Roman" w:hAnsi="Times New Roman" w:cs="Times New Roman"/>
          <w:szCs w:val="21"/>
          <w:vertAlign w:val="superscript"/>
        </w:rPr>
        <w:t>-ΔΔCT</w:t>
      </w:r>
      <w:r w:rsidRPr="00AA7239">
        <w:rPr>
          <w:rFonts w:ascii="Times New Roman" w:hAnsi="Times New Roman" w:cs="Times New Roman"/>
          <w:szCs w:val="21"/>
        </w:rPr>
        <w:t xml:space="preserve"> method, and β-actin mRNA was used as an internal control.</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 xml:space="preserve">Apoptosis </w:t>
      </w:r>
      <w:r w:rsidRPr="00AA7239">
        <w:rPr>
          <w:rFonts w:ascii="Times New Roman" w:hAnsi="Times New Roman" w:cs="Times New Roman" w:hint="eastAsia"/>
          <w:b/>
          <w:szCs w:val="21"/>
        </w:rPr>
        <w:t>a</w:t>
      </w:r>
      <w:r w:rsidRPr="00AA7239">
        <w:rPr>
          <w:rFonts w:ascii="Times New Roman" w:hAnsi="Times New Roman" w:cs="Times New Roman"/>
          <w:b/>
          <w:szCs w:val="21"/>
        </w:rPr>
        <w:t>ssay</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Melanoma cells were seeded at 4-5 × 10</w:t>
      </w:r>
      <w:r w:rsidRPr="00AA7239">
        <w:rPr>
          <w:rFonts w:ascii="Times New Roman" w:hAnsi="Times New Roman" w:cs="Times New Roman"/>
          <w:szCs w:val="21"/>
          <w:vertAlign w:val="superscript"/>
        </w:rPr>
        <w:t xml:space="preserve">5 </w:t>
      </w:r>
      <w:r w:rsidRPr="00AA7239">
        <w:rPr>
          <w:rFonts w:ascii="Times New Roman" w:hAnsi="Times New Roman" w:cs="Times New Roman"/>
          <w:szCs w:val="21"/>
        </w:rPr>
        <w:t xml:space="preserve">cells per well in 6-well plates overnight followed by the desired treatment, and then cells were collected and </w:t>
      </w:r>
      <w:proofErr w:type="spellStart"/>
      <w:r w:rsidRPr="00AA7239">
        <w:rPr>
          <w:rFonts w:ascii="Times New Roman" w:hAnsi="Times New Roman" w:cs="Times New Roman"/>
          <w:szCs w:val="21"/>
        </w:rPr>
        <w:t>resuspended</w:t>
      </w:r>
      <w:proofErr w:type="spellEnd"/>
      <w:r w:rsidRPr="00AA7239">
        <w:rPr>
          <w:rFonts w:ascii="Times New Roman" w:hAnsi="Times New Roman" w:cs="Times New Roman"/>
          <w:szCs w:val="21"/>
        </w:rPr>
        <w:t xml:space="preserve"> with 400 </w:t>
      </w:r>
      <w:proofErr w:type="spellStart"/>
      <w:r w:rsidRPr="00AA7239">
        <w:rPr>
          <w:rFonts w:ascii="Times New Roman" w:hAnsi="Times New Roman" w:cs="Times New Roman"/>
          <w:szCs w:val="21"/>
        </w:rPr>
        <w:t>μl</w:t>
      </w:r>
      <w:proofErr w:type="spellEnd"/>
      <w:r w:rsidRPr="00AA7239">
        <w:rPr>
          <w:rFonts w:ascii="Times New Roman" w:hAnsi="Times New Roman" w:cs="Times New Roman"/>
          <w:szCs w:val="21"/>
        </w:rPr>
        <w:t xml:space="preserve"> binding buffer containing 5 </w:t>
      </w:r>
      <w:proofErr w:type="spellStart"/>
      <w:r w:rsidRPr="00AA7239">
        <w:rPr>
          <w:rFonts w:ascii="Times New Roman" w:hAnsi="Times New Roman" w:cs="Times New Roman"/>
          <w:szCs w:val="21"/>
        </w:rPr>
        <w:t>μl</w:t>
      </w:r>
      <w:proofErr w:type="spellEnd"/>
      <w:r w:rsidRPr="00AA7239">
        <w:rPr>
          <w:rFonts w:ascii="Times New Roman" w:hAnsi="Times New Roman" w:cs="Times New Roman"/>
          <w:szCs w:val="21"/>
        </w:rPr>
        <w:t xml:space="preserve"> </w:t>
      </w:r>
      <w:proofErr w:type="spellStart"/>
      <w:r w:rsidRPr="00AA7239">
        <w:rPr>
          <w:rFonts w:ascii="Times New Roman" w:hAnsi="Times New Roman" w:cs="Times New Roman"/>
          <w:szCs w:val="21"/>
        </w:rPr>
        <w:t>Annexin</w:t>
      </w:r>
      <w:proofErr w:type="spellEnd"/>
      <w:r w:rsidRPr="00AA7239">
        <w:rPr>
          <w:rFonts w:ascii="Times New Roman" w:hAnsi="Times New Roman" w:cs="Times New Roman"/>
          <w:szCs w:val="21"/>
        </w:rPr>
        <w:t xml:space="preserve"> V-FITC and 10 </w:t>
      </w:r>
      <w:proofErr w:type="spellStart"/>
      <w:r w:rsidRPr="00AA7239">
        <w:rPr>
          <w:rFonts w:ascii="Times New Roman" w:hAnsi="Times New Roman" w:cs="Times New Roman"/>
          <w:szCs w:val="21"/>
        </w:rPr>
        <w:t>μl</w:t>
      </w:r>
      <w:proofErr w:type="spellEnd"/>
      <w:r w:rsidRPr="00AA7239">
        <w:rPr>
          <w:rFonts w:ascii="Times New Roman" w:hAnsi="Times New Roman" w:cs="Times New Roman"/>
          <w:szCs w:val="21"/>
        </w:rPr>
        <w:t xml:space="preserve"> PI (7Seabiotech, A005-4). The stained samples were analyzed with a flow cytometer (Beckman Coulter).</w:t>
      </w:r>
      <w:r w:rsidRPr="00AA7239">
        <w:rPr>
          <w:rFonts w:ascii="Times New Roman" w:hAnsi="Times New Roman" w:cs="Times New Roman" w:hint="eastAsia"/>
          <w:szCs w:val="21"/>
        </w:rPr>
        <w:t xml:space="preserve"> </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 xml:space="preserve">Cell viability </w:t>
      </w:r>
      <w:r w:rsidRPr="00AA7239">
        <w:rPr>
          <w:rFonts w:ascii="Times New Roman" w:hAnsi="Times New Roman" w:cs="Times New Roman" w:hint="eastAsia"/>
          <w:b/>
          <w:szCs w:val="21"/>
        </w:rPr>
        <w:t>a</w:t>
      </w:r>
      <w:r w:rsidRPr="00AA7239">
        <w:rPr>
          <w:rFonts w:ascii="Times New Roman" w:hAnsi="Times New Roman" w:cs="Times New Roman"/>
          <w:b/>
          <w:szCs w:val="21"/>
        </w:rPr>
        <w:t>ssay</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Cell viability was determined by the CCK-8 assay (7Seabiotech, C008-2) according to the manufacturer’s instructions. Briefly, 5000 cells seeded in each well of 96-well plates were allowed to grown overnight followed by the indicated treatment. After 48 h, cells were then incubated with CCK-8 reagents for 1.5 h and the absorbance was measured at 450 nm in a Microplate Reader (Bio-Rad, Model 680).</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Evaluation of mitochondrial ROS</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 xml:space="preserve">For detection of mitochondrial ROS, cells were harvested and washed twice with PBS, followed by staining with 5 </w:t>
      </w:r>
      <w:proofErr w:type="spellStart"/>
      <w:r w:rsidRPr="00AA7239">
        <w:rPr>
          <w:rFonts w:ascii="Times New Roman" w:hAnsi="Times New Roman" w:cs="Times New Roman"/>
          <w:szCs w:val="21"/>
        </w:rPr>
        <w:t>μM</w:t>
      </w:r>
      <w:proofErr w:type="spellEnd"/>
      <w:r w:rsidRPr="00AA7239">
        <w:rPr>
          <w:rFonts w:ascii="Times New Roman" w:hAnsi="Times New Roman" w:cs="Times New Roman"/>
          <w:szCs w:val="21"/>
        </w:rPr>
        <w:t xml:space="preserve"> </w:t>
      </w:r>
      <w:proofErr w:type="spellStart"/>
      <w:r w:rsidRPr="00AA7239">
        <w:rPr>
          <w:rFonts w:ascii="Times New Roman" w:hAnsi="Times New Roman" w:cs="Times New Roman"/>
          <w:szCs w:val="21"/>
        </w:rPr>
        <w:t>MitoSoxRed</w:t>
      </w:r>
      <w:proofErr w:type="spellEnd"/>
      <w:r w:rsidRPr="00AA7239">
        <w:rPr>
          <w:rFonts w:ascii="Times New Roman" w:hAnsi="Times New Roman" w:cs="Times New Roman"/>
          <w:szCs w:val="21"/>
        </w:rPr>
        <w:t xml:space="preserve"> (Invitrogen, M36008) for 20 min at 37°C. Stained samples were analyzed by a flow cytometer (Beckman Coulter).</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Measurement of ATP level</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Intracellular ATP levels were determined using the ATP Bioluminescence Assay Kit (</w:t>
      </w:r>
      <w:proofErr w:type="spellStart"/>
      <w:r w:rsidRPr="00AA7239">
        <w:rPr>
          <w:rFonts w:ascii="Times New Roman" w:hAnsi="Times New Roman" w:cs="Times New Roman"/>
          <w:szCs w:val="21"/>
        </w:rPr>
        <w:t>Beyotime</w:t>
      </w:r>
      <w:proofErr w:type="spellEnd"/>
      <w:r w:rsidRPr="00AA7239">
        <w:rPr>
          <w:rFonts w:ascii="Times New Roman" w:hAnsi="Times New Roman" w:cs="Times New Roman"/>
          <w:szCs w:val="21"/>
        </w:rPr>
        <w:t xml:space="preserve">, S0026) according to the manufacturer’s instructions. Briefly, cells were collected after the treatment and lysed, followed by dilution with reaction buffer. The level of ATP was measured by mixing 20 </w:t>
      </w:r>
      <w:proofErr w:type="spellStart"/>
      <w:r w:rsidRPr="00AA7239">
        <w:rPr>
          <w:rFonts w:ascii="Times New Roman" w:hAnsi="Times New Roman" w:cs="Times New Roman"/>
          <w:szCs w:val="21"/>
        </w:rPr>
        <w:t>μl</w:t>
      </w:r>
      <w:proofErr w:type="spellEnd"/>
      <w:r w:rsidRPr="00AA7239">
        <w:rPr>
          <w:rFonts w:ascii="Times New Roman" w:hAnsi="Times New Roman" w:cs="Times New Roman"/>
          <w:szCs w:val="21"/>
        </w:rPr>
        <w:t xml:space="preserve"> supernatant with 100 </w:t>
      </w:r>
      <w:proofErr w:type="spellStart"/>
      <w:r w:rsidRPr="00AA7239">
        <w:rPr>
          <w:rFonts w:ascii="Times New Roman" w:hAnsi="Times New Roman" w:cs="Times New Roman"/>
          <w:szCs w:val="21"/>
        </w:rPr>
        <w:t>μl</w:t>
      </w:r>
      <w:proofErr w:type="spellEnd"/>
      <w:r w:rsidRPr="00AA7239">
        <w:rPr>
          <w:rFonts w:ascii="Times New Roman" w:hAnsi="Times New Roman" w:cs="Times New Roman"/>
          <w:szCs w:val="21"/>
        </w:rPr>
        <w:t xml:space="preserve"> luciferase reagent, catalyzing the light production from ATP and luciferin. The emitted light was linearly related to the ATP concentration and measured by a microplate reader (Bio-Rad, Model 680). Protein concentration was determined using BCA protein assay kit (</w:t>
      </w:r>
      <w:proofErr w:type="spellStart"/>
      <w:r w:rsidRPr="00AA7239">
        <w:rPr>
          <w:rFonts w:ascii="Times New Roman" w:hAnsi="Times New Roman" w:cs="Times New Roman"/>
          <w:szCs w:val="21"/>
        </w:rPr>
        <w:t>Beyotime</w:t>
      </w:r>
      <w:proofErr w:type="spellEnd"/>
      <w:r w:rsidRPr="00AA7239">
        <w:rPr>
          <w:rFonts w:ascii="Times New Roman" w:hAnsi="Times New Roman" w:cs="Times New Roman"/>
          <w:szCs w:val="21"/>
        </w:rPr>
        <w:t xml:space="preserve">, P0011) and the ATP level was normalized to total cellular protein. </w:t>
      </w:r>
    </w:p>
    <w:p w:rsidR="0078009B" w:rsidRPr="00AA7239" w:rsidRDefault="0078009B" w:rsidP="0078009B">
      <w:pPr>
        <w:spacing w:line="360" w:lineRule="auto"/>
        <w:jc w:val="left"/>
        <w:rPr>
          <w:rFonts w:ascii="Times New Roman" w:hAnsi="Times New Roman" w:cs="Times New Roman"/>
          <w:b/>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Tumor tissue microarray and immunohistochemistry staining</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 xml:space="preserve">Melanoma tissue microarray (M1004e) was purchased from US </w:t>
      </w:r>
      <w:proofErr w:type="spellStart"/>
      <w:r w:rsidRPr="00AA7239">
        <w:rPr>
          <w:rFonts w:ascii="Times New Roman" w:hAnsi="Times New Roman" w:cs="Times New Roman"/>
          <w:szCs w:val="21"/>
        </w:rPr>
        <w:t>Biomax</w:t>
      </w:r>
      <w:proofErr w:type="spellEnd"/>
      <w:r w:rsidRPr="00AA7239">
        <w:rPr>
          <w:rFonts w:ascii="Times New Roman" w:hAnsi="Times New Roman" w:cs="Times New Roman"/>
          <w:szCs w:val="21"/>
        </w:rPr>
        <w:t xml:space="preserve"> Inc. (Rockville, MD, USA). Detailed information can be accessed via </w:t>
      </w:r>
      <w:hyperlink r:id="rId5" w:history="1">
        <w:r w:rsidRPr="00AA7239">
          <w:rPr>
            <w:rStyle w:val="a3"/>
            <w:rFonts w:ascii="Times New Roman" w:hAnsi="Times New Roman" w:cs="Times New Roman"/>
            <w:szCs w:val="21"/>
          </w:rPr>
          <w:t>http://www.biomax.us/tissue-arrays/Melanoma/ME1004e</w:t>
        </w:r>
      </w:hyperlink>
      <w:r w:rsidRPr="00AA7239">
        <w:rPr>
          <w:rFonts w:ascii="Times New Roman" w:hAnsi="Times New Roman" w:cs="Times New Roman"/>
          <w:szCs w:val="21"/>
        </w:rPr>
        <w:t>. For the immunohistochemistry analysis, the TMA sections were de-</w:t>
      </w:r>
      <w:proofErr w:type="spellStart"/>
      <w:r w:rsidRPr="00AA7239">
        <w:rPr>
          <w:rFonts w:ascii="Times New Roman" w:hAnsi="Times New Roman" w:cs="Times New Roman"/>
          <w:szCs w:val="21"/>
        </w:rPr>
        <w:t>paraffinized</w:t>
      </w:r>
      <w:proofErr w:type="spellEnd"/>
      <w:r w:rsidRPr="00AA7239">
        <w:rPr>
          <w:rFonts w:ascii="Times New Roman" w:hAnsi="Times New Roman" w:cs="Times New Roman"/>
          <w:szCs w:val="21"/>
        </w:rPr>
        <w:t xml:space="preserve">, incubated with 3% hydrogen peroxide and then subjected to antigen retrieval in citrate or EDTA antigen retrieval buffer. The sections were incubated </w:t>
      </w:r>
      <w:r w:rsidRPr="00AA7239">
        <w:rPr>
          <w:rFonts w:ascii="Times New Roman" w:hAnsi="Times New Roman" w:cs="Times New Roman"/>
          <w:szCs w:val="21"/>
        </w:rPr>
        <w:lastRenderedPageBreak/>
        <w:t xml:space="preserve">with incubated with primary antibodies overnight </w:t>
      </w:r>
      <w:proofErr w:type="spellStart"/>
      <w:r w:rsidRPr="00AA7239">
        <w:rPr>
          <w:rFonts w:ascii="Times New Roman" w:hAnsi="Times New Roman" w:cs="Times New Roman"/>
          <w:szCs w:val="21"/>
        </w:rPr>
        <w:t>overnight</w:t>
      </w:r>
      <w:proofErr w:type="spellEnd"/>
      <w:r w:rsidRPr="00AA7239">
        <w:rPr>
          <w:rFonts w:ascii="Times New Roman" w:hAnsi="Times New Roman" w:cs="Times New Roman"/>
          <w:szCs w:val="21"/>
        </w:rPr>
        <w:t xml:space="preserve"> at 4°C followed by incubating with HRP-conjugated goat-anti rabbit/mouse IgG (1:200, </w:t>
      </w:r>
      <w:proofErr w:type="spellStart"/>
      <w:r w:rsidRPr="00AA7239">
        <w:rPr>
          <w:rFonts w:ascii="Times New Roman" w:hAnsi="Times New Roman" w:cs="Times New Roman"/>
          <w:szCs w:val="21"/>
        </w:rPr>
        <w:t>Earthox</w:t>
      </w:r>
      <w:proofErr w:type="spellEnd"/>
      <w:r w:rsidRPr="00AA7239">
        <w:rPr>
          <w:rFonts w:ascii="Times New Roman" w:hAnsi="Times New Roman" w:cs="Times New Roman"/>
          <w:szCs w:val="21"/>
        </w:rPr>
        <w:t>, Millbrae, USA) for 40 min at room temperature. Subsequently, the bound antibody was detected using 3, 3-diaminobenzidine and the sections were then counterstained with hematoxylin, dehydrated and mounted. Primary antibodies used were listed in</w:t>
      </w:r>
      <w:r w:rsidRPr="00AA7239">
        <w:rPr>
          <w:rFonts w:ascii="Times New Roman" w:hAnsi="Times New Roman" w:cs="Times New Roman" w:hint="eastAsia"/>
          <w:szCs w:val="21"/>
        </w:rPr>
        <w:t xml:space="preserve"> Supplementary </w:t>
      </w:r>
      <w:r w:rsidRPr="00AA7239">
        <w:rPr>
          <w:rFonts w:ascii="Times New Roman" w:hAnsi="Times New Roman" w:cs="Times New Roman"/>
          <w:szCs w:val="21"/>
        </w:rPr>
        <w:t>Table S</w:t>
      </w:r>
      <w:r w:rsidRPr="00AA7239">
        <w:rPr>
          <w:rFonts w:ascii="Times New Roman" w:hAnsi="Times New Roman" w:cs="Times New Roman" w:hint="eastAsia"/>
          <w:szCs w:val="21"/>
        </w:rPr>
        <w:t>2</w:t>
      </w:r>
      <w:r w:rsidRPr="00AA7239">
        <w:rPr>
          <w:rFonts w:ascii="Times New Roman" w:hAnsi="Times New Roman" w:cs="Times New Roman"/>
          <w:szCs w:val="21"/>
        </w:rPr>
        <w:t xml:space="preserve">. The staining samples were quantified by Image J </w:t>
      </w:r>
      <w:proofErr w:type="spellStart"/>
      <w:r w:rsidRPr="00AA7239">
        <w:rPr>
          <w:rFonts w:ascii="Times New Roman" w:hAnsi="Times New Roman" w:cs="Times New Roman"/>
          <w:szCs w:val="21"/>
        </w:rPr>
        <w:t>Proplus</w:t>
      </w:r>
      <w:proofErr w:type="spellEnd"/>
      <w:r w:rsidRPr="00AA7239">
        <w:rPr>
          <w:rFonts w:ascii="Times New Roman" w:hAnsi="Times New Roman" w:cs="Times New Roman"/>
          <w:szCs w:val="21"/>
        </w:rPr>
        <w:t xml:space="preserve"> software.</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Protein preparation, immunoblotting and co-immunoprecipitation</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Total protein extracts were lysed with RIPA lysis buffer (</w:t>
      </w:r>
      <w:proofErr w:type="spellStart"/>
      <w:r w:rsidRPr="00AA7239">
        <w:rPr>
          <w:rFonts w:ascii="Times New Roman" w:hAnsi="Times New Roman" w:cs="Times New Roman"/>
          <w:szCs w:val="21"/>
        </w:rPr>
        <w:t>Beyotime</w:t>
      </w:r>
      <w:proofErr w:type="spellEnd"/>
      <w:r w:rsidRPr="00AA7239">
        <w:rPr>
          <w:rFonts w:ascii="Times New Roman" w:hAnsi="Times New Roman" w:cs="Times New Roman"/>
          <w:szCs w:val="21"/>
        </w:rPr>
        <w:t xml:space="preserve">, P0013B) containing protease inhibitor </w:t>
      </w:r>
      <w:proofErr w:type="spellStart"/>
      <w:r w:rsidRPr="00AA7239">
        <w:rPr>
          <w:rFonts w:ascii="Times New Roman" w:hAnsi="Times New Roman" w:cs="Times New Roman"/>
          <w:szCs w:val="21"/>
        </w:rPr>
        <w:t>phenylmethylsulfonyl</w:t>
      </w:r>
      <w:proofErr w:type="spellEnd"/>
      <w:r w:rsidRPr="00AA7239">
        <w:rPr>
          <w:rFonts w:ascii="Times New Roman" w:hAnsi="Times New Roman" w:cs="Times New Roman"/>
          <w:szCs w:val="21"/>
        </w:rPr>
        <w:t xml:space="preserve"> fluoride (PMSF, Sigma-Aldrich, PMSF-RO) and phosphatase inhibitor cocktail (Roche, 04906845001) on ice and were then centrifuged at 12000 rpm for 15 min. The total protein was quantified with a BCA Protein Assay kit (</w:t>
      </w:r>
      <w:proofErr w:type="spellStart"/>
      <w:r w:rsidRPr="00AA7239">
        <w:rPr>
          <w:rFonts w:ascii="Times New Roman" w:hAnsi="Times New Roman" w:cs="Times New Roman"/>
          <w:szCs w:val="21"/>
        </w:rPr>
        <w:t>Beyotime</w:t>
      </w:r>
      <w:proofErr w:type="spellEnd"/>
      <w:r w:rsidRPr="00AA7239">
        <w:rPr>
          <w:rFonts w:ascii="Times New Roman" w:hAnsi="Times New Roman" w:cs="Times New Roman"/>
          <w:szCs w:val="21"/>
        </w:rPr>
        <w:t>, P0012). Equal amounts of protein samples were separated by SDS-PAGE (</w:t>
      </w:r>
      <w:proofErr w:type="spellStart"/>
      <w:r w:rsidRPr="00AA7239">
        <w:rPr>
          <w:rFonts w:ascii="Times New Roman" w:hAnsi="Times New Roman" w:cs="Times New Roman"/>
          <w:szCs w:val="21"/>
        </w:rPr>
        <w:t>Beyotime</w:t>
      </w:r>
      <w:proofErr w:type="spellEnd"/>
      <w:r w:rsidRPr="00AA7239">
        <w:rPr>
          <w:rFonts w:ascii="Times New Roman" w:hAnsi="Times New Roman" w:cs="Times New Roman"/>
          <w:szCs w:val="21"/>
        </w:rPr>
        <w:t xml:space="preserve">, P0012A) and were then transferred to </w:t>
      </w:r>
      <w:proofErr w:type="spellStart"/>
      <w:r w:rsidRPr="00AA7239">
        <w:rPr>
          <w:rFonts w:ascii="Times New Roman" w:hAnsi="Times New Roman" w:cs="Times New Roman"/>
          <w:szCs w:val="21"/>
        </w:rPr>
        <w:t>polyvinylidene</w:t>
      </w:r>
      <w:proofErr w:type="spellEnd"/>
      <w:r w:rsidRPr="00AA7239">
        <w:rPr>
          <w:rFonts w:ascii="Times New Roman" w:hAnsi="Times New Roman" w:cs="Times New Roman"/>
          <w:szCs w:val="21"/>
        </w:rPr>
        <w:t xml:space="preserve"> difluoride (PVDF) membranes (Millipore, IPVH00010). Spectra™ Multicolor Broad Range Protein Ladder (</w:t>
      </w:r>
      <w:proofErr w:type="spellStart"/>
      <w:r w:rsidRPr="00AA7239">
        <w:rPr>
          <w:rFonts w:ascii="Times New Roman" w:hAnsi="Times New Roman" w:cs="Times New Roman"/>
          <w:szCs w:val="21"/>
        </w:rPr>
        <w:t>Fermentas</w:t>
      </w:r>
      <w:proofErr w:type="spellEnd"/>
      <w:r w:rsidRPr="00AA7239">
        <w:rPr>
          <w:rFonts w:ascii="Times New Roman" w:hAnsi="Times New Roman" w:cs="Times New Roman"/>
          <w:szCs w:val="21"/>
        </w:rPr>
        <w:t xml:space="preserve">, 26617) was used to confirm protein electrophoresis and transferring. Then the membranes were blocked for 1 h in 1 × TBST containing 5% non-fat milk and incubated with primary antibodies overnight at 4°C. After washing with 1 × TBST, the membranes were incubated with HRP-conjugated goat anti-mouse or anti-rabbit IgG (1:5000, Jackson </w:t>
      </w:r>
      <w:proofErr w:type="spellStart"/>
      <w:r w:rsidRPr="00AA7239">
        <w:rPr>
          <w:rFonts w:ascii="Times New Roman" w:hAnsi="Times New Roman" w:cs="Times New Roman"/>
          <w:szCs w:val="21"/>
        </w:rPr>
        <w:t>ImmunoResearch</w:t>
      </w:r>
      <w:proofErr w:type="spellEnd"/>
      <w:r w:rsidRPr="00AA7239">
        <w:rPr>
          <w:rFonts w:ascii="Times New Roman" w:hAnsi="Times New Roman" w:cs="Times New Roman"/>
          <w:szCs w:val="21"/>
        </w:rPr>
        <w:t>, 115-035-003) for 2 h at room temperature. The bands were detected with Western ECL substrate (</w:t>
      </w:r>
      <w:proofErr w:type="spellStart"/>
      <w:r w:rsidRPr="00AA7239">
        <w:rPr>
          <w:rFonts w:ascii="Times New Roman" w:hAnsi="Times New Roman" w:cs="Times New Roman"/>
          <w:szCs w:val="21"/>
        </w:rPr>
        <w:t>Thermo</w:t>
      </w:r>
      <w:proofErr w:type="spellEnd"/>
      <w:r w:rsidRPr="00AA7239">
        <w:rPr>
          <w:rFonts w:ascii="Times New Roman" w:hAnsi="Times New Roman" w:cs="Times New Roman"/>
          <w:szCs w:val="21"/>
        </w:rPr>
        <w:t xml:space="preserve"> Scientific, 35055). </w:t>
      </w:r>
      <w:proofErr w:type="gramStart"/>
      <w:r w:rsidRPr="00AA7239">
        <w:rPr>
          <w:rFonts w:ascii="Times New Roman" w:hAnsi="Times New Roman" w:cs="Times New Roman"/>
          <w:szCs w:val="21"/>
        </w:rPr>
        <w:t>β-actin</w:t>
      </w:r>
      <w:proofErr w:type="gramEnd"/>
      <w:r w:rsidRPr="00AA7239">
        <w:rPr>
          <w:rFonts w:ascii="Times New Roman" w:hAnsi="Times New Roman" w:cs="Times New Roman"/>
          <w:szCs w:val="21"/>
        </w:rPr>
        <w:t xml:space="preserve"> was used as a loading control. Primary antibodies used were listed in Table S2. For co-IP, cells were lysed in IP lysis buffer (0.025 M </w:t>
      </w:r>
      <w:proofErr w:type="spellStart"/>
      <w:r w:rsidRPr="00AA7239">
        <w:rPr>
          <w:rFonts w:ascii="Times New Roman" w:hAnsi="Times New Roman" w:cs="Times New Roman"/>
          <w:szCs w:val="21"/>
        </w:rPr>
        <w:t>Tris</w:t>
      </w:r>
      <w:proofErr w:type="spellEnd"/>
      <w:r w:rsidRPr="00AA7239">
        <w:rPr>
          <w:rFonts w:ascii="Times New Roman" w:hAnsi="Times New Roman" w:cs="Times New Roman"/>
          <w:szCs w:val="21"/>
        </w:rPr>
        <w:t xml:space="preserve">, 0.15 M </w:t>
      </w:r>
      <w:proofErr w:type="spellStart"/>
      <w:r w:rsidRPr="00AA7239">
        <w:rPr>
          <w:rFonts w:ascii="Times New Roman" w:hAnsi="Times New Roman" w:cs="Times New Roman"/>
          <w:szCs w:val="21"/>
        </w:rPr>
        <w:t>NaCl</w:t>
      </w:r>
      <w:proofErr w:type="spellEnd"/>
      <w:r w:rsidRPr="00AA7239">
        <w:rPr>
          <w:rFonts w:ascii="Times New Roman" w:hAnsi="Times New Roman" w:cs="Times New Roman"/>
          <w:szCs w:val="21"/>
        </w:rPr>
        <w:t xml:space="preserve">, 0.001 M EDTA, 1% NP-40, 5% glycerol; pH 7.4) supplemented with a protease inhibitor cocktail. Cell lysates were mixed with antibodies at 4℃ for 1 h. After the addition of protein A/G PLUS-Agarose (Santa Cruz, sc-2003) into the lysates, the mixture was incubated at 4℃ overnight. The </w:t>
      </w:r>
      <w:proofErr w:type="spellStart"/>
      <w:r w:rsidRPr="00AA7239">
        <w:rPr>
          <w:rFonts w:ascii="Times New Roman" w:hAnsi="Times New Roman" w:cs="Times New Roman"/>
          <w:szCs w:val="21"/>
        </w:rPr>
        <w:t>immunoprecipitate</w:t>
      </w:r>
      <w:proofErr w:type="spellEnd"/>
      <w:r w:rsidRPr="00AA7239">
        <w:rPr>
          <w:rFonts w:ascii="Times New Roman" w:hAnsi="Times New Roman" w:cs="Times New Roman"/>
          <w:szCs w:val="21"/>
        </w:rPr>
        <w:t xml:space="preserve"> was collected and washed extensively 4 times with PBS buffer and subjected to western blot.</w:t>
      </w:r>
      <w:r w:rsidRPr="00AA7239">
        <w:rPr>
          <w:rFonts w:ascii="Times New Roman" w:hAnsi="Times New Roman" w:cs="Times New Roman" w:hint="eastAsia"/>
          <w:szCs w:val="21"/>
        </w:rPr>
        <w:t xml:space="preserve"> </w:t>
      </w:r>
      <w:r w:rsidRPr="00AA7239">
        <w:rPr>
          <w:rFonts w:ascii="Times New Roman" w:hAnsi="Times New Roman" w:cs="Times New Roman"/>
          <w:szCs w:val="21"/>
        </w:rPr>
        <w:t>Primary antibodies used were listed in</w:t>
      </w:r>
      <w:r w:rsidRPr="00AA7239">
        <w:rPr>
          <w:rFonts w:ascii="Times New Roman" w:hAnsi="Times New Roman" w:cs="Times New Roman" w:hint="eastAsia"/>
          <w:szCs w:val="21"/>
        </w:rPr>
        <w:t xml:space="preserve"> Supplementary </w:t>
      </w:r>
      <w:r w:rsidRPr="00AA7239">
        <w:rPr>
          <w:rFonts w:ascii="Times New Roman" w:hAnsi="Times New Roman" w:cs="Times New Roman"/>
          <w:szCs w:val="21"/>
        </w:rPr>
        <w:t>Table S</w:t>
      </w:r>
      <w:r w:rsidRPr="00AA7239">
        <w:rPr>
          <w:rFonts w:ascii="Times New Roman" w:hAnsi="Times New Roman" w:cs="Times New Roman" w:hint="eastAsia"/>
          <w:szCs w:val="21"/>
        </w:rPr>
        <w:t>2.</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b/>
          <w:szCs w:val="21"/>
        </w:rPr>
        <w:t>Mitochondrial network imaging and immunofluorescence</w:t>
      </w:r>
      <w:r w:rsidRPr="00AA7239">
        <w:rPr>
          <w:rFonts w:ascii="Times New Roman" w:hAnsi="Times New Roman" w:cs="Times New Roman" w:hint="eastAsia"/>
          <w:b/>
          <w:szCs w:val="21"/>
        </w:rPr>
        <w:t xml:space="preserve"> staining analysis</w:t>
      </w:r>
    </w:p>
    <w:p w:rsidR="0078009B" w:rsidRDefault="0078009B" w:rsidP="0078009B">
      <w:pPr>
        <w:spacing w:line="360" w:lineRule="auto"/>
        <w:jc w:val="left"/>
        <w:rPr>
          <w:rFonts w:ascii="Times New Roman" w:hAnsi="Times New Roman" w:cs="Times New Roman" w:hint="eastAsia"/>
          <w:szCs w:val="21"/>
        </w:rPr>
      </w:pPr>
      <w:r w:rsidRPr="00AA7239">
        <w:rPr>
          <w:rFonts w:ascii="Times New Roman" w:hAnsi="Times New Roman" w:cs="Times New Roman"/>
          <w:szCs w:val="21"/>
        </w:rPr>
        <w:t xml:space="preserve">The fluorescent dye </w:t>
      </w:r>
      <w:proofErr w:type="spellStart"/>
      <w:r w:rsidRPr="00AA7239">
        <w:rPr>
          <w:rFonts w:ascii="Times New Roman" w:hAnsi="Times New Roman" w:cs="Times New Roman"/>
          <w:szCs w:val="21"/>
        </w:rPr>
        <w:t>MitoTracker</w:t>
      </w:r>
      <w:proofErr w:type="spellEnd"/>
      <w:r w:rsidRPr="00AA7239">
        <w:rPr>
          <w:rFonts w:ascii="Times New Roman" w:hAnsi="Times New Roman" w:cs="Times New Roman"/>
          <w:szCs w:val="21"/>
        </w:rPr>
        <w:t xml:space="preserve"> Green FM (Invitrogen, M7514) was used to monitor mitochondrial morphology in living cells according to the manufacturer’s instructions. Briefly, living cells with indicated treatment were incubated with 20 </w:t>
      </w:r>
      <w:proofErr w:type="spellStart"/>
      <w:r w:rsidRPr="00AA7239">
        <w:rPr>
          <w:rFonts w:ascii="Times New Roman" w:hAnsi="Times New Roman" w:cs="Times New Roman"/>
          <w:szCs w:val="21"/>
        </w:rPr>
        <w:t>nM</w:t>
      </w:r>
      <w:proofErr w:type="spellEnd"/>
      <w:r w:rsidRPr="00AA7239">
        <w:rPr>
          <w:rFonts w:ascii="Times New Roman" w:hAnsi="Times New Roman" w:cs="Times New Roman"/>
          <w:szCs w:val="21"/>
        </w:rPr>
        <w:t xml:space="preserve"> </w:t>
      </w:r>
      <w:proofErr w:type="spellStart"/>
      <w:r w:rsidRPr="00AA7239">
        <w:rPr>
          <w:rFonts w:ascii="Times New Roman" w:hAnsi="Times New Roman" w:cs="Times New Roman"/>
          <w:szCs w:val="21"/>
        </w:rPr>
        <w:t>MitoTracker</w:t>
      </w:r>
      <w:proofErr w:type="spellEnd"/>
      <w:r w:rsidRPr="00AA7239">
        <w:rPr>
          <w:rFonts w:ascii="Times New Roman" w:hAnsi="Times New Roman" w:cs="Times New Roman"/>
          <w:szCs w:val="21"/>
        </w:rPr>
        <w:t xml:space="preserve"> Green FM at 37 ℃ for 30 min. Then images were obtained with confocal laser scanning microscopy (</w:t>
      </w:r>
      <w:proofErr w:type="spellStart"/>
      <w:r w:rsidRPr="00AA7239">
        <w:rPr>
          <w:rFonts w:ascii="Times New Roman" w:hAnsi="Times New Roman" w:cs="Times New Roman"/>
          <w:szCs w:val="21"/>
        </w:rPr>
        <w:t>Zesis</w:t>
      </w:r>
      <w:proofErr w:type="spellEnd"/>
      <w:r w:rsidRPr="00AA7239">
        <w:rPr>
          <w:rFonts w:ascii="Times New Roman" w:hAnsi="Times New Roman" w:cs="Times New Roman"/>
          <w:szCs w:val="21"/>
        </w:rPr>
        <w:t xml:space="preserve">, LSM880). Image J </w:t>
      </w:r>
      <w:proofErr w:type="spellStart"/>
      <w:r w:rsidRPr="00AA7239">
        <w:rPr>
          <w:rFonts w:ascii="Times New Roman" w:hAnsi="Times New Roman" w:cs="Times New Roman"/>
          <w:szCs w:val="21"/>
        </w:rPr>
        <w:t>ProPlus</w:t>
      </w:r>
      <w:proofErr w:type="spellEnd"/>
      <w:r w:rsidRPr="00AA7239">
        <w:rPr>
          <w:rFonts w:ascii="Times New Roman" w:hAnsi="Times New Roman" w:cs="Times New Roman"/>
          <w:szCs w:val="21"/>
        </w:rPr>
        <w:t xml:space="preserve"> software was used to analyze the morphology of mitochondrial. For the detection of co</w:t>
      </w:r>
      <w:r w:rsidRPr="00AA7239">
        <w:rPr>
          <w:rFonts w:ascii="Times New Roman" w:hAnsi="Times New Roman" w:cs="Times New Roman" w:hint="eastAsia"/>
          <w:szCs w:val="21"/>
        </w:rPr>
        <w:t>-</w:t>
      </w:r>
      <w:r w:rsidRPr="00AA7239">
        <w:rPr>
          <w:rFonts w:ascii="Times New Roman" w:hAnsi="Times New Roman" w:cs="Times New Roman"/>
          <w:szCs w:val="21"/>
        </w:rPr>
        <w:t xml:space="preserve">localization of mitochondrial and autophagosome, cells incubated with 50 </w:t>
      </w:r>
      <w:proofErr w:type="spellStart"/>
      <w:r w:rsidRPr="00AA7239">
        <w:rPr>
          <w:rFonts w:ascii="Times New Roman" w:hAnsi="Times New Roman" w:cs="Times New Roman"/>
          <w:szCs w:val="21"/>
        </w:rPr>
        <w:t>nM</w:t>
      </w:r>
      <w:proofErr w:type="spellEnd"/>
      <w:r w:rsidRPr="00AA7239">
        <w:rPr>
          <w:rFonts w:ascii="Times New Roman" w:hAnsi="Times New Roman" w:cs="Times New Roman"/>
          <w:szCs w:val="21"/>
        </w:rPr>
        <w:t xml:space="preserve"> </w:t>
      </w:r>
      <w:proofErr w:type="spellStart"/>
      <w:r w:rsidRPr="00AA7239">
        <w:rPr>
          <w:rFonts w:ascii="Times New Roman" w:hAnsi="Times New Roman" w:cs="Times New Roman"/>
          <w:szCs w:val="21"/>
        </w:rPr>
        <w:t>MitoTacker</w:t>
      </w:r>
      <w:proofErr w:type="spellEnd"/>
      <w:r w:rsidRPr="00AA7239">
        <w:rPr>
          <w:rFonts w:ascii="Times New Roman" w:hAnsi="Times New Roman" w:cs="Times New Roman"/>
          <w:szCs w:val="21"/>
        </w:rPr>
        <w:t xml:space="preserve"> Red </w:t>
      </w:r>
      <w:proofErr w:type="spellStart"/>
      <w:r w:rsidRPr="00AA7239">
        <w:rPr>
          <w:rFonts w:ascii="Times New Roman" w:hAnsi="Times New Roman" w:cs="Times New Roman"/>
          <w:szCs w:val="21"/>
        </w:rPr>
        <w:t>CMXRos</w:t>
      </w:r>
      <w:proofErr w:type="spellEnd"/>
      <w:r w:rsidRPr="00AA7239">
        <w:rPr>
          <w:rFonts w:ascii="Times New Roman" w:hAnsi="Times New Roman" w:cs="Times New Roman"/>
          <w:szCs w:val="21"/>
        </w:rPr>
        <w:t xml:space="preserve"> (Invitrogen, M7512) were fixed with 4% paraformaldehyde, incubated with LC3 </w:t>
      </w:r>
      <w:r w:rsidRPr="00AA7239">
        <w:rPr>
          <w:rFonts w:ascii="Times New Roman" w:hAnsi="Times New Roman" w:cs="Times New Roman"/>
          <w:szCs w:val="21"/>
        </w:rPr>
        <w:lastRenderedPageBreak/>
        <w:t>antibody</w:t>
      </w:r>
      <w:r w:rsidRPr="00AA7239">
        <w:rPr>
          <w:rFonts w:ascii="Times New Roman" w:hAnsi="Times New Roman" w:cs="Times New Roman" w:hint="eastAsia"/>
          <w:szCs w:val="21"/>
        </w:rPr>
        <w:t xml:space="preserve"> (</w:t>
      </w:r>
      <w:proofErr w:type="spellStart"/>
      <w:r w:rsidRPr="00AA7239">
        <w:rPr>
          <w:rFonts w:ascii="Times New Roman" w:hAnsi="Times New Roman" w:cs="Times New Roman" w:hint="eastAsia"/>
          <w:szCs w:val="21"/>
        </w:rPr>
        <w:t>xxxxx</w:t>
      </w:r>
      <w:proofErr w:type="spellEnd"/>
      <w:r w:rsidRPr="00AA7239">
        <w:rPr>
          <w:rFonts w:ascii="Times New Roman" w:hAnsi="Times New Roman" w:cs="Times New Roman" w:hint="eastAsia"/>
          <w:szCs w:val="21"/>
        </w:rPr>
        <w:t>)</w:t>
      </w:r>
      <w:r w:rsidRPr="00AA7239">
        <w:rPr>
          <w:rFonts w:ascii="Times New Roman" w:hAnsi="Times New Roman" w:cs="Times New Roman"/>
          <w:szCs w:val="21"/>
        </w:rPr>
        <w:t xml:space="preserve"> at 4 ℃ overnight, washed and probed with the secondary antibody conjugated to Alexa Fluor 488 (anti-rabbit IgG, CST, 4412) for 1 h and stained with DAPI (CST, 4083). Images were obtained using an inverted confocal laser scanning microscope (Zeiss).</w:t>
      </w:r>
    </w:p>
    <w:p w:rsidR="00276A7C" w:rsidRDefault="00276A7C" w:rsidP="00276A7C">
      <w:pPr>
        <w:spacing w:line="360" w:lineRule="auto"/>
        <w:jc w:val="left"/>
        <w:rPr>
          <w:rFonts w:ascii="Times New Roman" w:hAnsi="Times New Roman" w:cs="Times New Roman" w:hint="eastAsia"/>
          <w:b/>
          <w:szCs w:val="21"/>
        </w:rPr>
      </w:pPr>
    </w:p>
    <w:p w:rsidR="00276A7C" w:rsidRPr="00AA7239" w:rsidRDefault="00276A7C" w:rsidP="00276A7C">
      <w:pPr>
        <w:spacing w:line="360" w:lineRule="auto"/>
        <w:jc w:val="left"/>
        <w:rPr>
          <w:rFonts w:ascii="Times New Roman" w:hAnsi="Times New Roman" w:cs="Times New Roman"/>
          <w:b/>
          <w:szCs w:val="21"/>
        </w:rPr>
      </w:pPr>
      <w:r w:rsidRPr="00AA7239">
        <w:rPr>
          <w:rFonts w:ascii="Times New Roman" w:hAnsi="Times New Roman" w:cs="Times New Roman"/>
          <w:b/>
          <w:szCs w:val="21"/>
        </w:rPr>
        <w:t>Gene set enrichment analysis</w:t>
      </w:r>
    </w:p>
    <w:p w:rsidR="00276A7C" w:rsidRPr="00AA7239" w:rsidRDefault="00276A7C" w:rsidP="00276A7C">
      <w:pPr>
        <w:spacing w:line="360" w:lineRule="auto"/>
        <w:jc w:val="left"/>
        <w:rPr>
          <w:rFonts w:ascii="Times New Roman" w:hAnsi="Times New Roman" w:cs="Times New Roman"/>
          <w:szCs w:val="21"/>
        </w:rPr>
      </w:pPr>
      <w:r w:rsidRPr="00AA7239">
        <w:rPr>
          <w:rFonts w:ascii="Times New Roman" w:hAnsi="Times New Roman" w:cs="Times New Roman"/>
          <w:szCs w:val="21"/>
        </w:rPr>
        <w:t>To perform the gene set enrichment analysis, GSEA software was used to derive the absolute enrichment scores using C2 curated subset (experimentally validated gene sets) of the Molecular Signature Database version 6.0</w:t>
      </w:r>
      <w:r w:rsidRPr="00AA7239">
        <w:rPr>
          <w:rFonts w:ascii="Times New Roman" w:hAnsi="Times New Roman" w:cs="Times New Roman" w:hint="eastAsia"/>
          <w:szCs w:val="21"/>
        </w:rPr>
        <w:t xml:space="preserve"> </w:t>
      </w:r>
      <w:r w:rsidRPr="00AA7239">
        <w:rPr>
          <w:rFonts w:ascii="Times New Roman" w:hAnsi="Times New Roman" w:cs="Times New Roman"/>
          <w:szCs w:val="21"/>
        </w:rPr>
        <w:fldChar w:fldCharType="begin" w:fldLock="1"/>
      </w:r>
      <w:r>
        <w:rPr>
          <w:rFonts w:ascii="Times New Roman" w:hAnsi="Times New Roman" w:cs="Times New Roman"/>
          <w:szCs w:val="21"/>
        </w:rPr>
        <w:instrText>ADDIN CSL_CITATION {"citationItems":[{"id":"ITEM-1","itemData":{"DOI":"10.1073/pnas.242716699","ISSN":"00278424","PMID":"12529507","abstract":"Identifying the genes responsible for human diseases requires combining information about gene position with clues about biological function. The recent availability of whole-genome data sets of RNA and protein expression provides powerful new sources of functional insight. Here we illustrate how such data sets can expedite disease-gene discovery, by using them to identify the gene causing Leigh syndrome, French-Canadian type (LSFC, Online Mendelian Inheritance in Man no. 220111), a human cytochrome c oxidase deficiency that maps to chromosome 2p16-21. Using four public RNA expression data sets, we assigned to all human genes a \"score\" reflecting their similarity in RNA-expression profiles to known mitochondrial genes. Using a large survey of organellar proteomics, we similarly classified human genes according to the likelihood of their protein product being associated with the mitochondrion. By intersecting this information with the relevant genomic region, we identified a single clearq candidate gene, LRPPRC. Resequencing identified two mutations on two independent haplotypes, providing definitive genetic proof that LRPPRC indeed causes LSFC. LRPPRC encodes an mRNA-binding protein likely involved with mtDNA transcript processing, suggesting an additional mechanism of mitochondrial pathophysiology. Similar strategies to integrate diverse genomic information can be applied likewise to other disease pathways and will become increasingly powerful with the growing wealth of diverse, functional genomics data.","author":[{"dropping-particle":"","family":"Mootha","given":"Vamsi K.","non-dropping-particle":"","parse-names":false,"suffix":""},{"dropping-particle":"","family":"Lepage","given":"Pierre","non-dropping-particle":"","parse-names":false,"suffix":""},{"dropping-particle":"","family":"Miller","given":"Kathleen","non-dropping-particle":"","parse-names":false,"suffix":""},{"dropping-particle":"","family":"Bunkenborg","given":"Jakob","non-dropping-particle":"","parse-names":false,"suffix":""},{"dropping-particle":"","family":"Reich","given":"Michael","non-dropping-particle":"","parse-names":false,"suffix":""},{"dropping-particle":"","family":"Hjerrild","given":"Majbrit","non-dropping-particle":"","parse-names":false,"suffix":""},{"dropping-particle":"","family":"Delmonte","given":"Terrye","non-dropping-particle":"","parse-names":false,"suffix":""},{"dropping-particle":"","family":"Villeneuve","given":"Amelie","non-dropping-particle":"","parse-names":false,"suffix":""},{"dropping-particle":"","family":"Sladek","given":"Robert","non-dropping-particle":"","parse-names":false,"suffix":""},{"dropping-particle":"","family":"Xu","given":"Fenghao","non-dropping-particle":"","parse-names":false,"suffix":""},{"dropping-particle":"","family":"Mitchell","given":"Grant A.","non-dropping-particle":"","parse-names":false,"suffix":""},{"dropping-particle":"","family":"Morin","given":"Charles","non-dropping-particle":"","parse-names":false,"suffix":""},{"dropping-particle":"","family":"Mann","given":"Matthias","non-dropping-particle":"","parse-names":false,"suffix":""},{"dropping-particle":"","family":"Hudson","given":"Thomas J.","non-dropping-particle":"","parse-names":false,"suffix":""},{"dropping-particle":"","family":"Robinson","given":"Brian","non-dropping-particle":"","parse-names":false,"suffix":""},{"dropping-particle":"","family":"Rioux","given":"John D.","non-dropping-particle":"","parse-names":false,"suffix":""},{"dropping-particle":"","family":"Lander","given":"Eric S.","non-dropping-particle":"","parse-names":false,"suffix":""}],"container-title":"Proceedings of the National Academy of Sciences of the United States of America","id":"ITEM-1","issue":"2","issued":{"date-parts":[["2003"]]},"page":"605-610","title":"Identification of a gene causing human cytochrome c oxidase deficiency by integrative genomics","type":"article-journal","volume":"100"},"uris":["http://www.mendeley.com/documents/?uuid=f1085366-1867-43c7-a21f-57566f397c26"]},{"id":"ITEM-2","itemData":{"DOI":"10.1590/S0042-96862005001100012","ISSN":"00429686","PMID":"16302039","abstract":"Objective: To investigate the independent contribution of individual socioeconomic markers and state prohibition policy on alcohol consumption among men and women in India. Methods: The study used a multilevel cross-sectional analysis of alcohol consumption from the 1998-1999 Indian national family health survey of 301 984 adult individuals in 92 447 households in 3215 villages in 440 districts in 26 states, stratified by sex. Findings: Men with no education were more likely to consume alcohol that those with a post graduate education (OR, 2.28; 95% CI, 2.08-2.50). Unlike men, women showed a U-shaped association between education and alcohol consumption. Men and women living in households at the lowest standard-of-living quintile were more likely to consume alcohol (OR, 1.92; 95% CI, 1.81-2.03, and OR, 2.72, 95% CI, 2.18-3.39), respectively, than those classified as living in the top quintile. Members of scheduled tribes and castes and other backward classes were more likely to consume alcohol than members of other caste groups. There was no difference in alcohol consumption between men from states that were not under prohibition (OR, 1.36; 95% CI 0.69-2.03) and those that were. By contrast, states not under prohibition has higher alcohol use by women (OR, 3.04, 95% CI, 1.59-4.48) than those under partial or complete prohibition. Conclusions: Caste, education and standard of living independently influence alcohol use in India. Prohibition policies appear to have little effect on alcohol use by men, but may reduce the proportion of women who consume alcohol. The socioeconomic patterning of health behaviours is likely to feed substantially into inequalities in health outcomes. Further investigation is required to understand how social and cultural factors in more localized contexts (e.g. districts) influence alcohol consumption.","author":[{"dropping-particle":"V.","family":"Subramanian","given":"S.","non-dropping-particle":"","parse-names":false,"suffix":""},{"dropping-particle":"","family":"Nandy","given":"Shailen","non-dropping-particle":"","parse-names":false,"suffix":""},{"dropping-particle":"","family":"Irving","given":"Michelle","non-dropping-particle":"","parse-names":false,"suffix":""},{"dropping-particle":"","family":"Gordon","given":"David","non-dropping-particle":"","parse-names":false,"suffix":""},{"dropping-particle":"","family":"Smith","given":"George Davey","non-dropping-particle":"","parse-names":false,"suffix":""}],"container-title":"Bulletin of the World Health Organization","id":"ITEM-2","issue":"11","issued":{"date-parts":[["2005"]]},"page":"829-836","title":"Role of socioeconomic markers and state prohibition policy in predicting alcohol consumption among men and women in India: A multilevel statistical analysis","type":"article-journal","volume":"83"},"uris":["http://www.mendeley.com/documents/?uuid=3ebe0ff6-47a1-4fb3-82d8-a8eaf6993d94"]}],"mendeley":{"formattedCitation":"&lt;span style=\"baseline\"&gt;[&lt;span style=\"baseline\"&gt;53&lt;/span&gt;,&lt;span style=\"baseline\"&gt;54&lt;/span&gt;]&lt;/span&gt;","plainTextFormattedCitation":"[53,54]","previouslyFormattedCitation":"&lt;span style=\"baseline\"&gt;[&lt;span style=\"baseline\"&gt;54&lt;/span&gt;,&lt;span style=\"baseline\"&gt;55&lt;/span&gt;]&lt;/span&gt;"},"properties":{"noteIndex":0},"schema":"https://github.com/citation-style-language/schema/raw/master/csl-citation.json"}</w:instrText>
      </w:r>
      <w:r w:rsidRPr="00AA7239">
        <w:rPr>
          <w:rFonts w:ascii="Times New Roman" w:hAnsi="Times New Roman" w:cs="Times New Roman"/>
          <w:szCs w:val="21"/>
        </w:rPr>
        <w:fldChar w:fldCharType="separate"/>
      </w:r>
      <w:r w:rsidRPr="007048BA">
        <w:rPr>
          <w:rFonts w:ascii="Times New Roman" w:hAnsi="Times New Roman" w:cs="Times New Roman"/>
          <w:noProof/>
          <w:szCs w:val="21"/>
        </w:rPr>
        <w:t>[</w:t>
      </w:r>
      <w:r>
        <w:rPr>
          <w:rFonts w:ascii="Times New Roman" w:hAnsi="Times New Roman" w:cs="Times New Roman" w:hint="eastAsia"/>
          <w:noProof/>
          <w:szCs w:val="21"/>
        </w:rPr>
        <w:t>1</w:t>
      </w:r>
      <w:r w:rsidRPr="007048BA">
        <w:rPr>
          <w:rFonts w:ascii="Times New Roman" w:hAnsi="Times New Roman" w:cs="Times New Roman"/>
          <w:noProof/>
          <w:szCs w:val="21"/>
        </w:rPr>
        <w:t>,</w:t>
      </w:r>
      <w:r>
        <w:rPr>
          <w:rFonts w:ascii="Times New Roman" w:hAnsi="Times New Roman" w:cs="Times New Roman" w:hint="eastAsia"/>
          <w:noProof/>
          <w:szCs w:val="21"/>
        </w:rPr>
        <w:t>2</w:t>
      </w:r>
      <w:r w:rsidRPr="007048BA">
        <w:rPr>
          <w:rFonts w:ascii="Times New Roman" w:hAnsi="Times New Roman" w:cs="Times New Roman"/>
          <w:noProof/>
          <w:szCs w:val="21"/>
        </w:rPr>
        <w:t>]</w:t>
      </w:r>
      <w:r w:rsidRPr="00AA7239">
        <w:rPr>
          <w:rFonts w:ascii="Times New Roman" w:hAnsi="Times New Roman" w:cs="Times New Roman"/>
          <w:szCs w:val="21"/>
        </w:rPr>
        <w:fldChar w:fldCharType="end"/>
      </w:r>
      <w:r w:rsidRPr="00AA7239">
        <w:rPr>
          <w:rFonts w:ascii="Times New Roman" w:hAnsi="Times New Roman" w:cs="Times New Roman"/>
          <w:szCs w:val="21"/>
        </w:rPr>
        <w:t>, based on KEGG pathways</w:t>
      </w:r>
      <w:r w:rsidRPr="00AA7239">
        <w:rPr>
          <w:rFonts w:ascii="Times New Roman" w:hAnsi="Times New Roman" w:cs="Times New Roman" w:hint="eastAsia"/>
          <w:szCs w:val="21"/>
        </w:rPr>
        <w:t xml:space="preserve"> </w:t>
      </w:r>
      <w:r w:rsidRPr="00AA7239">
        <w:rPr>
          <w:rFonts w:ascii="Times New Roman" w:hAnsi="Times New Roman" w:cs="Times New Roman"/>
          <w:szCs w:val="21"/>
        </w:rPr>
        <w:fldChar w:fldCharType="begin" w:fldLock="1"/>
      </w:r>
      <w:r>
        <w:rPr>
          <w:rFonts w:ascii="Times New Roman" w:hAnsi="Times New Roman" w:cs="Times New Roman"/>
          <w:szCs w:val="21"/>
        </w:rPr>
        <w:instrText>ADDIN CSL_CITATION {"citationItems":[{"id":"ITEM-1","itemData":{"DOI":"10.1093/nar/gkw1092","ISSN":"13624962","PMID":"27899662","abstract":"KEGG (http://www.kegg.jp/or http://www.genome.jp/kegg/) is an encyclopedia of genes and genomes. Assigning functional meanings to genes and genomes both at the molecular and higher levels is the primary objective of the KEGG database project. Molecularlevel functions are stored in the KO (KEGG Orthology) database, where each KO is defined as a functional ortholog of genes and proteins. Higher-level functions are represented by networks of molecular interactions, reactions and relations in the forms of KEGG pathway maps, BRITE hierarchies and KEGG modules. In the past the KO database was developed for the purpose of defining nodes of molecular networks, but now the content has been expanded and the quality improved irrespective of whether or not the KOs appear in the three molecular network databases. The newly introduced addendum category of the GENES database is a collection of individual proteins whose functions are experimentally characterized and from which an increasing number of KOs are defined. Furthermore, the DISEASE and DRUG databases have been improved by systematic analysis of drug labels for better integration of diseases and drugs with the KEGG molecular networks. KEGG is moving towards becoming a comprehensive knowledge base for both functional interpretation and practical application of genomic information.","author":[{"dropping-particle":"","family":"Kanehisa","given":"Minoru","non-dropping-particle":"","parse-names":false,"suffix":""},{"dropping-particle":"","family":"Furumichi","given":"Miho","non-dropping-particle":"","parse-names":false,"suffix":""},{"dropping-particle":"","family":"Tanabe","given":"Mao","non-dropping-particle":"","parse-names":false,"suffix":""},{"dropping-particle":"","family":"Sato","given":"Yoko","non-dropping-particle":"","parse-names":false,"suffix":""},{"dropping-particle":"","family":"Morishima","given":"Kanae","non-dropping-particle":"","parse-names":false,"suffix":""}],"container-title":"Nucleic Acids Research","id":"ITEM-1","issue":"D1","issued":{"date-parts":[["2017"]]},"page":"D353-D361","title":"KEGG: New perspectives on genomes, pathways, diseases and drugs","type":"article-journal","volume":"45"},"uris":["http://www.mendeley.com/documents/?uuid=38eb7b47-9ed1-440c-a5c6-38b5bfd3f5f3"]}],"mendeley":{"formattedCitation":"&lt;span style=\"baseline\"&gt;[&lt;span style=\"baseline\"&gt;55&lt;/span&gt;]&lt;/span&gt;","plainTextFormattedCitation":"[55]","previouslyFormattedCitation":"&lt;span style=\"baseline\"&gt;[&lt;span style=\"baseline\"&gt;56&lt;/span&gt;]&lt;/span&gt;"},"properties":{"noteIndex":0},"schema":"https://github.com/citation-style-language/schema/raw/master/csl-citation.json"}</w:instrText>
      </w:r>
      <w:r w:rsidRPr="00AA7239">
        <w:rPr>
          <w:rFonts w:ascii="Times New Roman" w:hAnsi="Times New Roman" w:cs="Times New Roman"/>
          <w:szCs w:val="21"/>
        </w:rPr>
        <w:fldChar w:fldCharType="separate"/>
      </w:r>
      <w:r w:rsidRPr="007048BA">
        <w:rPr>
          <w:rFonts w:ascii="Times New Roman" w:hAnsi="Times New Roman" w:cs="Times New Roman"/>
          <w:noProof/>
          <w:szCs w:val="21"/>
        </w:rPr>
        <w:t>[</w:t>
      </w:r>
      <w:r>
        <w:rPr>
          <w:rFonts w:ascii="Times New Roman" w:hAnsi="Times New Roman" w:cs="Times New Roman" w:hint="eastAsia"/>
          <w:noProof/>
          <w:szCs w:val="21"/>
        </w:rPr>
        <w:t>3</w:t>
      </w:r>
      <w:r w:rsidRPr="007048BA">
        <w:rPr>
          <w:rFonts w:ascii="Times New Roman" w:hAnsi="Times New Roman" w:cs="Times New Roman"/>
          <w:noProof/>
          <w:szCs w:val="21"/>
        </w:rPr>
        <w:t>]</w:t>
      </w:r>
      <w:r w:rsidRPr="00AA7239">
        <w:rPr>
          <w:rFonts w:ascii="Times New Roman" w:hAnsi="Times New Roman" w:cs="Times New Roman"/>
          <w:szCs w:val="21"/>
        </w:rPr>
        <w:fldChar w:fldCharType="end"/>
      </w:r>
      <w:r w:rsidRPr="00AA7239">
        <w:rPr>
          <w:rFonts w:ascii="Times New Roman" w:hAnsi="Times New Roman" w:cs="Times New Roman"/>
          <w:szCs w:val="21"/>
        </w:rPr>
        <w:t>.</w:t>
      </w:r>
    </w:p>
    <w:p w:rsidR="0078009B" w:rsidRPr="00AA7239" w:rsidRDefault="0078009B" w:rsidP="0078009B">
      <w:pPr>
        <w:spacing w:line="360" w:lineRule="auto"/>
        <w:jc w:val="left"/>
        <w:rPr>
          <w:rFonts w:ascii="Times New Roman" w:hAnsi="Times New Roman" w:cs="Times New Roman"/>
          <w:szCs w:val="21"/>
        </w:rPr>
      </w:pPr>
    </w:p>
    <w:p w:rsidR="0078009B" w:rsidRPr="00AA7239" w:rsidRDefault="0078009B" w:rsidP="0078009B">
      <w:pPr>
        <w:spacing w:line="360" w:lineRule="auto"/>
        <w:jc w:val="left"/>
        <w:rPr>
          <w:rFonts w:ascii="Times New Roman" w:hAnsi="Times New Roman" w:cs="Times New Roman"/>
          <w:b/>
          <w:szCs w:val="21"/>
        </w:rPr>
      </w:pPr>
      <w:proofErr w:type="spellStart"/>
      <w:r w:rsidRPr="00AA7239">
        <w:rPr>
          <w:rFonts w:ascii="Times New Roman" w:hAnsi="Times New Roman" w:cs="Times New Roman"/>
          <w:b/>
          <w:szCs w:val="21"/>
        </w:rPr>
        <w:t>ChIP</w:t>
      </w:r>
      <w:proofErr w:type="spellEnd"/>
      <w:r w:rsidRPr="00AA7239">
        <w:rPr>
          <w:rFonts w:ascii="Times New Roman" w:hAnsi="Times New Roman" w:cs="Times New Roman"/>
          <w:b/>
          <w:szCs w:val="21"/>
        </w:rPr>
        <w:t xml:space="preserve"> assay</w:t>
      </w:r>
    </w:p>
    <w:p w:rsidR="0078009B" w:rsidRPr="00AA7239" w:rsidRDefault="0078009B" w:rsidP="0078009B">
      <w:pPr>
        <w:spacing w:line="360" w:lineRule="auto"/>
        <w:jc w:val="left"/>
        <w:rPr>
          <w:rFonts w:ascii="Times New Roman" w:hAnsi="Times New Roman" w:cs="Times New Roman"/>
          <w:szCs w:val="21"/>
        </w:rPr>
      </w:pPr>
      <w:proofErr w:type="spellStart"/>
      <w:r w:rsidRPr="00AA7239">
        <w:rPr>
          <w:rFonts w:ascii="Times New Roman" w:hAnsi="Times New Roman" w:cs="Times New Roman"/>
          <w:szCs w:val="21"/>
        </w:rPr>
        <w:t>ChIP</w:t>
      </w:r>
      <w:proofErr w:type="spellEnd"/>
      <w:r w:rsidRPr="00AA7239">
        <w:rPr>
          <w:rFonts w:ascii="Times New Roman" w:hAnsi="Times New Roman" w:cs="Times New Roman"/>
          <w:szCs w:val="21"/>
        </w:rPr>
        <w:t xml:space="preserve"> assays were performed according to the</w:t>
      </w:r>
      <w:r w:rsidRPr="00AA7239">
        <w:rPr>
          <w:rFonts w:ascii="Times New Roman" w:hAnsi="Times New Roman" w:cs="Times New Roman" w:hint="eastAsia"/>
          <w:szCs w:val="21"/>
        </w:rPr>
        <w:t xml:space="preserve"> </w:t>
      </w:r>
      <w:r w:rsidRPr="00AA7239">
        <w:rPr>
          <w:rFonts w:ascii="Times New Roman" w:hAnsi="Times New Roman" w:cs="Times New Roman"/>
          <w:szCs w:val="21"/>
        </w:rPr>
        <w:t xml:space="preserve">manufacturer’s recommended procedures of </w:t>
      </w:r>
      <w:proofErr w:type="spellStart"/>
      <w:r w:rsidRPr="00AA7239">
        <w:rPr>
          <w:rFonts w:ascii="Times New Roman" w:hAnsi="Times New Roman" w:cs="Times New Roman"/>
          <w:szCs w:val="21"/>
        </w:rPr>
        <w:t>SimpleChIP</w:t>
      </w:r>
      <w:proofErr w:type="spellEnd"/>
      <w:r w:rsidRPr="00AA7239">
        <w:rPr>
          <w:rFonts w:ascii="Times New Roman" w:hAnsi="Times New Roman" w:cs="Times New Roman"/>
          <w:szCs w:val="21"/>
        </w:rPr>
        <w:t xml:space="preserve">® Plus Sonication Chromatin IP Kit (CST, 56383). Briefly, 3-5 </w:t>
      </w:r>
      <w:r w:rsidRPr="00AA7239">
        <w:rPr>
          <w:rFonts w:ascii="Times New Roman" w:hAnsi="Times New Roman" w:cs="Times New Roman"/>
          <w:szCs w:val="21"/>
        </w:rPr>
        <w:sym w:font="Symbol" w:char="F0B4"/>
      </w:r>
      <w:r w:rsidRPr="00AA7239">
        <w:rPr>
          <w:rFonts w:ascii="Times New Roman" w:hAnsi="Times New Roman" w:cs="Times New Roman"/>
          <w:szCs w:val="21"/>
        </w:rPr>
        <w:t xml:space="preserve"> 10</w:t>
      </w:r>
      <w:r w:rsidRPr="00AA7239">
        <w:rPr>
          <w:rFonts w:ascii="Times New Roman" w:hAnsi="Times New Roman" w:cs="Times New Roman"/>
          <w:szCs w:val="21"/>
          <w:vertAlign w:val="superscript"/>
        </w:rPr>
        <w:t>7</w:t>
      </w:r>
      <w:r w:rsidRPr="00AA7239">
        <w:rPr>
          <w:rFonts w:ascii="Times New Roman" w:hAnsi="Times New Roman" w:cs="Times New Roman"/>
          <w:szCs w:val="21"/>
        </w:rPr>
        <w:t xml:space="preserve"> cells were crosslinked with 1% paraformaldehyde at room temperature for 15 min and lysed. The chromatin was sonicated to generate chromatin fragments of 200-1000 </w:t>
      </w:r>
      <w:proofErr w:type="spellStart"/>
      <w:r w:rsidRPr="00AA7239">
        <w:rPr>
          <w:rFonts w:ascii="Times New Roman" w:hAnsi="Times New Roman" w:cs="Times New Roman"/>
          <w:szCs w:val="21"/>
        </w:rPr>
        <w:t>bp.</w:t>
      </w:r>
      <w:proofErr w:type="spellEnd"/>
      <w:r w:rsidRPr="00AA7239">
        <w:rPr>
          <w:rFonts w:ascii="Times New Roman" w:hAnsi="Times New Roman" w:cs="Times New Roman"/>
          <w:szCs w:val="21"/>
        </w:rPr>
        <w:t xml:space="preserve"> The recovered supernatant fraction was incubated with XBP1s antibody (CST, 27901) overnight at 4 °C, and mouse IgG1 (CST, 5415) was used as an isotype. After</w:t>
      </w:r>
      <w:r w:rsidRPr="00AA7239">
        <w:rPr>
          <w:rFonts w:ascii="Times New Roman" w:hAnsi="Times New Roman" w:cs="Times New Roman" w:hint="eastAsia"/>
          <w:szCs w:val="21"/>
        </w:rPr>
        <w:t xml:space="preserve"> </w:t>
      </w:r>
      <w:r w:rsidRPr="00AA7239">
        <w:rPr>
          <w:rFonts w:ascii="Times New Roman" w:hAnsi="Times New Roman" w:cs="Times New Roman"/>
          <w:szCs w:val="21"/>
        </w:rPr>
        <w:t>washing, the precipitated XBP1s protein-DNA complexes were recovered by using Protein G Magnetic Beads at 4 °C for 16 h. DNA was then purified with</w:t>
      </w:r>
      <w:r w:rsidRPr="00AA7239">
        <w:rPr>
          <w:rFonts w:ascii="Times New Roman" w:hAnsi="Times New Roman" w:cs="Times New Roman" w:hint="eastAsia"/>
          <w:szCs w:val="21"/>
        </w:rPr>
        <w:t xml:space="preserve"> </w:t>
      </w:r>
      <w:r w:rsidRPr="00AA7239">
        <w:rPr>
          <w:rFonts w:ascii="Times New Roman" w:hAnsi="Times New Roman" w:cs="Times New Roman"/>
          <w:szCs w:val="21"/>
        </w:rPr>
        <w:t>phenol/chloroform. The purified DNA and input</w:t>
      </w:r>
      <w:r w:rsidRPr="00AA7239">
        <w:rPr>
          <w:rFonts w:ascii="Times New Roman" w:hAnsi="Times New Roman" w:cs="Times New Roman" w:hint="eastAsia"/>
          <w:szCs w:val="21"/>
        </w:rPr>
        <w:t xml:space="preserve"> </w:t>
      </w:r>
      <w:r w:rsidRPr="00AA7239">
        <w:rPr>
          <w:rFonts w:ascii="Times New Roman" w:hAnsi="Times New Roman" w:cs="Times New Roman"/>
          <w:szCs w:val="21"/>
        </w:rPr>
        <w:t xml:space="preserve">genomic DNA </w:t>
      </w:r>
      <w:proofErr w:type="gramStart"/>
      <w:r w:rsidRPr="00AA7239">
        <w:rPr>
          <w:rFonts w:ascii="Times New Roman" w:hAnsi="Times New Roman" w:cs="Times New Roman"/>
          <w:szCs w:val="21"/>
        </w:rPr>
        <w:t>were</w:t>
      </w:r>
      <w:proofErr w:type="gramEnd"/>
      <w:r w:rsidRPr="00AA7239">
        <w:rPr>
          <w:rFonts w:ascii="Times New Roman" w:hAnsi="Times New Roman" w:cs="Times New Roman"/>
          <w:szCs w:val="21"/>
        </w:rPr>
        <w:t xml:space="preserve"> analyzed by PCR. The </w:t>
      </w:r>
      <w:r w:rsidRPr="00AA7239">
        <w:rPr>
          <w:rFonts w:ascii="Times New Roman" w:hAnsi="Times New Roman" w:cs="Times New Roman"/>
          <w:i/>
          <w:szCs w:val="21"/>
        </w:rPr>
        <w:t>MARCH5</w:t>
      </w:r>
      <w:r w:rsidRPr="00AA7239">
        <w:rPr>
          <w:rFonts w:ascii="Times New Roman" w:hAnsi="Times New Roman" w:cs="Times New Roman"/>
          <w:szCs w:val="21"/>
        </w:rPr>
        <w:t xml:space="preserve"> primers used were: Forward: 5’-AACATATTTCAAAAATTGGAGGCCA-</w:t>
      </w:r>
      <w:proofErr w:type="gramStart"/>
      <w:r w:rsidRPr="00AA7239">
        <w:rPr>
          <w:rFonts w:ascii="Times New Roman" w:hAnsi="Times New Roman" w:cs="Times New Roman"/>
          <w:szCs w:val="21"/>
        </w:rPr>
        <w:t>3’,</w:t>
      </w:r>
      <w:proofErr w:type="gramEnd"/>
      <w:r w:rsidRPr="00AA7239">
        <w:rPr>
          <w:rFonts w:ascii="Times New Roman" w:hAnsi="Times New Roman" w:cs="Times New Roman"/>
          <w:szCs w:val="21"/>
        </w:rPr>
        <w:t xml:space="preserve"> Reverse: 5’-GCGAAGTATATTTGAACTAGAGTGT-3’.</w:t>
      </w:r>
      <w:r w:rsidRPr="00AA7239">
        <w:rPr>
          <w:rFonts w:ascii="Times New Roman" w:hAnsi="Times New Roman" w:cs="Times New Roman" w:hint="eastAsia"/>
          <w:szCs w:val="21"/>
        </w:rPr>
        <w:t xml:space="preserve"> </w:t>
      </w:r>
      <w:r w:rsidRPr="00AA7239">
        <w:rPr>
          <w:rFonts w:ascii="Times New Roman" w:hAnsi="Times New Roman"/>
          <w:color w:val="000000"/>
          <w:szCs w:val="24"/>
        </w:rPr>
        <w:t>The enrichment (100% input) was calculated using 100% × 2</w:t>
      </w:r>
      <w:r w:rsidRPr="00AA7239">
        <w:rPr>
          <w:rFonts w:ascii="Times New Roman" w:hAnsi="Times New Roman"/>
          <w:color w:val="000000"/>
          <w:szCs w:val="24"/>
          <w:vertAlign w:val="superscript"/>
        </w:rPr>
        <w:t xml:space="preserve">(adjusted Input - </w:t>
      </w:r>
      <w:proofErr w:type="gramStart"/>
      <w:r w:rsidRPr="00AA7239">
        <w:rPr>
          <w:rFonts w:ascii="Times New Roman" w:hAnsi="Times New Roman"/>
          <w:color w:val="000000"/>
          <w:szCs w:val="24"/>
          <w:vertAlign w:val="superscript"/>
        </w:rPr>
        <w:t>Ct(</w:t>
      </w:r>
      <w:proofErr w:type="gramEnd"/>
      <w:r w:rsidRPr="00AA7239">
        <w:rPr>
          <w:rFonts w:ascii="Times New Roman" w:hAnsi="Times New Roman"/>
          <w:color w:val="000000"/>
          <w:szCs w:val="24"/>
          <w:vertAlign w:val="superscript"/>
        </w:rPr>
        <w:t>IP))</w:t>
      </w:r>
      <w:r w:rsidRPr="00AA7239">
        <w:rPr>
          <w:rFonts w:ascii="Times New Roman" w:hAnsi="Times New Roman"/>
          <w:color w:val="000000"/>
          <w:szCs w:val="24"/>
        </w:rPr>
        <w:t>, where adjusted Input = Ct(Input) - 6.644.</w:t>
      </w:r>
    </w:p>
    <w:p w:rsidR="0078009B" w:rsidRPr="00AA7239" w:rsidRDefault="0078009B" w:rsidP="0078009B">
      <w:pPr>
        <w:spacing w:line="360" w:lineRule="auto"/>
        <w:jc w:val="left"/>
        <w:rPr>
          <w:rFonts w:ascii="Times New Roman" w:hAnsi="Times New Roman" w:cs="Times New Roman"/>
          <w:b/>
          <w:szCs w:val="21"/>
        </w:rPr>
      </w:pPr>
    </w:p>
    <w:p w:rsidR="0078009B" w:rsidRPr="00AA7239" w:rsidRDefault="0078009B" w:rsidP="0078009B">
      <w:pPr>
        <w:spacing w:line="360" w:lineRule="auto"/>
        <w:jc w:val="left"/>
        <w:rPr>
          <w:rFonts w:ascii="Times New Roman" w:hAnsi="Times New Roman" w:cs="Times New Roman"/>
          <w:b/>
          <w:szCs w:val="21"/>
        </w:rPr>
      </w:pPr>
      <w:r w:rsidRPr="00AA7239">
        <w:rPr>
          <w:rFonts w:ascii="Times New Roman" w:hAnsi="Times New Roman" w:cs="Times New Roman" w:hint="eastAsia"/>
          <w:b/>
          <w:szCs w:val="21"/>
        </w:rPr>
        <w:t>X</w:t>
      </w:r>
      <w:r w:rsidRPr="00AA7239">
        <w:rPr>
          <w:rFonts w:ascii="Times New Roman" w:hAnsi="Times New Roman" w:cs="Times New Roman"/>
          <w:b/>
          <w:szCs w:val="21"/>
        </w:rPr>
        <w:t xml:space="preserve">enograft </w:t>
      </w:r>
      <w:r w:rsidRPr="00AA7239">
        <w:rPr>
          <w:rFonts w:ascii="Times New Roman" w:hAnsi="Times New Roman" w:cs="Times New Roman" w:hint="eastAsia"/>
          <w:b/>
          <w:szCs w:val="21"/>
        </w:rPr>
        <w:t xml:space="preserve">mice </w:t>
      </w:r>
      <w:r w:rsidRPr="00AA7239">
        <w:rPr>
          <w:rFonts w:ascii="Times New Roman" w:hAnsi="Times New Roman" w:cs="Times New Roman"/>
          <w:b/>
          <w:szCs w:val="21"/>
        </w:rPr>
        <w:t>model</w:t>
      </w:r>
    </w:p>
    <w:p w:rsidR="0078009B" w:rsidRPr="00AA7239" w:rsidRDefault="0078009B" w:rsidP="0078009B">
      <w:pPr>
        <w:spacing w:line="360" w:lineRule="auto"/>
        <w:jc w:val="left"/>
        <w:rPr>
          <w:rFonts w:ascii="Times New Roman" w:hAnsi="Times New Roman" w:cs="Times New Roman"/>
          <w:szCs w:val="21"/>
        </w:rPr>
      </w:pPr>
      <w:r w:rsidRPr="00AA7239">
        <w:rPr>
          <w:rFonts w:ascii="Times New Roman" w:hAnsi="Times New Roman" w:cs="Times New Roman"/>
          <w:szCs w:val="21"/>
        </w:rPr>
        <w:t xml:space="preserve">Four to six-week-old female NOD/SCID nude mice with the average body weight of 18 to 22 g were randomly divided into the indicated groups. For investigating the effect of combined mitophagy inhibition and ER stress inducer on melanoma growth, TM at the dose of 1 mg/kg, CQ at the dose of 50 mg/kg and Mdivi-1 at the dose of 20 mg/kg was injected </w:t>
      </w:r>
      <w:proofErr w:type="spellStart"/>
      <w:r w:rsidRPr="00AA7239">
        <w:rPr>
          <w:rFonts w:ascii="Times New Roman" w:hAnsi="Times New Roman" w:cs="Times New Roman"/>
          <w:szCs w:val="21"/>
        </w:rPr>
        <w:t>i.p</w:t>
      </w:r>
      <w:proofErr w:type="spellEnd"/>
      <w:r w:rsidRPr="00AA7239">
        <w:rPr>
          <w:rFonts w:ascii="Times New Roman" w:hAnsi="Times New Roman" w:cs="Times New Roman"/>
          <w:szCs w:val="21"/>
        </w:rPr>
        <w:t>. twice a week when tumors reached 2 to 3 mm diameter in each group of mice which were subcutaneously implanted with 8 × 10</w:t>
      </w:r>
      <w:r w:rsidRPr="00AA7239">
        <w:rPr>
          <w:rFonts w:ascii="Times New Roman" w:hAnsi="Times New Roman" w:cs="Times New Roman"/>
          <w:szCs w:val="21"/>
          <w:vertAlign w:val="superscript"/>
        </w:rPr>
        <w:t>6</w:t>
      </w:r>
      <w:r w:rsidR="004B303D">
        <w:rPr>
          <w:rFonts w:ascii="Times New Roman" w:hAnsi="Times New Roman" w:cs="Times New Roman"/>
          <w:szCs w:val="21"/>
        </w:rPr>
        <w:t xml:space="preserve"> A2058 cells</w:t>
      </w:r>
      <w:r w:rsidRPr="00AA7239">
        <w:rPr>
          <w:rFonts w:ascii="Times New Roman" w:hAnsi="Times New Roman" w:cs="Times New Roman"/>
          <w:szCs w:val="21"/>
        </w:rPr>
        <w:t xml:space="preserve">. Equivalent volumes of DMSO (Sigma-Aldrich, D2650) were used as a control therapy. Thirty days later, the mice were sacrificed and the </w:t>
      </w:r>
      <w:proofErr w:type="gramStart"/>
      <w:r w:rsidRPr="00AA7239">
        <w:rPr>
          <w:rFonts w:ascii="Times New Roman" w:hAnsi="Times New Roman" w:cs="Times New Roman"/>
          <w:szCs w:val="21"/>
        </w:rPr>
        <w:t>tumor were</w:t>
      </w:r>
      <w:proofErr w:type="gramEnd"/>
      <w:r w:rsidRPr="00AA7239">
        <w:rPr>
          <w:rFonts w:ascii="Times New Roman" w:hAnsi="Times New Roman" w:cs="Times New Roman"/>
          <w:szCs w:val="21"/>
        </w:rPr>
        <w:t xml:space="preserve"> harvested and photographed. After the examination of their volumes, tumors were fixed in 4% paraformaldehyde overnight. Paraffin-embedded sections were processed to immunofluorescence staining analysis. All animal experiments complied with ethical regulations and were approved by the Subcommittee on Research Animal Care of the </w:t>
      </w:r>
      <w:r w:rsidRPr="00AA7239">
        <w:rPr>
          <w:rFonts w:ascii="Times New Roman" w:hAnsi="Times New Roman" w:cs="Times New Roman"/>
          <w:szCs w:val="21"/>
        </w:rPr>
        <w:lastRenderedPageBreak/>
        <w:t>Fourth Military Medical University.</w:t>
      </w:r>
    </w:p>
    <w:p w:rsidR="00117FA4" w:rsidRDefault="00117FA4">
      <w:pPr>
        <w:rPr>
          <w:rFonts w:hint="eastAsia"/>
        </w:rPr>
      </w:pPr>
    </w:p>
    <w:p w:rsidR="008F41ED" w:rsidRDefault="008F41ED">
      <w:pPr>
        <w:rPr>
          <w:rFonts w:hint="eastAsia"/>
        </w:rPr>
      </w:pPr>
    </w:p>
    <w:p w:rsidR="007E6C00" w:rsidRDefault="007E6C00">
      <w:pPr>
        <w:widowControl/>
        <w:jc w:val="left"/>
        <w:rPr>
          <w:rFonts w:ascii="Times New Roman" w:hAnsi="Times New Roman" w:cs="Times New Roman"/>
          <w:b/>
          <w:sz w:val="24"/>
        </w:rPr>
      </w:pPr>
      <w:r>
        <w:rPr>
          <w:rFonts w:ascii="Times New Roman" w:hAnsi="Times New Roman" w:cs="Times New Roman"/>
          <w:b/>
          <w:sz w:val="24"/>
        </w:rPr>
        <w:br w:type="page"/>
      </w:r>
    </w:p>
    <w:p w:rsidR="008F41ED" w:rsidRDefault="008F41ED">
      <w:pPr>
        <w:rPr>
          <w:rFonts w:ascii="Times New Roman" w:hAnsi="Times New Roman" w:cs="Times New Roman" w:hint="eastAsia"/>
          <w:b/>
          <w:sz w:val="24"/>
        </w:rPr>
      </w:pPr>
      <w:bookmarkStart w:id="0" w:name="_GoBack"/>
      <w:bookmarkEnd w:id="0"/>
      <w:r w:rsidRPr="008F41ED">
        <w:rPr>
          <w:rFonts w:ascii="Times New Roman" w:hAnsi="Times New Roman" w:cs="Times New Roman"/>
          <w:b/>
          <w:sz w:val="24"/>
        </w:rPr>
        <w:lastRenderedPageBreak/>
        <w:t>References</w:t>
      </w:r>
    </w:p>
    <w:p w:rsidR="00D913AE" w:rsidRPr="007048BA" w:rsidRDefault="00D913AE" w:rsidP="00D913AE">
      <w:pPr>
        <w:autoSpaceDE w:val="0"/>
        <w:autoSpaceDN w:val="0"/>
        <w:adjustRightInd w:val="0"/>
        <w:spacing w:line="360" w:lineRule="auto"/>
        <w:ind w:left="640" w:hanging="640"/>
        <w:jc w:val="left"/>
        <w:rPr>
          <w:rFonts w:ascii="Times New Roman" w:hAnsi="Times New Roman" w:cs="Times New Roman"/>
          <w:noProof/>
          <w:kern w:val="0"/>
          <w:sz w:val="20"/>
        </w:rPr>
      </w:pPr>
      <w:r>
        <w:rPr>
          <w:rFonts w:ascii="Times New Roman" w:hAnsi="Times New Roman" w:cs="Times New Roman" w:hint="eastAsia"/>
          <w:noProof/>
          <w:kern w:val="0"/>
          <w:sz w:val="20"/>
        </w:rPr>
        <w:t xml:space="preserve">1.     </w:t>
      </w:r>
      <w:r w:rsidRPr="007048BA">
        <w:rPr>
          <w:rFonts w:ascii="Times New Roman" w:hAnsi="Times New Roman" w:cs="Times New Roman"/>
          <w:noProof/>
          <w:kern w:val="0"/>
          <w:sz w:val="20"/>
        </w:rPr>
        <w:t>Mootha VK, Lepage P, Miller K, et al. Identification of a gene causing human cytochrome c oxidase deficiency by integrative genomics. Proc Natl Acad Sci U S A. 2003; 100: 605–610.</w:t>
      </w:r>
    </w:p>
    <w:p w:rsidR="00D913AE" w:rsidRPr="007048BA" w:rsidRDefault="00D913AE" w:rsidP="00D913AE">
      <w:pPr>
        <w:autoSpaceDE w:val="0"/>
        <w:autoSpaceDN w:val="0"/>
        <w:adjustRightInd w:val="0"/>
        <w:spacing w:line="360" w:lineRule="auto"/>
        <w:ind w:left="640" w:hanging="640"/>
        <w:jc w:val="left"/>
        <w:rPr>
          <w:rFonts w:ascii="Times New Roman" w:hAnsi="Times New Roman" w:cs="Times New Roman"/>
          <w:noProof/>
          <w:kern w:val="0"/>
          <w:sz w:val="20"/>
        </w:rPr>
      </w:pPr>
      <w:r>
        <w:rPr>
          <w:rFonts w:ascii="Times New Roman" w:hAnsi="Times New Roman" w:cs="Times New Roman" w:hint="eastAsia"/>
          <w:noProof/>
          <w:kern w:val="0"/>
          <w:sz w:val="20"/>
        </w:rPr>
        <w:t xml:space="preserve">2.     </w:t>
      </w:r>
      <w:r w:rsidRPr="007048BA">
        <w:rPr>
          <w:rFonts w:ascii="Times New Roman" w:hAnsi="Times New Roman" w:cs="Times New Roman"/>
          <w:noProof/>
          <w:kern w:val="0"/>
          <w:sz w:val="20"/>
        </w:rPr>
        <w:t>Subramanian S V., Nandy S, Irving M, et al. Role of socioeconomic markers and state prohibition policy in predicting alcohol consumption among men and women in India: A multilevel statistical analysis. Bull World Health Organ. 2005; 83: 829–836.</w:t>
      </w:r>
    </w:p>
    <w:p w:rsidR="00D913AE" w:rsidRPr="007048BA" w:rsidRDefault="00D913AE" w:rsidP="00D913AE">
      <w:pPr>
        <w:autoSpaceDE w:val="0"/>
        <w:autoSpaceDN w:val="0"/>
        <w:adjustRightInd w:val="0"/>
        <w:spacing w:line="360" w:lineRule="auto"/>
        <w:ind w:left="640" w:hanging="640"/>
        <w:jc w:val="left"/>
        <w:rPr>
          <w:rFonts w:ascii="Times New Roman" w:hAnsi="Times New Roman" w:cs="Times New Roman"/>
          <w:noProof/>
          <w:sz w:val="20"/>
        </w:rPr>
      </w:pPr>
      <w:r>
        <w:rPr>
          <w:rFonts w:ascii="Times New Roman" w:hAnsi="Times New Roman" w:cs="Times New Roman" w:hint="eastAsia"/>
          <w:noProof/>
          <w:kern w:val="0"/>
          <w:sz w:val="20"/>
        </w:rPr>
        <w:t xml:space="preserve">3.     </w:t>
      </w:r>
      <w:r w:rsidRPr="007048BA">
        <w:rPr>
          <w:rFonts w:ascii="Times New Roman" w:hAnsi="Times New Roman" w:cs="Times New Roman"/>
          <w:noProof/>
          <w:kern w:val="0"/>
          <w:sz w:val="20"/>
        </w:rPr>
        <w:t>Kanehisa M, Furumichi M, Tanabe M, et al. KEGG: New perspectives on genomes, pathways, diseases and drugs. Nucleic Acids Res. 2017; 45: D353–D361.</w:t>
      </w:r>
    </w:p>
    <w:p w:rsidR="008F41ED" w:rsidRPr="00D913AE" w:rsidRDefault="008F41ED" w:rsidP="00D913AE">
      <w:pPr>
        <w:spacing w:line="360" w:lineRule="auto"/>
        <w:rPr>
          <w:rFonts w:ascii="Times New Roman" w:hAnsi="Times New Roman" w:cs="Times New Roman"/>
          <w:b/>
          <w:sz w:val="24"/>
        </w:rPr>
      </w:pPr>
    </w:p>
    <w:sectPr w:rsidR="008F41ED" w:rsidRPr="00D913AE" w:rsidSect="0078009B">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16C"/>
    <w:rsid w:val="00117FA4"/>
    <w:rsid w:val="00276A7C"/>
    <w:rsid w:val="004B0CDD"/>
    <w:rsid w:val="004B303D"/>
    <w:rsid w:val="0078009B"/>
    <w:rsid w:val="007E6C00"/>
    <w:rsid w:val="008F41ED"/>
    <w:rsid w:val="00B6016C"/>
    <w:rsid w:val="00D91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0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00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0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00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iomax.us/tissue-arrays/Melanoma/ME1004e"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3166</Words>
  <Characters>18052</Characters>
  <Application>Microsoft Office Word</Application>
  <DocSecurity>0</DocSecurity>
  <Lines>150</Lines>
  <Paragraphs>42</Paragraphs>
  <ScaleCrop>false</ScaleCrop>
  <Company/>
  <LinksUpToDate>false</LinksUpToDate>
  <CharactersWithSpaces>21176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郭伟楠</dc:creator>
  <cp:keywords/>
  <dc:description/>
  <cp:lastModifiedBy>郭伟楠</cp:lastModifiedBy>
  <cp:revision>8</cp:revision>
  <dcterms:created xsi:type="dcterms:W3CDTF">2020-09-24T06:36:00Z</dcterms:created>
  <dcterms:modified xsi:type="dcterms:W3CDTF">2020-11-09T23:58:00Z</dcterms:modified>
</cp:coreProperties>
</file>