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0DCA4A" w14:textId="77777777" w:rsidR="002C3D14" w:rsidRDefault="002C3D14" w:rsidP="002C3D14">
      <w:pPr>
        <w:spacing w:line="480" w:lineRule="auto"/>
        <w:jc w:val="both"/>
        <w:rPr>
          <w:rFonts w:ascii="Arial" w:eastAsia="Arial" w:hAnsi="Arial" w:cs="Arial"/>
          <w:b/>
        </w:rPr>
      </w:pPr>
      <w:bookmarkStart w:id="0" w:name="_GoBack"/>
      <w:bookmarkEnd w:id="0"/>
      <w:r>
        <w:rPr>
          <w:rFonts w:ascii="Arial" w:eastAsia="Arial" w:hAnsi="Arial" w:cs="Arial"/>
          <w:b/>
          <w:u w:val="single"/>
        </w:rPr>
        <w:t>Supplemental Figure Legends</w:t>
      </w:r>
    </w:p>
    <w:p w14:paraId="601658DD" w14:textId="77777777" w:rsidR="002C3D14" w:rsidRDefault="002C3D14" w:rsidP="002C3D14">
      <w:pPr>
        <w:spacing w:line="480" w:lineRule="auto"/>
        <w:jc w:val="both"/>
        <w:rPr>
          <w:rFonts w:ascii="Arial" w:eastAsia="Arial" w:hAnsi="Arial" w:cs="Arial"/>
        </w:rPr>
      </w:pPr>
      <w:r>
        <w:rPr>
          <w:rFonts w:ascii="Arial" w:eastAsia="Arial" w:hAnsi="Arial" w:cs="Arial"/>
          <w:b/>
        </w:rPr>
        <w:t xml:space="preserve">Supplementary Figure 1: Ref-1 downregulates growth of 3D spheroids regardless of media conditions. </w:t>
      </w:r>
      <w:r>
        <w:rPr>
          <w:rFonts w:ascii="Arial" w:eastAsia="Arial" w:hAnsi="Arial" w:cs="Arial"/>
        </w:rPr>
        <w:t>Pa03C cells alone (</w:t>
      </w:r>
      <w:r>
        <w:rPr>
          <w:rFonts w:ascii="Arial" w:eastAsia="Arial" w:hAnsi="Arial" w:cs="Arial"/>
          <w:b/>
        </w:rPr>
        <w:t>A</w:t>
      </w:r>
      <w:r>
        <w:rPr>
          <w:rFonts w:ascii="Arial" w:eastAsia="Arial" w:hAnsi="Arial" w:cs="Arial"/>
        </w:rPr>
        <w:t>) or as co-cultures with CAF19 (</w:t>
      </w:r>
      <w:r>
        <w:rPr>
          <w:rFonts w:ascii="Arial" w:eastAsia="Arial" w:hAnsi="Arial" w:cs="Arial"/>
          <w:b/>
        </w:rPr>
        <w:t>B</w:t>
      </w:r>
      <w:sdt>
        <w:sdtPr>
          <w:tag w:val="goog_rdk_2"/>
          <w:id w:val="241300580"/>
        </w:sdtPr>
        <w:sdtContent>
          <w:r>
            <w:rPr>
              <w:rFonts w:ascii="Arial Unicode MS" w:eastAsia="Arial Unicode MS" w:hAnsi="Arial Unicode MS" w:cs="Arial Unicode MS"/>
            </w:rPr>
            <w:t xml:space="preserve">) were plated as 3D spheres after transfection with </w:t>
          </w:r>
          <w:proofErr w:type="spellStart"/>
          <w:r>
            <w:rPr>
              <w:rFonts w:ascii="Arial Unicode MS" w:eastAsia="Arial Unicode MS" w:hAnsi="Arial Unicode MS" w:cs="Arial Unicode MS"/>
            </w:rPr>
            <w:t>Scr</w:t>
          </w:r>
          <w:proofErr w:type="spellEnd"/>
          <w:r>
            <w:rPr>
              <w:rFonts w:ascii="Arial Unicode MS" w:eastAsia="Arial Unicode MS" w:hAnsi="Arial Unicode MS" w:cs="Arial Unicode MS"/>
            </w:rPr>
            <w:t xml:space="preserve"> or siRef-1 siRNA. Sample sets represented either grown in the presence of complete growth media or low glucose media. Intensity of fluorescence was measured on days 4, 8, and 12. (n≥3, Mean ± S.E. p&lt;0.05-0.0001).</w:t>
          </w:r>
        </w:sdtContent>
      </w:sdt>
    </w:p>
    <w:p w14:paraId="545C0A46" w14:textId="77777777" w:rsidR="002C3D14" w:rsidRDefault="002C3D14" w:rsidP="002C3D14">
      <w:pPr>
        <w:spacing w:line="480" w:lineRule="auto"/>
        <w:jc w:val="both"/>
        <w:rPr>
          <w:rFonts w:ascii="Arial" w:eastAsia="Arial" w:hAnsi="Arial" w:cs="Arial"/>
        </w:rPr>
      </w:pPr>
    </w:p>
    <w:p w14:paraId="6A030029" w14:textId="77777777" w:rsidR="002C3D14" w:rsidRDefault="002C3D14" w:rsidP="002C3D14">
      <w:pPr>
        <w:spacing w:line="480" w:lineRule="auto"/>
        <w:jc w:val="both"/>
        <w:rPr>
          <w:rFonts w:ascii="Arial" w:eastAsia="Arial" w:hAnsi="Arial" w:cs="Arial"/>
        </w:rPr>
      </w:pPr>
      <w:r>
        <w:rPr>
          <w:rFonts w:ascii="Arial" w:eastAsia="Arial" w:hAnsi="Arial" w:cs="Arial"/>
          <w:b/>
        </w:rPr>
        <w:t>Supplementary Figure 2: Ref-1 genetic or pharmacological inhibition reduces TCA cycle substrates. A.</w:t>
      </w:r>
      <w:r>
        <w:rPr>
          <w:rFonts w:ascii="Arial" w:eastAsia="Arial" w:hAnsi="Arial" w:cs="Arial"/>
        </w:rPr>
        <w:t xml:space="preserve"> TCA Cycle showing its intermediates entering other biomolecule synthesis pathways. Line graphs showing kinetics for TCA cycle substrates in</w:t>
      </w:r>
      <w:r>
        <w:rPr>
          <w:rFonts w:ascii="Arial" w:eastAsia="Arial" w:hAnsi="Arial" w:cs="Arial"/>
          <w:b/>
        </w:rPr>
        <w:t xml:space="preserve"> </w:t>
      </w:r>
      <w:r>
        <w:rPr>
          <w:rFonts w:ascii="Arial" w:eastAsia="Arial" w:hAnsi="Arial" w:cs="Arial"/>
        </w:rPr>
        <w:t xml:space="preserve">Pa03C cells with </w:t>
      </w:r>
      <w:proofErr w:type="spellStart"/>
      <w:r>
        <w:rPr>
          <w:rFonts w:ascii="Arial" w:eastAsia="Arial" w:hAnsi="Arial" w:cs="Arial"/>
        </w:rPr>
        <w:t>Scr</w:t>
      </w:r>
      <w:proofErr w:type="spellEnd"/>
      <w:r>
        <w:rPr>
          <w:rFonts w:ascii="Arial" w:eastAsia="Arial" w:hAnsi="Arial" w:cs="Arial"/>
        </w:rPr>
        <w:t xml:space="preserve"> vs 10nM siRef-1 (</w:t>
      </w:r>
      <w:r>
        <w:rPr>
          <w:rFonts w:ascii="Arial" w:eastAsia="Arial" w:hAnsi="Arial" w:cs="Arial"/>
          <w:b/>
        </w:rPr>
        <w:t>B</w:t>
      </w:r>
      <w:r>
        <w:rPr>
          <w:rFonts w:ascii="Arial" w:eastAsia="Arial" w:hAnsi="Arial" w:cs="Arial"/>
        </w:rPr>
        <w:t>), Ref-1 redox inhibition (</w:t>
      </w:r>
      <w:r>
        <w:rPr>
          <w:rFonts w:ascii="Arial" w:eastAsia="Arial" w:hAnsi="Arial" w:cs="Arial"/>
          <w:b/>
        </w:rPr>
        <w:t>C</w:t>
      </w:r>
      <w:r>
        <w:rPr>
          <w:rFonts w:ascii="Arial" w:eastAsia="Arial" w:hAnsi="Arial" w:cs="Arial"/>
        </w:rPr>
        <w:t>, APX2009), inactive Ref-1 redox inhibitor analog (</w:t>
      </w:r>
      <w:r>
        <w:rPr>
          <w:rFonts w:ascii="Arial" w:eastAsia="Arial" w:hAnsi="Arial" w:cs="Arial"/>
          <w:b/>
        </w:rPr>
        <w:t>D</w:t>
      </w:r>
      <w:r>
        <w:rPr>
          <w:rFonts w:ascii="Arial" w:eastAsia="Arial" w:hAnsi="Arial" w:cs="Arial"/>
        </w:rPr>
        <w:t xml:space="preserve">, RN7-58-5), metabolic inhibitor, </w:t>
      </w:r>
      <w:proofErr w:type="spellStart"/>
      <w:r>
        <w:rPr>
          <w:rFonts w:ascii="Arial" w:eastAsia="Arial" w:hAnsi="Arial" w:cs="Arial"/>
        </w:rPr>
        <w:t>Devimistat</w:t>
      </w:r>
      <w:proofErr w:type="spellEnd"/>
      <w:r>
        <w:rPr>
          <w:rFonts w:ascii="Arial" w:eastAsia="Arial" w:hAnsi="Arial" w:cs="Arial"/>
        </w:rPr>
        <w:t xml:space="preserve"> (</w:t>
      </w:r>
      <w:r>
        <w:rPr>
          <w:rFonts w:ascii="Arial" w:eastAsia="Arial" w:hAnsi="Arial" w:cs="Arial"/>
          <w:b/>
        </w:rPr>
        <w:t>E</w:t>
      </w:r>
      <w:r>
        <w:rPr>
          <w:rFonts w:ascii="Arial" w:eastAsia="Arial" w:hAnsi="Arial" w:cs="Arial"/>
        </w:rPr>
        <w:t>), and in CAF02 cells after treatment with APX2009 (</w:t>
      </w:r>
      <w:r>
        <w:rPr>
          <w:rFonts w:ascii="Arial" w:eastAsia="Arial" w:hAnsi="Arial" w:cs="Arial"/>
          <w:b/>
        </w:rPr>
        <w:t>F</w:t>
      </w:r>
      <w:r>
        <w:rPr>
          <w:rFonts w:ascii="Arial" w:eastAsia="Arial" w:hAnsi="Arial" w:cs="Arial"/>
        </w:rPr>
        <w:t>).</w:t>
      </w:r>
    </w:p>
    <w:p w14:paraId="102A11D8" w14:textId="77777777" w:rsidR="002C3D14" w:rsidRDefault="002C3D14" w:rsidP="002C3D14">
      <w:pPr>
        <w:spacing w:line="480" w:lineRule="auto"/>
        <w:jc w:val="both"/>
        <w:rPr>
          <w:rFonts w:ascii="Arial" w:eastAsia="Arial" w:hAnsi="Arial" w:cs="Arial"/>
        </w:rPr>
      </w:pPr>
    </w:p>
    <w:p w14:paraId="38FB42FE" w14:textId="77777777" w:rsidR="002C3D14" w:rsidRDefault="002C3D14" w:rsidP="002C3D14">
      <w:pPr>
        <w:spacing w:line="480" w:lineRule="auto"/>
        <w:jc w:val="both"/>
        <w:rPr>
          <w:rFonts w:ascii="Arial" w:eastAsia="Arial" w:hAnsi="Arial" w:cs="Arial"/>
        </w:rPr>
      </w:pPr>
      <w:r>
        <w:rPr>
          <w:rFonts w:ascii="Arial" w:eastAsia="Arial" w:hAnsi="Arial" w:cs="Arial"/>
          <w:b/>
        </w:rPr>
        <w:t xml:space="preserve">Supplementary Figure 3: IHC markers on tumors after treatment with APX2009 or </w:t>
      </w:r>
      <w:proofErr w:type="spellStart"/>
      <w:r>
        <w:rPr>
          <w:rFonts w:ascii="Arial" w:eastAsia="Arial" w:hAnsi="Arial" w:cs="Arial"/>
          <w:b/>
        </w:rPr>
        <w:t>Devimistat</w:t>
      </w:r>
      <w:proofErr w:type="spellEnd"/>
      <w:r>
        <w:rPr>
          <w:rFonts w:ascii="Arial" w:eastAsia="Arial" w:hAnsi="Arial" w:cs="Arial"/>
          <w:b/>
        </w:rPr>
        <w:t>.</w:t>
      </w:r>
      <w:r>
        <w:rPr>
          <w:rFonts w:ascii="Arial" w:eastAsia="Arial" w:hAnsi="Arial" w:cs="Arial"/>
        </w:rPr>
        <w:t xml:space="preserve"> Quantitation of IHC staining of Panc10.05+CAF xenograft tumors with Vimentin. Data represented as Mean ± SE.</w:t>
      </w:r>
    </w:p>
    <w:p w14:paraId="1A45D49B" w14:textId="77777777" w:rsidR="002C3D14" w:rsidRDefault="002C3D14" w:rsidP="002C3D14">
      <w:pPr>
        <w:spacing w:line="480" w:lineRule="auto"/>
        <w:jc w:val="both"/>
        <w:rPr>
          <w:rFonts w:ascii="Arial" w:eastAsia="Arial" w:hAnsi="Arial" w:cs="Arial"/>
          <w:b/>
        </w:rPr>
      </w:pPr>
    </w:p>
    <w:p w14:paraId="03F9F8FB" w14:textId="77777777" w:rsidR="002C3D14" w:rsidRDefault="002C3D14" w:rsidP="002C3D14">
      <w:pPr>
        <w:spacing w:line="480" w:lineRule="auto"/>
        <w:jc w:val="both"/>
        <w:rPr>
          <w:rFonts w:ascii="Arial" w:eastAsia="Arial" w:hAnsi="Arial" w:cs="Arial"/>
        </w:rPr>
      </w:pPr>
      <w:r>
        <w:rPr>
          <w:rFonts w:ascii="Arial" w:eastAsia="Arial" w:hAnsi="Arial" w:cs="Arial"/>
          <w:b/>
        </w:rPr>
        <w:t xml:space="preserve">Supplementary Figure 4: Ref-1 inhibition with additional APX analogs in combination with </w:t>
      </w:r>
      <w:proofErr w:type="spellStart"/>
      <w:r>
        <w:rPr>
          <w:rFonts w:ascii="Arial" w:eastAsia="Arial" w:hAnsi="Arial" w:cs="Arial"/>
          <w:b/>
        </w:rPr>
        <w:t>Devimistat</w:t>
      </w:r>
      <w:proofErr w:type="spellEnd"/>
      <w:r>
        <w:rPr>
          <w:rFonts w:ascii="Arial" w:eastAsia="Arial" w:hAnsi="Arial" w:cs="Arial"/>
          <w:b/>
        </w:rPr>
        <w:t xml:space="preserve"> attenuates growth in two co-culture models of pancreatic cancer: 3D spheroids and </w:t>
      </w:r>
      <w:proofErr w:type="spellStart"/>
      <w:r>
        <w:rPr>
          <w:rFonts w:ascii="Arial" w:eastAsia="Arial" w:hAnsi="Arial" w:cs="Arial"/>
          <w:b/>
        </w:rPr>
        <w:t>i</w:t>
      </w:r>
      <w:proofErr w:type="spellEnd"/>
      <w:r>
        <w:rPr>
          <w:rFonts w:ascii="Arial" w:eastAsia="Arial" w:hAnsi="Arial" w:cs="Arial"/>
          <w:b/>
        </w:rPr>
        <w:t xml:space="preserve">-TMOC. A. </w:t>
      </w:r>
      <w:r>
        <w:rPr>
          <w:rFonts w:ascii="Arial" w:eastAsia="Arial" w:hAnsi="Arial" w:cs="Arial"/>
        </w:rPr>
        <w:t xml:space="preserve">3D co-cultures of Pa03C or </w:t>
      </w:r>
      <w:r>
        <w:rPr>
          <w:rFonts w:ascii="Arial" w:eastAsia="Arial" w:hAnsi="Arial" w:cs="Arial"/>
        </w:rPr>
        <w:lastRenderedPageBreak/>
        <w:t xml:space="preserve">Panc10.05 with CAF19 cells plated at a ratio of 1:4 and treated with DMSO or APX3330 (35 µM) or APX2014 (1 µM) or </w:t>
      </w:r>
      <w:proofErr w:type="spellStart"/>
      <w:r>
        <w:rPr>
          <w:rFonts w:ascii="Arial" w:eastAsia="Arial" w:hAnsi="Arial" w:cs="Arial"/>
        </w:rPr>
        <w:t>Devimistat</w:t>
      </w:r>
      <w:proofErr w:type="spellEnd"/>
      <w:r>
        <w:rPr>
          <w:rFonts w:ascii="Arial" w:eastAsia="Arial" w:hAnsi="Arial" w:cs="Arial"/>
        </w:rPr>
        <w:t xml:space="preserve"> (25 µM  Pa03C and 50 µM for Panc10.05) alone or in combination with APX3330 or APX2014. Graphs represent either tumor intensity or CAF19 intensity measured as fluorescence on Days 4, 7, 10, and 14. </w:t>
      </w:r>
      <w:r>
        <w:rPr>
          <w:rFonts w:ascii="Arial" w:eastAsia="Arial" w:hAnsi="Arial" w:cs="Arial"/>
          <w:b/>
        </w:rPr>
        <w:t>B.</w:t>
      </w:r>
      <w:r>
        <w:rPr>
          <w:rFonts w:ascii="Arial" w:eastAsia="Arial" w:hAnsi="Arial" w:cs="Arial"/>
        </w:rPr>
        <w:t xml:space="preserve"> Quantitation of cell growth over time of Panc10.05+CAF19 co-cultures on </w:t>
      </w:r>
      <w:proofErr w:type="spellStart"/>
      <w:r>
        <w:rPr>
          <w:rFonts w:ascii="Arial" w:eastAsia="Arial" w:hAnsi="Arial" w:cs="Arial"/>
        </w:rPr>
        <w:t>iT</w:t>
      </w:r>
      <w:proofErr w:type="spellEnd"/>
      <w:r>
        <w:rPr>
          <w:rFonts w:ascii="Arial" w:eastAsia="Arial" w:hAnsi="Arial" w:cs="Arial"/>
        </w:rPr>
        <w:t>-MOC either with the single agent (APX2009 – 30 µM/</w:t>
      </w:r>
      <w:proofErr w:type="spellStart"/>
      <w:r>
        <w:rPr>
          <w:rFonts w:ascii="Arial" w:eastAsia="Arial" w:hAnsi="Arial" w:cs="Arial"/>
        </w:rPr>
        <w:t>Devimistat</w:t>
      </w:r>
      <w:proofErr w:type="spellEnd"/>
      <w:r>
        <w:rPr>
          <w:rFonts w:ascii="Arial" w:eastAsia="Arial" w:hAnsi="Arial" w:cs="Arial"/>
        </w:rPr>
        <w:t xml:space="preserve"> – 25 µM) or as combination treatment (n=3). All data represent </w:t>
      </w:r>
      <w:proofErr w:type="spellStart"/>
      <w:r>
        <w:rPr>
          <w:rFonts w:ascii="Arial" w:eastAsia="Arial" w:hAnsi="Arial" w:cs="Arial"/>
        </w:rPr>
        <w:t>Mean±SE</w:t>
      </w:r>
      <w:proofErr w:type="spellEnd"/>
      <w:r>
        <w:rPr>
          <w:rFonts w:ascii="Arial" w:eastAsia="Arial" w:hAnsi="Arial" w:cs="Arial"/>
        </w:rPr>
        <w:t>.</w:t>
      </w:r>
    </w:p>
    <w:p w14:paraId="27D17147" w14:textId="77777777" w:rsidR="002C3D14" w:rsidRDefault="002C3D14" w:rsidP="002C3D14">
      <w:pPr>
        <w:spacing w:line="480" w:lineRule="auto"/>
        <w:jc w:val="both"/>
        <w:rPr>
          <w:rFonts w:ascii="Arial" w:eastAsia="Arial" w:hAnsi="Arial" w:cs="Arial"/>
        </w:rPr>
      </w:pPr>
    </w:p>
    <w:p w14:paraId="28F37E32" w14:textId="77777777" w:rsidR="002C3D14" w:rsidRDefault="002C3D14" w:rsidP="002C3D14">
      <w:pPr>
        <w:spacing w:line="480" w:lineRule="auto"/>
        <w:jc w:val="both"/>
        <w:rPr>
          <w:rFonts w:ascii="Arial" w:eastAsia="Arial" w:hAnsi="Arial" w:cs="Arial"/>
          <w:sz w:val="22"/>
          <w:szCs w:val="22"/>
        </w:rPr>
      </w:pPr>
      <w:r>
        <w:rPr>
          <w:rFonts w:ascii="Arial" w:eastAsia="Arial" w:hAnsi="Arial" w:cs="Arial"/>
          <w:b/>
        </w:rPr>
        <w:t xml:space="preserve">Supplementary Figure 5: Ref-1 inhibition in combination with </w:t>
      </w:r>
      <w:proofErr w:type="spellStart"/>
      <w:r>
        <w:rPr>
          <w:rFonts w:ascii="Arial" w:eastAsia="Arial" w:hAnsi="Arial" w:cs="Arial"/>
          <w:b/>
        </w:rPr>
        <w:t>Devimistat</w:t>
      </w:r>
      <w:proofErr w:type="spellEnd"/>
      <w:r>
        <w:rPr>
          <w:rFonts w:ascii="Arial" w:eastAsia="Arial" w:hAnsi="Arial" w:cs="Arial"/>
          <w:b/>
        </w:rPr>
        <w:t xml:space="preserve"> shifts metabolism significantly compared to single agents. </w:t>
      </w:r>
      <w:r>
        <w:rPr>
          <w:rFonts w:ascii="Arial" w:eastAsia="Arial" w:hAnsi="Arial" w:cs="Arial"/>
        </w:rPr>
        <w:t>Line graphs showing kinetics for TCA cycle substrates in</w:t>
      </w:r>
      <w:r>
        <w:rPr>
          <w:rFonts w:ascii="Arial" w:eastAsia="Arial" w:hAnsi="Arial" w:cs="Arial"/>
          <w:b/>
        </w:rPr>
        <w:t xml:space="preserve"> </w:t>
      </w:r>
      <w:r>
        <w:rPr>
          <w:rFonts w:ascii="Arial" w:eastAsia="Arial" w:hAnsi="Arial" w:cs="Arial"/>
        </w:rPr>
        <w:t xml:space="preserve">Pa03C cells with the metabolic inhibitor </w:t>
      </w:r>
      <w:proofErr w:type="spellStart"/>
      <w:r>
        <w:rPr>
          <w:rFonts w:ascii="Arial" w:eastAsia="Arial" w:hAnsi="Arial" w:cs="Arial"/>
        </w:rPr>
        <w:t>Devimistat</w:t>
      </w:r>
      <w:proofErr w:type="spellEnd"/>
      <w:r>
        <w:rPr>
          <w:rFonts w:ascii="Arial" w:eastAsia="Arial" w:hAnsi="Arial" w:cs="Arial"/>
        </w:rPr>
        <w:t xml:space="preserve"> (50µM) in combination with APX2009 (5 and 10µM, n=3).</w:t>
      </w:r>
    </w:p>
    <w:p w14:paraId="134C8568" w14:textId="77777777" w:rsidR="00C87FBD" w:rsidRDefault="00C87FBD"/>
    <w:sectPr w:rsidR="00C87FBD">
      <w:pgSz w:w="12240" w:h="15840"/>
      <w:pgMar w:top="1440" w:right="1440" w:bottom="1440" w:left="1440" w:header="720" w:footer="72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7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D14"/>
    <w:rsid w:val="00006CA0"/>
    <w:rsid w:val="00011344"/>
    <w:rsid w:val="00012604"/>
    <w:rsid w:val="000156B0"/>
    <w:rsid w:val="00024C0F"/>
    <w:rsid w:val="00044CF2"/>
    <w:rsid w:val="00056907"/>
    <w:rsid w:val="000B15A4"/>
    <w:rsid w:val="000D48BA"/>
    <w:rsid w:val="000F259C"/>
    <w:rsid w:val="00107DC3"/>
    <w:rsid w:val="00114BF5"/>
    <w:rsid w:val="00117B92"/>
    <w:rsid w:val="0014705C"/>
    <w:rsid w:val="00152F40"/>
    <w:rsid w:val="0017021B"/>
    <w:rsid w:val="001727EC"/>
    <w:rsid w:val="001805B0"/>
    <w:rsid w:val="00186DE4"/>
    <w:rsid w:val="001A0008"/>
    <w:rsid w:val="001B00E4"/>
    <w:rsid w:val="001B35BE"/>
    <w:rsid w:val="001D1DC0"/>
    <w:rsid w:val="001F21F5"/>
    <w:rsid w:val="001F5709"/>
    <w:rsid w:val="00201BA0"/>
    <w:rsid w:val="002243C0"/>
    <w:rsid w:val="00225EBB"/>
    <w:rsid w:val="0026099C"/>
    <w:rsid w:val="00260B44"/>
    <w:rsid w:val="00264CA0"/>
    <w:rsid w:val="00266487"/>
    <w:rsid w:val="00266B3C"/>
    <w:rsid w:val="002939AD"/>
    <w:rsid w:val="002A2473"/>
    <w:rsid w:val="002B11DD"/>
    <w:rsid w:val="002C3D14"/>
    <w:rsid w:val="002D29EF"/>
    <w:rsid w:val="002E29E2"/>
    <w:rsid w:val="002E62F3"/>
    <w:rsid w:val="002F62D6"/>
    <w:rsid w:val="0031333E"/>
    <w:rsid w:val="00316DCC"/>
    <w:rsid w:val="00340D1B"/>
    <w:rsid w:val="00343EC9"/>
    <w:rsid w:val="00346E56"/>
    <w:rsid w:val="0035674E"/>
    <w:rsid w:val="00371556"/>
    <w:rsid w:val="00372FE6"/>
    <w:rsid w:val="00380575"/>
    <w:rsid w:val="0038068F"/>
    <w:rsid w:val="00381263"/>
    <w:rsid w:val="00396076"/>
    <w:rsid w:val="003B0A34"/>
    <w:rsid w:val="003B4CAD"/>
    <w:rsid w:val="003C1B6C"/>
    <w:rsid w:val="003D0B78"/>
    <w:rsid w:val="003E30C5"/>
    <w:rsid w:val="004256F8"/>
    <w:rsid w:val="00435C24"/>
    <w:rsid w:val="00441DA2"/>
    <w:rsid w:val="004636AD"/>
    <w:rsid w:val="0047103B"/>
    <w:rsid w:val="00471952"/>
    <w:rsid w:val="004A0AAF"/>
    <w:rsid w:val="004A5CA8"/>
    <w:rsid w:val="004B0002"/>
    <w:rsid w:val="004D4767"/>
    <w:rsid w:val="004D61F4"/>
    <w:rsid w:val="004E2B3D"/>
    <w:rsid w:val="004F19FB"/>
    <w:rsid w:val="00527259"/>
    <w:rsid w:val="005277E6"/>
    <w:rsid w:val="005331A9"/>
    <w:rsid w:val="005667EC"/>
    <w:rsid w:val="00566CF5"/>
    <w:rsid w:val="0056796B"/>
    <w:rsid w:val="0057218F"/>
    <w:rsid w:val="005A1CC0"/>
    <w:rsid w:val="005A65F7"/>
    <w:rsid w:val="005B5C60"/>
    <w:rsid w:val="005D78AF"/>
    <w:rsid w:val="005E7780"/>
    <w:rsid w:val="005F61D6"/>
    <w:rsid w:val="005F642B"/>
    <w:rsid w:val="00641658"/>
    <w:rsid w:val="00644D18"/>
    <w:rsid w:val="00653610"/>
    <w:rsid w:val="006741F1"/>
    <w:rsid w:val="006749FB"/>
    <w:rsid w:val="0069436A"/>
    <w:rsid w:val="006A4B52"/>
    <w:rsid w:val="006A53CC"/>
    <w:rsid w:val="006B22EC"/>
    <w:rsid w:val="006C534C"/>
    <w:rsid w:val="006D196D"/>
    <w:rsid w:val="006D4443"/>
    <w:rsid w:val="006E0719"/>
    <w:rsid w:val="006E50F9"/>
    <w:rsid w:val="006F6691"/>
    <w:rsid w:val="00701BB5"/>
    <w:rsid w:val="00702D9B"/>
    <w:rsid w:val="00711D5E"/>
    <w:rsid w:val="00747BF0"/>
    <w:rsid w:val="00750DDA"/>
    <w:rsid w:val="0075415F"/>
    <w:rsid w:val="007610AC"/>
    <w:rsid w:val="00763A15"/>
    <w:rsid w:val="00771CEF"/>
    <w:rsid w:val="0077734D"/>
    <w:rsid w:val="00777AC1"/>
    <w:rsid w:val="00783DA7"/>
    <w:rsid w:val="00791AF5"/>
    <w:rsid w:val="007E7AD1"/>
    <w:rsid w:val="007E7F80"/>
    <w:rsid w:val="00803792"/>
    <w:rsid w:val="00811823"/>
    <w:rsid w:val="008129E1"/>
    <w:rsid w:val="00817E59"/>
    <w:rsid w:val="00824DC5"/>
    <w:rsid w:val="00840948"/>
    <w:rsid w:val="00865541"/>
    <w:rsid w:val="00873F39"/>
    <w:rsid w:val="00874AA0"/>
    <w:rsid w:val="0088555C"/>
    <w:rsid w:val="00887661"/>
    <w:rsid w:val="008A3337"/>
    <w:rsid w:val="008D039B"/>
    <w:rsid w:val="008D528A"/>
    <w:rsid w:val="008F073A"/>
    <w:rsid w:val="008F3697"/>
    <w:rsid w:val="008F48BE"/>
    <w:rsid w:val="00913406"/>
    <w:rsid w:val="009159B7"/>
    <w:rsid w:val="00915AA2"/>
    <w:rsid w:val="0091722A"/>
    <w:rsid w:val="00922318"/>
    <w:rsid w:val="009276F8"/>
    <w:rsid w:val="00930A6D"/>
    <w:rsid w:val="00956D0A"/>
    <w:rsid w:val="00960A5B"/>
    <w:rsid w:val="0097537A"/>
    <w:rsid w:val="009A6F3E"/>
    <w:rsid w:val="009F4E38"/>
    <w:rsid w:val="00A05B14"/>
    <w:rsid w:val="00A11A21"/>
    <w:rsid w:val="00A11A73"/>
    <w:rsid w:val="00A11FC6"/>
    <w:rsid w:val="00A24E1A"/>
    <w:rsid w:val="00A30CF0"/>
    <w:rsid w:val="00A551A9"/>
    <w:rsid w:val="00A67A4B"/>
    <w:rsid w:val="00A80422"/>
    <w:rsid w:val="00A8134F"/>
    <w:rsid w:val="00A909D5"/>
    <w:rsid w:val="00AA087B"/>
    <w:rsid w:val="00AC7C1B"/>
    <w:rsid w:val="00AD7907"/>
    <w:rsid w:val="00AE2515"/>
    <w:rsid w:val="00AF5EE8"/>
    <w:rsid w:val="00B105E6"/>
    <w:rsid w:val="00B1736D"/>
    <w:rsid w:val="00B2570C"/>
    <w:rsid w:val="00B41AEF"/>
    <w:rsid w:val="00B536FF"/>
    <w:rsid w:val="00B63144"/>
    <w:rsid w:val="00B74939"/>
    <w:rsid w:val="00B8088F"/>
    <w:rsid w:val="00B95F9A"/>
    <w:rsid w:val="00BB7069"/>
    <w:rsid w:val="00BC1E09"/>
    <w:rsid w:val="00BD4474"/>
    <w:rsid w:val="00BD60D9"/>
    <w:rsid w:val="00BD6D45"/>
    <w:rsid w:val="00BE1FF7"/>
    <w:rsid w:val="00BE3A23"/>
    <w:rsid w:val="00BE7995"/>
    <w:rsid w:val="00BF25C6"/>
    <w:rsid w:val="00C02C68"/>
    <w:rsid w:val="00C3651A"/>
    <w:rsid w:val="00C400E5"/>
    <w:rsid w:val="00C87FBD"/>
    <w:rsid w:val="00C97CD5"/>
    <w:rsid w:val="00CB5FD2"/>
    <w:rsid w:val="00CE6414"/>
    <w:rsid w:val="00CE6CCE"/>
    <w:rsid w:val="00CF4FE7"/>
    <w:rsid w:val="00D03B3C"/>
    <w:rsid w:val="00D06920"/>
    <w:rsid w:val="00D111A6"/>
    <w:rsid w:val="00D31CED"/>
    <w:rsid w:val="00D45413"/>
    <w:rsid w:val="00D66A9B"/>
    <w:rsid w:val="00D71D0E"/>
    <w:rsid w:val="00D835F9"/>
    <w:rsid w:val="00D9024B"/>
    <w:rsid w:val="00DB5E8B"/>
    <w:rsid w:val="00DC7DD4"/>
    <w:rsid w:val="00DD7C60"/>
    <w:rsid w:val="00E138F8"/>
    <w:rsid w:val="00E14A65"/>
    <w:rsid w:val="00E1565D"/>
    <w:rsid w:val="00E27417"/>
    <w:rsid w:val="00E51D75"/>
    <w:rsid w:val="00E57FFC"/>
    <w:rsid w:val="00E750C1"/>
    <w:rsid w:val="00E77717"/>
    <w:rsid w:val="00E82D47"/>
    <w:rsid w:val="00E971BE"/>
    <w:rsid w:val="00ED3128"/>
    <w:rsid w:val="00ED4BC2"/>
    <w:rsid w:val="00EF7553"/>
    <w:rsid w:val="00F33B5C"/>
    <w:rsid w:val="00F5350A"/>
    <w:rsid w:val="00F60251"/>
    <w:rsid w:val="00F61FA2"/>
    <w:rsid w:val="00F91B5A"/>
    <w:rsid w:val="00F961FD"/>
    <w:rsid w:val="00FB3DA7"/>
    <w:rsid w:val="00FB65B7"/>
    <w:rsid w:val="00FD35AC"/>
    <w:rsid w:val="00FF1856"/>
    <w:rsid w:val="00FF2BC8"/>
    <w:rsid w:val="00FF5B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9A08ED2"/>
  <w15:chartTrackingRefBased/>
  <w15:docId w15:val="{DF078164-CCEA-2447-A584-D5CC639BA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3D14"/>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323</Words>
  <Characters>1843</Characters>
  <Application>Microsoft Office Word</Application>
  <DocSecurity>0</DocSecurity>
  <Lines>15</Lines>
  <Paragraphs>4</Paragraphs>
  <ScaleCrop>false</ScaleCrop>
  <Company/>
  <LinksUpToDate>false</LinksUpToDate>
  <CharactersWithSpaces>2162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Fishel, Melissa L</dc:creator>
  <cp:keywords/>
  <dc:description/>
  <cp:lastModifiedBy>Fishel, Melissa L</cp:lastModifiedBy>
  <cp:revision>1</cp:revision>
  <dcterms:created xsi:type="dcterms:W3CDTF">2020-11-29T15:15:00Z</dcterms:created>
  <dcterms:modified xsi:type="dcterms:W3CDTF">2020-11-29T15:16:00Z</dcterms:modified>
</cp:coreProperties>
</file>