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sz w:val="24"/>
          <w:szCs w:val="24"/>
        </w:rPr>
      </w:pPr>
      <w:r>
        <w:rPr>
          <w:rFonts w:ascii="Times New Roman" w:hAnsi="Times New Roman" w:cs="Times New Roman"/>
          <w:sz w:val="24"/>
          <w:szCs w:val="24"/>
        </w:rPr>
        <w:t>Table S1</w:t>
      </w:r>
      <w:r>
        <w:rPr>
          <w:rFonts w:ascii="Arial" w:hAnsi="Arial" w:cs="Arial"/>
          <w:sz w:val="24"/>
          <w:szCs w:val="24"/>
        </w:rPr>
        <w:t>.</w:t>
      </w:r>
      <w:r>
        <w:rPr>
          <w:rFonts w:ascii="Times New Roman" w:hAnsi="Times New Roman" w:cs="Times New Roman"/>
          <w:sz w:val="24"/>
          <w:szCs w:val="24"/>
        </w:rPr>
        <w:t xml:space="preserve"> L</w:t>
      </w:r>
      <w:r>
        <w:rPr>
          <w:rFonts w:hint="eastAsia" w:ascii="Times New Roman" w:hAnsi="Times New Roman" w:cs="Times New Roman"/>
          <w:sz w:val="24"/>
          <w:szCs w:val="24"/>
        </w:rPr>
        <w:t>ist</w:t>
      </w:r>
      <w:r>
        <w:rPr>
          <w:rFonts w:ascii="Times New Roman" w:hAnsi="Times New Roman" w:cs="Times New Roman"/>
          <w:sz w:val="24"/>
          <w:szCs w:val="24"/>
        </w:rPr>
        <w:t xml:space="preserve"> of the palmitoylated proteins involved in small molecules transport in HPASMC cells by palmitoylome analysis. The 52 palmitoylated proteins are listed, including the uniprot ID, gene name, protein function, and molecular weight.</w:t>
      </w:r>
    </w:p>
    <w:p>
      <w:pPr>
        <w:rPr>
          <w:rFonts w:ascii="Times New Roman" w:hAnsi="Times New Roman" w:cs="Times New Roman"/>
          <w:sz w:val="24"/>
          <w:szCs w:val="24"/>
        </w:rPr>
      </w:pPr>
    </w:p>
    <w:tbl>
      <w:tblPr>
        <w:tblStyle w:val="9"/>
        <w:tblpPr w:leftFromText="180" w:rightFromText="180" w:vertAnchor="page" w:horzAnchor="margin" w:tblpY="3241"/>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0"/>
        <w:gridCol w:w="2010"/>
        <w:gridCol w:w="6040"/>
        <w:gridCol w:w="1842"/>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2010"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color w:val="000000"/>
                <w:sz w:val="24"/>
                <w:szCs w:val="24"/>
              </w:rPr>
              <w:t>Uniprot ID</w:t>
            </w:r>
          </w:p>
        </w:tc>
        <w:tc>
          <w:tcPr>
            <w:tcW w:w="2010"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sz w:val="24"/>
                <w:szCs w:val="24"/>
              </w:rPr>
              <w:t>G</w:t>
            </w:r>
            <w:r>
              <w:rPr>
                <w:rFonts w:hint="eastAsia" w:ascii="Times New Roman" w:hAnsi="Times New Roman" w:cs="Times New Roman"/>
                <w:b/>
                <w:bCs/>
                <w:sz w:val="24"/>
                <w:szCs w:val="24"/>
              </w:rPr>
              <w:t>ene</w:t>
            </w:r>
            <w:r>
              <w:rPr>
                <w:rFonts w:ascii="Times New Roman" w:hAnsi="Times New Roman" w:cs="Times New Roman"/>
                <w:b/>
                <w:bCs/>
                <w:sz w:val="24"/>
                <w:szCs w:val="24"/>
              </w:rPr>
              <w:t xml:space="preserve"> name</w:t>
            </w:r>
          </w:p>
        </w:tc>
        <w:tc>
          <w:tcPr>
            <w:tcW w:w="6040"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sz w:val="24"/>
                <w:szCs w:val="24"/>
              </w:rPr>
              <w:t>P</w:t>
            </w:r>
            <w:r>
              <w:rPr>
                <w:rFonts w:hint="eastAsia" w:ascii="Times New Roman" w:hAnsi="Times New Roman" w:cs="Times New Roman"/>
                <w:b/>
                <w:bCs/>
                <w:sz w:val="24"/>
                <w:szCs w:val="24"/>
              </w:rPr>
              <w:t>rotein</w:t>
            </w:r>
            <w:r>
              <w:rPr>
                <w:rFonts w:ascii="Times New Roman" w:hAnsi="Times New Roman" w:cs="Times New Roman"/>
                <w:b/>
                <w:bCs/>
                <w:sz w:val="24"/>
                <w:szCs w:val="24"/>
              </w:rPr>
              <w:t xml:space="preserve"> f</w:t>
            </w:r>
            <w:r>
              <w:rPr>
                <w:rFonts w:hint="eastAsia" w:ascii="Times New Roman" w:hAnsi="Times New Roman" w:cs="Times New Roman"/>
                <w:b/>
                <w:bCs/>
                <w:sz w:val="24"/>
                <w:szCs w:val="24"/>
              </w:rPr>
              <w:t>unction</w:t>
            </w:r>
          </w:p>
        </w:tc>
        <w:tc>
          <w:tcPr>
            <w:tcW w:w="1842" w:type="dxa"/>
            <w:tcBorders>
              <w:bottom w:val="single" w:color="7E7E7E" w:themeColor="text1" w:themeTint="80" w:sz="4" w:space="0"/>
              <w:insideH w:val="single" w:sz="4" w:space="0"/>
            </w:tcBorders>
          </w:tcPr>
          <w:p>
            <w:pPr>
              <w:widowControl/>
              <w:jc w:val="center"/>
              <w:rPr>
                <w:rFonts w:ascii="Times New Roman" w:hAnsi="Times New Roman" w:eastAsia="等线" w:cs="Times New Roman"/>
                <w:b w:val="0"/>
                <w:bCs w:val="0"/>
                <w:color w:val="000000"/>
                <w:sz w:val="22"/>
              </w:rPr>
            </w:pPr>
            <w:r>
              <w:rPr>
                <w:rFonts w:ascii="Times New Roman" w:hAnsi="Times New Roman" w:eastAsia="等线" w:cs="Times New Roman"/>
                <w:b/>
                <w:bCs/>
                <w:color w:val="000000"/>
                <w:sz w:val="22"/>
              </w:rPr>
              <w:t>Mol. weight [kDa]</w:t>
            </w:r>
          </w:p>
          <w:p>
            <w:pPr>
              <w:widowControl/>
              <w:jc w:val="center"/>
              <w:rPr>
                <w:rFonts w:ascii="Times New Roman" w:hAnsi="Times New Roman" w:eastAsia="等线" w:cs="Times New Roman"/>
                <w:b w:val="0"/>
                <w:bCs w:val="0"/>
                <w:color w:val="000000"/>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Borders>
              <w:top w:val="single" w:color="7E7E7E" w:themeColor="text1" w:themeTint="80" w:sz="4" w:space="0"/>
              <w:bottom w:val="single" w:color="7E7E7E" w:themeColor="text1" w:themeTint="80" w:sz="4" w:space="0"/>
              <w:insideH w:val="single" w:sz="4" w:space="0"/>
            </w:tcBorders>
          </w:tcPr>
          <w:p>
            <w:pPr>
              <w:widowControl/>
              <w:jc w:val="center"/>
              <w:rPr>
                <w:rFonts w:ascii="Times New Roman" w:hAnsi="Times New Roman" w:eastAsia="等线" w:cs="Times New Roman"/>
                <w:b w:val="0"/>
                <w:bCs/>
                <w:sz w:val="22"/>
              </w:rPr>
            </w:pPr>
            <w:r>
              <w:rPr>
                <w:rFonts w:hint="eastAsia" w:ascii="Times New Roman" w:hAnsi="Times New Roman" w:eastAsia="等线" w:cs="Times New Roman"/>
                <w:b w:val="0"/>
                <w:bCs/>
                <w:sz w:val="22"/>
              </w:rPr>
              <w:t>A0A0S2Z2Z3</w:t>
            </w:r>
          </w:p>
          <w:p>
            <w:pPr>
              <w:widowControl/>
              <w:jc w:val="center"/>
              <w:rPr>
                <w:rFonts w:ascii="Times New Roman" w:hAnsi="Times New Roman" w:eastAsia="等线" w:cs="Times New Roman"/>
                <w:b w:val="0"/>
                <w:bCs/>
                <w:sz w:val="22"/>
              </w:rPr>
            </w:pPr>
          </w:p>
        </w:tc>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iCs/>
                <w:color w:val="000000"/>
                <w:sz w:val="22"/>
              </w:rPr>
            </w:pPr>
            <w:r>
              <w:rPr>
                <w:rFonts w:ascii="Times New Roman" w:hAnsi="Times New Roman" w:eastAsia="等线" w:cs="Times New Roman"/>
                <w:i/>
                <w:iCs/>
                <w:color w:val="000000"/>
                <w:sz w:val="22"/>
              </w:rPr>
              <w:t>ABCB7</w:t>
            </w:r>
          </w:p>
          <w:p>
            <w:pPr>
              <w:jc w:val="center"/>
              <w:rPr>
                <w:rFonts w:ascii="Times New Roman" w:hAnsi="Times New Roman" w:eastAsia="等线" w:cs="Times New Roman"/>
                <w:i/>
                <w:iCs/>
                <w:color w:val="000000"/>
                <w:sz w:val="22"/>
              </w:rPr>
            </w:pPr>
          </w:p>
        </w:tc>
        <w:tc>
          <w:tcPr>
            <w:tcW w:w="604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color w:val="000000"/>
                <w:sz w:val="22"/>
              </w:rPr>
            </w:pPr>
            <w:r>
              <w:rPr>
                <w:rFonts w:hint="eastAsia" w:ascii="Times New Roman" w:hAnsi="Times New Roman" w:eastAsia="等线" w:cs="Times New Roman"/>
                <w:color w:val="000000"/>
                <w:sz w:val="22"/>
              </w:rPr>
              <w:t>ATP-binding cassette sub-family B member 7</w:t>
            </w:r>
          </w:p>
          <w:p>
            <w:pPr>
              <w:jc w:val="center"/>
              <w:rPr>
                <w:rFonts w:ascii="Times New Roman" w:hAnsi="Times New Roman" w:eastAsia="等线" w:cs="Times New Roman"/>
                <w:color w:val="000000"/>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color w:val="000000"/>
                <w:sz w:val="22"/>
              </w:rPr>
            </w:pPr>
            <w:r>
              <w:rPr>
                <w:rFonts w:ascii="Times New Roman" w:hAnsi="Times New Roman" w:eastAsia="等线" w:cs="Times New Roman"/>
                <w:color w:val="000000"/>
                <w:sz w:val="22"/>
              </w:rPr>
              <w:t>82.7</w:t>
            </w:r>
          </w:p>
          <w:p>
            <w:pPr>
              <w:jc w:val="center"/>
              <w:rPr>
                <w:rFonts w:ascii="Times New Roman" w:hAnsi="Times New Roman" w:eastAsia="等线" w:cs="Times New Roman"/>
                <w:color w:val="000000"/>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Pr>
          <w:p>
            <w:pPr>
              <w:widowControl/>
              <w:jc w:val="center"/>
              <w:rPr>
                <w:rFonts w:ascii="Times New Roman" w:hAnsi="Times New Roman" w:eastAsia="等线" w:cs="Times New Roman"/>
                <w:b w:val="0"/>
                <w:bCs/>
                <w:sz w:val="22"/>
              </w:rPr>
            </w:pPr>
            <w:r>
              <w:rPr>
                <w:rFonts w:ascii="Times New Roman" w:hAnsi="Times New Roman" w:eastAsia="等线" w:cs="Times New Roman"/>
                <w:b w:val="0"/>
                <w:bCs/>
                <w:sz w:val="22"/>
              </w:rPr>
              <w:t>Q2L6I2</w:t>
            </w:r>
          </w:p>
          <w:p>
            <w:pPr>
              <w:widowControl/>
              <w:jc w:val="center"/>
              <w:rPr>
                <w:rFonts w:ascii="Times New Roman" w:hAnsi="Times New Roman" w:eastAsia="等线" w:cs="Times New Roman"/>
                <w:b w:val="0"/>
                <w:bCs/>
                <w:sz w:val="22"/>
              </w:rPr>
            </w:pPr>
          </w:p>
        </w:tc>
        <w:tc>
          <w:tcPr>
            <w:tcW w:w="2010" w:type="dxa"/>
          </w:tcPr>
          <w:p>
            <w:pPr>
              <w:widowControl/>
              <w:jc w:val="center"/>
              <w:rPr>
                <w:rFonts w:ascii="Times New Roman" w:hAnsi="Times New Roman" w:eastAsia="等线" w:cs="Times New Roman"/>
                <w:i/>
                <w:sz w:val="22"/>
              </w:rPr>
            </w:pPr>
            <w:r>
              <w:rPr>
                <w:rFonts w:ascii="Times New Roman" w:hAnsi="Times New Roman" w:eastAsia="等线" w:cs="Times New Roman"/>
                <w:i/>
                <w:sz w:val="22"/>
              </w:rPr>
              <w:t>ABCF1</w:t>
            </w:r>
          </w:p>
          <w:p>
            <w:pPr>
              <w:widowControl/>
              <w:jc w:val="center"/>
              <w:rPr>
                <w:rFonts w:ascii="Times New Roman" w:hAnsi="Times New Roman" w:eastAsia="等线" w:cs="Times New Roman"/>
                <w:sz w:val="22"/>
              </w:rPr>
            </w:pPr>
          </w:p>
        </w:tc>
        <w:tc>
          <w:tcPr>
            <w:tcW w:w="6040" w:type="dxa"/>
          </w:tcPr>
          <w:p>
            <w:pPr>
              <w:widowControl/>
              <w:jc w:val="center"/>
              <w:rPr>
                <w:rFonts w:ascii="Times New Roman" w:hAnsi="Times New Roman" w:eastAsia="等线" w:cs="Times New Roman"/>
                <w:sz w:val="22"/>
              </w:rPr>
            </w:pPr>
            <w:r>
              <w:rPr>
                <w:rFonts w:hint="eastAsia" w:ascii="Times New Roman" w:hAnsi="Times New Roman" w:eastAsia="等线" w:cs="Times New Roman"/>
                <w:sz w:val="22"/>
              </w:rPr>
              <w:t>ABC50 protein</w:t>
            </w:r>
          </w:p>
          <w:p>
            <w:pPr>
              <w:widowControl/>
              <w:jc w:val="center"/>
              <w:rPr>
                <w:rFonts w:ascii="Times New Roman" w:hAnsi="Times New Roman" w:eastAsia="等线" w:cs="Times New Roman"/>
                <w:sz w:val="22"/>
              </w:rPr>
            </w:pPr>
          </w:p>
        </w:tc>
        <w:tc>
          <w:tcPr>
            <w:tcW w:w="1842" w:type="dxa"/>
          </w:tcPr>
          <w:p>
            <w:pPr>
              <w:widowControl/>
              <w:jc w:val="center"/>
              <w:rPr>
                <w:rFonts w:ascii="Times New Roman" w:hAnsi="Times New Roman" w:eastAsia="等线" w:cs="Times New Roman"/>
                <w:sz w:val="22"/>
              </w:rPr>
            </w:pPr>
            <w:r>
              <w:rPr>
                <w:rFonts w:ascii="Times New Roman" w:hAnsi="Times New Roman" w:eastAsia="等线" w:cs="Times New Roman"/>
                <w:sz w:val="22"/>
              </w:rPr>
              <w:t>91.6</w:t>
            </w:r>
          </w:p>
          <w:p>
            <w:pPr>
              <w:widowControl/>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Borders>
              <w:top w:val="single" w:color="7E7E7E" w:themeColor="text1" w:themeTint="80" w:sz="4" w:space="0"/>
              <w:bottom w:val="single" w:color="7E7E7E" w:themeColor="text1" w:themeTint="80" w:sz="4" w:space="0"/>
              <w:insideH w:val="single" w:sz="4" w:space="0"/>
            </w:tcBorders>
          </w:tcPr>
          <w:p>
            <w:pPr>
              <w:widowControl/>
              <w:jc w:val="center"/>
              <w:rPr>
                <w:rFonts w:ascii="Times New Roman" w:hAnsi="Times New Roman" w:eastAsia="等线" w:cs="Times New Roman"/>
                <w:b w:val="0"/>
                <w:bCs/>
                <w:sz w:val="22"/>
              </w:rPr>
            </w:pPr>
            <w:r>
              <w:rPr>
                <w:rFonts w:ascii="Times New Roman" w:hAnsi="Times New Roman" w:eastAsia="等线" w:cs="Times New Roman"/>
                <w:b w:val="0"/>
                <w:bCs/>
                <w:sz w:val="22"/>
              </w:rPr>
              <w:t>Q53FL4</w:t>
            </w:r>
          </w:p>
          <w:p>
            <w:pPr>
              <w:widowControl/>
              <w:jc w:val="center"/>
              <w:rPr>
                <w:rFonts w:ascii="Times New Roman" w:hAnsi="Times New Roman" w:eastAsia="等线" w:cs="Times New Roman"/>
                <w:b w:val="0"/>
                <w:bCs/>
                <w:sz w:val="22"/>
              </w:rPr>
            </w:pPr>
          </w:p>
        </w:tc>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i/>
                <w:sz w:val="22"/>
              </w:rPr>
            </w:pPr>
            <w:r>
              <w:rPr>
                <w:rFonts w:ascii="Times New Roman" w:hAnsi="Times New Roman" w:eastAsia="等线" w:cs="Times New Roman"/>
                <w:bCs/>
                <w:i/>
                <w:sz w:val="22"/>
              </w:rPr>
              <w:t>ADD3</w:t>
            </w:r>
          </w:p>
          <w:p>
            <w:pPr>
              <w:jc w:val="center"/>
              <w:rPr>
                <w:rFonts w:ascii="Times New Roman" w:hAnsi="Times New Roman" w:eastAsia="等线" w:cs="Times New Roman"/>
                <w:bCs/>
                <w:sz w:val="22"/>
              </w:rPr>
            </w:pPr>
          </w:p>
        </w:tc>
        <w:tc>
          <w:tcPr>
            <w:tcW w:w="604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Adducin 3 isoform</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74.4</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O95782</w:t>
            </w:r>
          </w:p>
          <w:p>
            <w:pPr>
              <w:jc w:val="center"/>
              <w:rPr>
                <w:rFonts w:ascii="Times New Roman" w:hAnsi="Times New Roman" w:eastAsia="等线" w:cs="Times New Roman"/>
                <w:b w:val="0"/>
                <w:bCs/>
                <w:sz w:val="22"/>
              </w:rPr>
            </w:pPr>
          </w:p>
        </w:tc>
        <w:tc>
          <w:tcPr>
            <w:tcW w:w="2010" w:type="dxa"/>
          </w:tcPr>
          <w:p>
            <w:pPr>
              <w:jc w:val="center"/>
              <w:rPr>
                <w:rFonts w:ascii="Times New Roman" w:hAnsi="Times New Roman" w:eastAsia="等线" w:cs="Times New Roman"/>
                <w:bCs/>
                <w:i/>
                <w:sz w:val="22"/>
              </w:rPr>
            </w:pPr>
            <w:r>
              <w:rPr>
                <w:rFonts w:ascii="Times New Roman" w:hAnsi="Times New Roman" w:eastAsia="等线" w:cs="Times New Roman"/>
                <w:bCs/>
                <w:i/>
                <w:sz w:val="22"/>
              </w:rPr>
              <w:t>AP2A1</w:t>
            </w:r>
          </w:p>
          <w:p>
            <w:pPr>
              <w:jc w:val="center"/>
              <w:rPr>
                <w:rFonts w:ascii="Times New Roman" w:hAnsi="Times New Roman" w:eastAsia="等线" w:cs="Times New Roman"/>
                <w:bCs/>
                <w:sz w:val="22"/>
              </w:rPr>
            </w:pPr>
          </w:p>
        </w:tc>
        <w:tc>
          <w:tcPr>
            <w:tcW w:w="6040"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AP-2 complex subunit alpha-1</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107.5</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exact"/>
        </w:trPr>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O94973</w:t>
            </w:r>
          </w:p>
          <w:p>
            <w:pPr>
              <w:jc w:val="center"/>
              <w:rPr>
                <w:rFonts w:ascii="Times New Roman" w:hAnsi="Times New Roman" w:eastAsia="等线" w:cs="Times New Roman"/>
                <w:b w:val="0"/>
                <w:bCs/>
                <w:sz w:val="22"/>
              </w:rPr>
            </w:pPr>
          </w:p>
        </w:tc>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AP2A2</w:t>
            </w:r>
          </w:p>
          <w:p>
            <w:pPr>
              <w:jc w:val="center"/>
              <w:rPr>
                <w:rFonts w:ascii="Times New Roman" w:hAnsi="Times New Roman" w:eastAsia="等线" w:cs="Times New Roman"/>
                <w:sz w:val="22"/>
              </w:rPr>
            </w:pPr>
          </w:p>
        </w:tc>
        <w:tc>
          <w:tcPr>
            <w:tcW w:w="604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AP-2 complex subunit alpha-2</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103.9</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P05141</w:t>
            </w:r>
          </w:p>
          <w:p>
            <w:pPr>
              <w:jc w:val="center"/>
              <w:rPr>
                <w:rFonts w:ascii="Times New Roman" w:hAnsi="Times New Roman" w:eastAsia="等线" w:cs="Times New Roman"/>
                <w:b w:val="0"/>
                <w:bCs/>
                <w:sz w:val="22"/>
              </w:rPr>
            </w:pPr>
          </w:p>
        </w:tc>
        <w:tc>
          <w:tcPr>
            <w:tcW w:w="2010" w:type="dxa"/>
          </w:tcPr>
          <w:p>
            <w:pPr>
              <w:jc w:val="center"/>
              <w:rPr>
                <w:rFonts w:ascii="Times New Roman" w:hAnsi="Times New Roman" w:eastAsia="等线" w:cs="Times New Roman"/>
                <w:bCs/>
                <w:i/>
                <w:sz w:val="22"/>
              </w:rPr>
            </w:pPr>
            <w:r>
              <w:rPr>
                <w:rFonts w:ascii="Times New Roman" w:hAnsi="Times New Roman" w:eastAsia="等线" w:cs="Times New Roman"/>
                <w:bCs/>
                <w:i/>
                <w:sz w:val="22"/>
              </w:rPr>
              <w:t>SLC25A5</w:t>
            </w:r>
          </w:p>
          <w:p>
            <w:pPr>
              <w:jc w:val="center"/>
              <w:rPr>
                <w:rFonts w:ascii="Times New Roman" w:hAnsi="Times New Roman" w:eastAsia="等线" w:cs="Times New Roman"/>
                <w:bCs/>
                <w:sz w:val="22"/>
              </w:rPr>
            </w:pPr>
          </w:p>
        </w:tc>
        <w:tc>
          <w:tcPr>
            <w:tcW w:w="6040"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ADP/ATP translocase 2</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32.8</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P12236</w:t>
            </w:r>
          </w:p>
          <w:p>
            <w:pPr>
              <w:jc w:val="center"/>
              <w:rPr>
                <w:rFonts w:ascii="Times New Roman" w:hAnsi="Times New Roman" w:eastAsia="等线" w:cs="Times New Roman"/>
                <w:b w:val="0"/>
                <w:bCs/>
                <w:sz w:val="22"/>
              </w:rPr>
            </w:pPr>
          </w:p>
        </w:tc>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SLC25A6</w:t>
            </w:r>
          </w:p>
          <w:p>
            <w:pPr>
              <w:jc w:val="center"/>
              <w:rPr>
                <w:rFonts w:ascii="Times New Roman" w:hAnsi="Times New Roman" w:eastAsia="等线" w:cs="Times New Roman"/>
                <w:sz w:val="22"/>
              </w:rPr>
            </w:pPr>
          </w:p>
        </w:tc>
        <w:tc>
          <w:tcPr>
            <w:tcW w:w="604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ADP/ATP translocase 3</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32.8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exact"/>
        </w:trPr>
        <w:tc>
          <w:tcPr>
            <w:tcW w:w="2010"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Q12797</w:t>
            </w:r>
          </w:p>
          <w:p>
            <w:pPr>
              <w:jc w:val="center"/>
              <w:rPr>
                <w:rFonts w:ascii="Times New Roman" w:hAnsi="Times New Roman" w:eastAsia="等线" w:cs="Times New Roman"/>
                <w:b w:val="0"/>
                <w:bCs/>
                <w:sz w:val="22"/>
              </w:rPr>
            </w:pPr>
          </w:p>
        </w:tc>
        <w:tc>
          <w:tcPr>
            <w:tcW w:w="2010" w:type="dxa"/>
          </w:tcPr>
          <w:p>
            <w:pPr>
              <w:jc w:val="center"/>
              <w:rPr>
                <w:rFonts w:ascii="Times New Roman" w:hAnsi="Times New Roman" w:eastAsia="等线" w:cs="Times New Roman"/>
                <w:bCs/>
                <w:i/>
                <w:sz w:val="22"/>
              </w:rPr>
            </w:pPr>
            <w:r>
              <w:rPr>
                <w:rFonts w:ascii="Times New Roman" w:hAnsi="Times New Roman" w:eastAsia="等线" w:cs="Times New Roman"/>
                <w:bCs/>
                <w:i/>
                <w:sz w:val="22"/>
              </w:rPr>
              <w:t>ASPH</w:t>
            </w:r>
          </w:p>
          <w:p>
            <w:pPr>
              <w:jc w:val="center"/>
              <w:rPr>
                <w:rFonts w:ascii="Times New Roman" w:hAnsi="Times New Roman" w:eastAsia="等线" w:cs="Times New Roman"/>
                <w:bCs/>
                <w:sz w:val="22"/>
              </w:rPr>
            </w:pPr>
          </w:p>
        </w:tc>
        <w:tc>
          <w:tcPr>
            <w:tcW w:w="6040"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Aspartyl/asparaginyl beta-hydroxylase</w:t>
            </w:r>
          </w:p>
          <w:p>
            <w:pPr>
              <w:jc w:val="center"/>
              <w:rPr>
                <w:rFonts w:ascii="Times New Roman" w:hAnsi="Times New Roman" w:eastAsia="等线" w:cs="Times New Roman"/>
                <w:bCs/>
                <w:sz w:val="22"/>
              </w:rPr>
            </w:pPr>
          </w:p>
        </w:tc>
        <w:tc>
          <w:tcPr>
            <w:tcW w:w="1842" w:type="dxa"/>
            <w:vAlign w:val="bottom"/>
          </w:tcPr>
          <w:p>
            <w:pPr>
              <w:ind w:right="440"/>
              <w:jc w:val="center"/>
              <w:rPr>
                <w:rFonts w:ascii="Times New Roman" w:hAnsi="Times New Roman" w:eastAsia="等线" w:cs="Times New Roman"/>
                <w:bCs/>
                <w:sz w:val="22"/>
              </w:rPr>
            </w:pPr>
            <w:r>
              <w:rPr>
                <w:rFonts w:hint="eastAsia" w:ascii="Times New Roman" w:hAnsi="Times New Roman" w:eastAsia="等线" w:cs="Times New Roman"/>
                <w:bCs/>
                <w:sz w:val="22"/>
              </w:rPr>
              <w:t xml:space="preserve">    </w:t>
            </w:r>
            <w:r>
              <w:rPr>
                <w:rFonts w:ascii="Times New Roman" w:hAnsi="Times New Roman" w:eastAsia="等线" w:cs="Times New Roman"/>
                <w:bCs/>
                <w:sz w:val="22"/>
              </w:rPr>
              <w:t>85.8</w:t>
            </w:r>
          </w:p>
          <w:p>
            <w:pPr>
              <w:jc w:val="right"/>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exact"/>
        </w:trPr>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P05023</w:t>
            </w:r>
          </w:p>
          <w:p>
            <w:pPr>
              <w:widowControl/>
              <w:jc w:val="center"/>
              <w:rPr>
                <w:rFonts w:ascii="Times New Roman" w:hAnsi="Times New Roman" w:eastAsia="等线" w:cs="Times New Roman"/>
                <w:b w:val="0"/>
                <w:bCs/>
                <w:sz w:val="22"/>
              </w:rPr>
            </w:pPr>
          </w:p>
        </w:tc>
        <w:tc>
          <w:tcPr>
            <w:tcW w:w="201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ATP1A1</w:t>
            </w:r>
          </w:p>
          <w:p>
            <w:pPr>
              <w:jc w:val="center"/>
              <w:rPr>
                <w:rFonts w:ascii="Times New Roman" w:hAnsi="Times New Roman" w:eastAsia="等线" w:cs="Times New Roman"/>
                <w:sz w:val="22"/>
              </w:rPr>
            </w:pPr>
          </w:p>
        </w:tc>
        <w:tc>
          <w:tcPr>
            <w:tcW w:w="604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Sodium/potassium-transporting ATPase subunit alpha-1</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112.8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exact"/>
        </w:trPr>
        <w:tc>
          <w:tcPr>
            <w:tcW w:w="2010"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A0A0S2Z3L2</w:t>
            </w:r>
          </w:p>
          <w:p>
            <w:pPr>
              <w:jc w:val="center"/>
              <w:rPr>
                <w:rFonts w:ascii="Times New Roman" w:hAnsi="Times New Roman" w:eastAsia="等线" w:cs="Times New Roman"/>
                <w:b w:val="0"/>
                <w:bCs/>
                <w:sz w:val="22"/>
              </w:rPr>
            </w:pPr>
          </w:p>
        </w:tc>
        <w:tc>
          <w:tcPr>
            <w:tcW w:w="2010" w:type="dxa"/>
          </w:tcPr>
          <w:p>
            <w:pPr>
              <w:jc w:val="center"/>
              <w:rPr>
                <w:rFonts w:ascii="Times New Roman" w:hAnsi="Times New Roman" w:eastAsia="等线" w:cs="Times New Roman"/>
                <w:i/>
                <w:sz w:val="22"/>
              </w:rPr>
            </w:pPr>
            <w:r>
              <w:rPr>
                <w:rFonts w:ascii="Times New Roman" w:hAnsi="Times New Roman" w:eastAsia="等线" w:cs="Times New Roman"/>
                <w:i/>
                <w:sz w:val="22"/>
              </w:rPr>
              <w:t>ATP2A2</w:t>
            </w:r>
          </w:p>
          <w:p>
            <w:pPr>
              <w:jc w:val="center"/>
              <w:rPr>
                <w:rFonts w:ascii="Times New Roman" w:hAnsi="Times New Roman" w:eastAsia="等线" w:cs="Times New Roman"/>
                <w:sz w:val="22"/>
              </w:rPr>
            </w:pPr>
          </w:p>
        </w:tc>
        <w:tc>
          <w:tcPr>
            <w:tcW w:w="6040" w:type="dxa"/>
          </w:tcPr>
          <w:p>
            <w:pPr>
              <w:jc w:val="center"/>
              <w:rPr>
                <w:rFonts w:ascii="Times New Roman" w:hAnsi="Times New Roman" w:eastAsia="等线" w:cs="Times New Roman"/>
                <w:sz w:val="22"/>
              </w:rPr>
            </w:pPr>
            <w:r>
              <w:rPr>
                <w:rFonts w:hint="eastAsia" w:ascii="Times New Roman" w:hAnsi="Times New Roman" w:eastAsia="等线" w:cs="Times New Roman"/>
                <w:sz w:val="22"/>
              </w:rPr>
              <w:t>P-type Ca(2+) transporter</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114.7</w:t>
            </w:r>
          </w:p>
          <w:p>
            <w:pPr>
              <w:jc w:val="center"/>
              <w:rPr>
                <w:rFonts w:ascii="Times New Roman" w:hAnsi="Times New Roman" w:eastAsia="等线" w:cs="Times New Roman"/>
                <w:sz w:val="22"/>
              </w:rPr>
            </w:pPr>
          </w:p>
        </w:tc>
      </w:tr>
    </w:tbl>
    <w:tbl>
      <w:tblPr>
        <w:tblStyle w:val="9"/>
        <w:tblW w:w="0" w:type="auto"/>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96"/>
        <w:gridCol w:w="1560"/>
        <w:gridCol w:w="6095"/>
        <w:gridCol w:w="1842"/>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1696"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color w:val="000000"/>
                <w:sz w:val="24"/>
                <w:szCs w:val="24"/>
              </w:rPr>
              <w:t>Uniprot ID</w:t>
            </w:r>
          </w:p>
        </w:tc>
        <w:tc>
          <w:tcPr>
            <w:tcW w:w="1560"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sz w:val="24"/>
                <w:szCs w:val="24"/>
              </w:rPr>
              <w:t>G</w:t>
            </w:r>
            <w:r>
              <w:rPr>
                <w:rFonts w:hint="eastAsia" w:ascii="Times New Roman" w:hAnsi="Times New Roman" w:cs="Times New Roman"/>
                <w:b/>
                <w:bCs/>
                <w:sz w:val="24"/>
                <w:szCs w:val="24"/>
              </w:rPr>
              <w:t>ene</w:t>
            </w:r>
            <w:r>
              <w:rPr>
                <w:rFonts w:ascii="Times New Roman" w:hAnsi="Times New Roman" w:cs="Times New Roman"/>
                <w:b/>
                <w:bCs/>
                <w:sz w:val="24"/>
                <w:szCs w:val="24"/>
              </w:rPr>
              <w:t xml:space="preserve"> name</w:t>
            </w:r>
          </w:p>
        </w:tc>
        <w:tc>
          <w:tcPr>
            <w:tcW w:w="6095" w:type="dxa"/>
            <w:tcBorders>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sz w:val="24"/>
                <w:szCs w:val="24"/>
              </w:rPr>
              <w:t>P</w:t>
            </w:r>
            <w:r>
              <w:rPr>
                <w:rFonts w:hint="eastAsia" w:ascii="Times New Roman" w:hAnsi="Times New Roman" w:cs="Times New Roman"/>
                <w:b/>
                <w:bCs/>
                <w:sz w:val="24"/>
                <w:szCs w:val="24"/>
              </w:rPr>
              <w:t>rotein</w:t>
            </w:r>
            <w:r>
              <w:rPr>
                <w:rFonts w:ascii="Times New Roman" w:hAnsi="Times New Roman" w:cs="Times New Roman"/>
                <w:b/>
                <w:bCs/>
                <w:sz w:val="24"/>
                <w:szCs w:val="24"/>
              </w:rPr>
              <w:t xml:space="preserve"> f</w:t>
            </w:r>
            <w:r>
              <w:rPr>
                <w:rFonts w:hint="eastAsia" w:ascii="Times New Roman" w:hAnsi="Times New Roman" w:cs="Times New Roman"/>
                <w:b/>
                <w:bCs/>
                <w:sz w:val="24"/>
                <w:szCs w:val="24"/>
              </w:rPr>
              <w:t>unction</w:t>
            </w:r>
          </w:p>
        </w:tc>
        <w:tc>
          <w:tcPr>
            <w:tcW w:w="1842" w:type="dxa"/>
            <w:tcBorders>
              <w:bottom w:val="single" w:color="7E7E7E" w:themeColor="text1" w:themeTint="80" w:sz="4" w:space="0"/>
              <w:insideH w:val="single" w:sz="4" w:space="0"/>
            </w:tcBorders>
          </w:tcPr>
          <w:p>
            <w:pPr>
              <w:widowControl/>
              <w:jc w:val="center"/>
              <w:rPr>
                <w:rFonts w:ascii="Times New Roman" w:hAnsi="Times New Roman" w:eastAsia="等线" w:cs="Times New Roman"/>
                <w:b w:val="0"/>
                <w:bCs w:val="0"/>
                <w:color w:val="000000"/>
                <w:sz w:val="22"/>
              </w:rPr>
            </w:pPr>
            <w:r>
              <w:rPr>
                <w:rFonts w:ascii="Times New Roman" w:hAnsi="Times New Roman" w:eastAsia="等线" w:cs="Times New Roman"/>
                <w:b/>
                <w:bCs/>
                <w:color w:val="000000"/>
                <w:sz w:val="22"/>
              </w:rPr>
              <w:t>Mol. weight [kDa]</w:t>
            </w:r>
          </w:p>
          <w:p>
            <w:pPr>
              <w:widowControl/>
              <w:jc w:val="center"/>
              <w:rPr>
                <w:rFonts w:ascii="Times New Roman" w:hAnsi="Times New Roman" w:eastAsia="等线" w:cs="Times New Roman"/>
                <w:b w:val="0"/>
                <w:bCs w:val="0"/>
                <w:color w:val="000000"/>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P20020</w:t>
            </w:r>
          </w:p>
          <w:p>
            <w:pPr>
              <w:widowControl/>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ATP2B1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Plasma membrane calcium-transporting ATPase</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134.6</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P38606</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ATP6V1A</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 xml:space="preserve">V-type proton ATPase catalytic subunit A </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68.3</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A0A140VK65</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ATP6V1B2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Vacuolar proton pump subunit B</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56.5</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exact"/>
        </w:trPr>
        <w:tc>
          <w:tcPr>
            <w:tcW w:w="1696" w:type="dxa"/>
          </w:tcPr>
          <w:p>
            <w:pPr>
              <w:jc w:val="center"/>
              <w:rPr>
                <w:rFonts w:ascii="Times New Roman" w:hAnsi="Times New Roman" w:eastAsia="等线" w:cs="Times New Roman"/>
                <w:b w:val="0"/>
                <w:bCs/>
                <w:sz w:val="22"/>
              </w:rPr>
            </w:pPr>
            <w:r>
              <w:rPr>
                <w:rFonts w:hint="eastAsia" w:ascii="Times New Roman" w:hAnsi="Times New Roman" w:eastAsia="等线" w:cs="Times New Roman"/>
                <w:b w:val="0"/>
                <w:bCs/>
                <w:sz w:val="22"/>
              </w:rPr>
              <w:t>P21283</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ATP6V1C1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V-type proton ATPase subunit C 1</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43.9</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Q53Y06</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ATP6V1E1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ATPase, H+ transporting, V1 subunit E isoform 1</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26.1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Q96CW1</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AP2M1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AP-2 complex subunit mu</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49.6</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X6R390</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AP2S1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AP complex subunit sigma</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18.4</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exact"/>
        </w:trPr>
        <w:tc>
          <w:tcPr>
            <w:tcW w:w="1696" w:type="dxa"/>
          </w:tcPr>
          <w:p>
            <w:pPr>
              <w:jc w:val="center"/>
              <w:rPr>
                <w:rFonts w:ascii="Times New Roman" w:hAnsi="Times New Roman" w:eastAsia="等线" w:cs="Times New Roman"/>
                <w:b w:val="0"/>
                <w:bCs/>
                <w:sz w:val="22"/>
              </w:rPr>
            </w:pPr>
            <w:r>
              <w:rPr>
                <w:rFonts w:hint="eastAsia" w:ascii="Times New Roman" w:hAnsi="Times New Roman" w:eastAsia="等线" w:cs="Times New Roman"/>
                <w:b w:val="0"/>
                <w:bCs/>
                <w:sz w:val="22"/>
              </w:rPr>
              <w:t>A0A087WVQ6</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CLTC</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Clathrin heavy chain</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191.9</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Q53XC0</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EIF2S1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Eukaryotic translation initiation factor 2 subunit 1</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36.1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P41091</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EIF2S3</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Eukaryotic translation initiation factor 2 subunit 3</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51.1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b/>
                <w:bCs/>
              </w:rPr>
              <w:br w:type="page"/>
            </w:r>
            <w:r>
              <w:rPr>
                <w:rFonts w:ascii="Times New Roman" w:hAnsi="Times New Roman" w:cs="Times New Roman"/>
                <w:b/>
                <w:bCs/>
                <w:color w:val="000000"/>
                <w:sz w:val="24"/>
                <w:szCs w:val="24"/>
              </w:rPr>
              <w:t>Uniprot ID</w:t>
            </w: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G</w:t>
            </w:r>
            <w:r>
              <w:rPr>
                <w:rFonts w:hint="eastAsia" w:ascii="Times New Roman" w:hAnsi="Times New Roman" w:cs="Times New Roman"/>
                <w:b/>
                <w:bCs/>
                <w:color w:val="000000"/>
                <w:sz w:val="24"/>
                <w:szCs w:val="24"/>
              </w:rPr>
              <w:t>ene</w:t>
            </w:r>
            <w:r>
              <w:rPr>
                <w:rFonts w:ascii="Times New Roman" w:hAnsi="Times New Roman" w:cs="Times New Roman"/>
                <w:b/>
                <w:bCs/>
                <w:color w:val="000000"/>
                <w:sz w:val="24"/>
                <w:szCs w:val="24"/>
              </w:rPr>
              <w:t xml:space="preserve"> name</w:t>
            </w: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w:t>
            </w:r>
            <w:r>
              <w:rPr>
                <w:rFonts w:hint="eastAsia" w:ascii="Times New Roman" w:hAnsi="Times New Roman" w:cs="Times New Roman"/>
                <w:b/>
                <w:bCs/>
                <w:color w:val="000000"/>
                <w:sz w:val="24"/>
                <w:szCs w:val="24"/>
              </w:rPr>
              <w:t>rotein</w:t>
            </w:r>
            <w:r>
              <w:rPr>
                <w:rFonts w:ascii="Times New Roman" w:hAnsi="Times New Roman" w:cs="Times New Roman"/>
                <w:b/>
                <w:bCs/>
                <w:color w:val="000000"/>
                <w:sz w:val="24"/>
                <w:szCs w:val="24"/>
              </w:rPr>
              <w:t xml:space="preserve"> f</w:t>
            </w:r>
            <w:r>
              <w:rPr>
                <w:rFonts w:hint="eastAsia" w:ascii="Times New Roman" w:hAnsi="Times New Roman" w:cs="Times New Roman"/>
                <w:b/>
                <w:bCs/>
                <w:color w:val="000000"/>
                <w:sz w:val="24"/>
                <w:szCs w:val="24"/>
              </w:rPr>
              <w:t>unction</w:t>
            </w:r>
          </w:p>
        </w:tc>
        <w:tc>
          <w:tcPr>
            <w:tcW w:w="1842" w:type="dxa"/>
            <w:tcBorders>
              <w:top w:val="single" w:color="7E7E7E" w:themeColor="text1" w:themeTint="80" w:sz="4" w:space="0"/>
              <w:bottom w:val="single" w:color="7E7E7E" w:themeColor="text1" w:themeTint="80" w:sz="4" w:space="0"/>
              <w:insideH w:val="single" w:sz="4" w:space="0"/>
            </w:tcBorders>
          </w:tcPr>
          <w:p>
            <w:pPr>
              <w:widowControl/>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Mol. weight [kDa]</w:t>
            </w:r>
          </w:p>
          <w:p>
            <w:pPr>
              <w:widowControl/>
              <w:jc w:val="center"/>
              <w:rPr>
                <w:rFonts w:ascii="Times New Roman" w:hAnsi="Times New Roman" w:cs="Times New Roman"/>
                <w:b/>
                <w:bCs/>
                <w:color w:val="000000"/>
                <w:sz w:val="24"/>
                <w:szCs w:val="24"/>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A0A0S2Z3S5</w:t>
            </w:r>
          </w:p>
          <w:p>
            <w:pPr>
              <w:widowControl/>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GNAS</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GNAS complex locus isoform 2</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44.2</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P63244</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GNB2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Receptor of activated protein C kinase 1</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35.1</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P69905</w:t>
            </w:r>
          </w:p>
          <w:p>
            <w:pPr>
              <w:widowControl/>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HBA1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Hemoglobin subunit alpha</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15.2</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P68871</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HBB</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Hemoglobin subunit beta</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16</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Q00341</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HDLBP</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Vigilin</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141.4</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O95202</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LETM1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Mitochondrial proton/calcium exchanger protein</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83.3</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A0A024R8S5</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P4HB</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Protein disulfide-isomerase</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57.1</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P10644</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PRKAR1A</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cAMP-dependent protein kinase type I-alpha regulatory subunit</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43</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A8KAH7</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PRKAR2A</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 xml:space="preserve">protein kinase, cAMP-dependent, regulatory, type II, alpha </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45.5</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B2RDW1</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RPS27A</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40S ribosomal protein S27a</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18</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B4DKS0</w:t>
            </w: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SLC16A1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Monocarboxylate transporter 1</w:t>
            </w:r>
          </w:p>
          <w:p>
            <w:pPr>
              <w:jc w:val="center"/>
              <w:rPr>
                <w:rFonts w:ascii="Times New Roman" w:hAnsi="Times New Roman" w:eastAsia="等线" w:cs="Times New Roman"/>
                <w:bCs/>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51.8</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P30626</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SRI</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Sorcin</w:t>
            </w:r>
          </w:p>
          <w:p>
            <w:pPr>
              <w:jc w:val="center"/>
              <w:rPr>
                <w:rFonts w:ascii="Times New Roman" w:hAnsi="Times New Roman" w:eastAsia="等线" w:cs="Times New Roman"/>
                <w:bCs/>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Cs/>
                <w:sz w:val="22"/>
              </w:rPr>
            </w:pPr>
            <w:r>
              <w:rPr>
                <w:rFonts w:ascii="Times New Roman" w:hAnsi="Times New Roman" w:eastAsia="等线" w:cs="Times New Roman"/>
                <w:bCs/>
                <w:sz w:val="22"/>
              </w:rPr>
              <w:t>21.7</w:t>
            </w:r>
          </w:p>
          <w:p>
            <w:pPr>
              <w:jc w:val="center"/>
              <w:rPr>
                <w:rFonts w:ascii="Times New Roman" w:hAnsi="Times New Roman" w:eastAsia="等线" w:cs="Times New Roman"/>
                <w:bCs/>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A8K6Q8</w:t>
            </w:r>
          </w:p>
          <w:p>
            <w:pPr>
              <w:widowControl/>
              <w:jc w:val="center"/>
              <w:rPr>
                <w:rFonts w:ascii="Times New Roman" w:hAnsi="Times New Roman" w:eastAsia="等线" w:cs="Times New Roman"/>
                <w:b w:val="0"/>
                <w:bCs/>
                <w:color w:val="000000"/>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TFRC</w:t>
            </w:r>
          </w:p>
          <w:p>
            <w:pPr>
              <w:jc w:val="center"/>
              <w:rPr>
                <w:rFonts w:ascii="Times New Roman" w:hAnsi="Times New Roman" w:eastAsia="等线" w:cs="Times New Roman"/>
                <w:i/>
                <w:iCs/>
                <w:color w:val="000000"/>
                <w:sz w:val="22"/>
              </w:rPr>
            </w:pPr>
          </w:p>
        </w:tc>
        <w:tc>
          <w:tcPr>
            <w:tcW w:w="6095" w:type="dxa"/>
          </w:tcPr>
          <w:p>
            <w:pPr>
              <w:jc w:val="center"/>
              <w:rPr>
                <w:rFonts w:ascii="Times New Roman" w:hAnsi="Times New Roman" w:eastAsia="等线" w:cs="Times New Roman"/>
                <w:bCs/>
                <w:sz w:val="22"/>
              </w:rPr>
            </w:pPr>
            <w:r>
              <w:rPr>
                <w:rFonts w:hint="eastAsia" w:ascii="Times New Roman" w:hAnsi="Times New Roman" w:eastAsia="等线" w:cs="Times New Roman"/>
                <w:bCs/>
                <w:sz w:val="22"/>
              </w:rPr>
              <w:t>Transferrin receptor protein 1</w:t>
            </w:r>
          </w:p>
          <w:p>
            <w:pPr>
              <w:jc w:val="center"/>
              <w:rPr>
                <w:rFonts w:ascii="Times New Roman" w:hAnsi="Times New Roman" w:eastAsia="等线" w:cs="Times New Roman"/>
                <w:b/>
                <w:sz w:val="22"/>
              </w:rPr>
            </w:pPr>
          </w:p>
        </w:tc>
        <w:tc>
          <w:tcPr>
            <w:tcW w:w="1842" w:type="dxa"/>
          </w:tcPr>
          <w:p>
            <w:pPr>
              <w:jc w:val="center"/>
              <w:rPr>
                <w:rFonts w:ascii="Times New Roman" w:hAnsi="Times New Roman" w:eastAsia="等线" w:cs="Times New Roman"/>
                <w:bCs/>
                <w:sz w:val="22"/>
              </w:rPr>
            </w:pPr>
            <w:r>
              <w:rPr>
                <w:rFonts w:ascii="Times New Roman" w:hAnsi="Times New Roman" w:eastAsia="等线" w:cs="Times New Roman"/>
                <w:bCs/>
                <w:sz w:val="22"/>
              </w:rPr>
              <w:t>84.8</w:t>
            </w:r>
          </w:p>
          <w:p>
            <w:pPr>
              <w:jc w:val="center"/>
              <w:rPr>
                <w:rFonts w:ascii="Times New Roman" w:hAnsi="Times New Roman" w:eastAsia="等线" w:cs="Times New Roman"/>
                <w:b/>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cs="Times New Roman"/>
                <w:b w:val="0"/>
                <w:bCs w:val="0"/>
                <w:kern w:val="44"/>
                <w:sz w:val="24"/>
                <w:szCs w:val="24"/>
              </w:rPr>
            </w:pPr>
            <w:r>
              <w:rPr>
                <w:rFonts w:ascii="Times New Roman" w:hAnsi="Times New Roman" w:cs="Times New Roman"/>
                <w:b/>
                <w:bCs/>
                <w:color w:val="000000"/>
                <w:sz w:val="24"/>
                <w:szCs w:val="24"/>
              </w:rPr>
              <w:t>Uniprot ID</w:t>
            </w: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cs="Times New Roman"/>
                <w:b/>
                <w:bCs/>
                <w:kern w:val="44"/>
                <w:sz w:val="24"/>
                <w:szCs w:val="24"/>
              </w:rPr>
            </w:pPr>
            <w:r>
              <w:rPr>
                <w:rFonts w:ascii="Times New Roman" w:hAnsi="Times New Roman" w:cs="Times New Roman"/>
                <w:b/>
                <w:sz w:val="24"/>
                <w:szCs w:val="24"/>
              </w:rPr>
              <w:t>G</w:t>
            </w:r>
            <w:r>
              <w:rPr>
                <w:rFonts w:hint="eastAsia" w:ascii="Times New Roman" w:hAnsi="Times New Roman" w:cs="Times New Roman"/>
                <w:b/>
                <w:sz w:val="24"/>
                <w:szCs w:val="24"/>
              </w:rPr>
              <w:t>ene</w:t>
            </w:r>
            <w:r>
              <w:rPr>
                <w:rFonts w:ascii="Times New Roman" w:hAnsi="Times New Roman" w:cs="Times New Roman"/>
                <w:b/>
                <w:sz w:val="24"/>
                <w:szCs w:val="24"/>
              </w:rPr>
              <w:t xml:space="preserve"> name</w:t>
            </w: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sz w:val="22"/>
              </w:rPr>
            </w:pPr>
            <w:r>
              <w:rPr>
                <w:rFonts w:ascii="Times New Roman" w:hAnsi="Times New Roman" w:eastAsia="等线" w:cs="Times New Roman"/>
                <w:b/>
                <w:sz w:val="22"/>
              </w:rPr>
              <w:t>P</w:t>
            </w:r>
            <w:r>
              <w:rPr>
                <w:rFonts w:hint="eastAsia" w:ascii="Times New Roman" w:hAnsi="Times New Roman" w:eastAsia="等线" w:cs="Times New Roman"/>
                <w:b/>
                <w:sz w:val="22"/>
              </w:rPr>
              <w:t>rotein</w:t>
            </w:r>
            <w:r>
              <w:rPr>
                <w:rFonts w:ascii="Times New Roman" w:hAnsi="Times New Roman" w:eastAsia="等线" w:cs="Times New Roman"/>
                <w:b/>
                <w:sz w:val="22"/>
              </w:rPr>
              <w:t xml:space="preserve"> f</w:t>
            </w:r>
            <w:r>
              <w:rPr>
                <w:rFonts w:hint="eastAsia" w:ascii="Times New Roman" w:hAnsi="Times New Roman" w:eastAsia="等线" w:cs="Times New Roman"/>
                <w:b/>
                <w:sz w:val="22"/>
              </w:rPr>
              <w:t>unction</w:t>
            </w:r>
          </w:p>
        </w:tc>
        <w:tc>
          <w:tcPr>
            <w:tcW w:w="1842" w:type="dxa"/>
            <w:tcBorders>
              <w:top w:val="single" w:color="7E7E7E" w:themeColor="text1" w:themeTint="80" w:sz="4" w:space="0"/>
              <w:bottom w:val="single" w:color="7E7E7E" w:themeColor="text1" w:themeTint="80" w:sz="4" w:space="0"/>
              <w:insideH w:val="single" w:sz="4" w:space="0"/>
            </w:tcBorders>
          </w:tcPr>
          <w:p>
            <w:pPr>
              <w:widowControl/>
              <w:jc w:val="center"/>
              <w:rPr>
                <w:rFonts w:ascii="Times New Roman" w:hAnsi="Times New Roman" w:eastAsia="等线" w:cs="Times New Roman"/>
                <w:b/>
                <w:bCs/>
                <w:color w:val="000000"/>
                <w:sz w:val="22"/>
              </w:rPr>
            </w:pPr>
            <w:r>
              <w:rPr>
                <w:rFonts w:ascii="Times New Roman" w:hAnsi="Times New Roman" w:eastAsia="等线" w:cs="Times New Roman"/>
                <w:b/>
                <w:bCs/>
                <w:color w:val="000000"/>
                <w:sz w:val="22"/>
              </w:rPr>
              <w:t>Mol. weight [kDa]</w:t>
            </w:r>
          </w:p>
          <w:p>
            <w:pPr>
              <w:widowControl/>
              <w:jc w:val="center"/>
              <w:rPr>
                <w:rFonts w:ascii="Times New Roman" w:hAnsi="Times New Roman" w:eastAsia="等线" w:cs="Times New Roman"/>
                <w:b/>
                <w:bCs/>
                <w:color w:val="000000"/>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Q96JH7</w:t>
            </w:r>
          </w:p>
          <w:p>
            <w:pPr>
              <w:widowControl/>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VCP</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 xml:space="preserve">Deubiquitinating protein VCPIP1                  </w:t>
            </w:r>
          </w:p>
          <w:p>
            <w:pPr>
              <w:jc w:val="center"/>
              <w:rPr>
                <w:rFonts w:ascii="Times New Roman" w:hAnsi="Times New Roman" w:eastAsia="等线" w:cs="Times New Roman"/>
                <w:sz w:val="22"/>
              </w:rPr>
            </w:pPr>
          </w:p>
        </w:tc>
        <w:tc>
          <w:tcPr>
            <w:tcW w:w="1842" w:type="dxa"/>
            <w:vAlign w:val="bottom"/>
          </w:tcPr>
          <w:p>
            <w:pPr>
              <w:jc w:val="center"/>
              <w:rPr>
                <w:rFonts w:ascii="Times New Roman" w:hAnsi="Times New Roman" w:eastAsia="等线" w:cs="Times New Roman"/>
                <w:sz w:val="22"/>
              </w:rPr>
            </w:pPr>
            <w:r>
              <w:rPr>
                <w:rFonts w:ascii="Times New Roman" w:hAnsi="Times New Roman" w:eastAsia="等线" w:cs="Times New Roman"/>
                <w:sz w:val="22"/>
              </w:rPr>
              <w:t>134.2</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A0A1L1UHR1</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VDAC1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Voltage-dependent anion-selective channel protein 1</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30.8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A0A024R5Z8</w:t>
            </w:r>
          </w:p>
          <w:p>
            <w:pPr>
              <w:widowControl/>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RAB11A</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member RAS oncogene family, isoform CRA_a</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hint="eastAsia" w:ascii="Times New Roman" w:hAnsi="Times New Roman" w:eastAsia="等线" w:cs="Times New Roman"/>
                <w:sz w:val="22"/>
              </w:rPr>
              <w:t>24.4</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Q6IBR8</w:t>
            </w:r>
          </w:p>
          <w:p>
            <w:pPr>
              <w:widowControl/>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EIF2S2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Eukaryotic translation initiation factor 2, subunit 2 beta</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38.4</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B5M450</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SLC4A7</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 xml:space="preserve">Anion exchange protein </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135.2</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A0A024R883</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ATP6V1G1</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 xml:space="preserve">V-type proton ATPase subunit G </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13.7</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O75477</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ERLIN1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Erlin-1</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39.1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Q9Y4W6</w:t>
            </w:r>
          </w:p>
          <w:p>
            <w:pPr>
              <w:widowControl/>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AFG3L2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AFG3-like protein 2</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88.5</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Q6P1M0</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SLC27A4</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Long-chain fatty acid transport protein 4</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72</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O94905</w:t>
            </w:r>
          </w:p>
          <w:p>
            <w:pPr>
              <w:widowControl/>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ERLIN2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Erlin-2</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37.8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Q10713</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PMPCA</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Mitochondrial-processing peptidase subunit alpha</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58.2</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Q9UJZ1</w:t>
            </w:r>
          </w:p>
          <w:p>
            <w:pPr>
              <w:widowControl/>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STOML2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Stomatin-like protein 2, mitochondrial</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38.5</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9" w:hRule="exact"/>
        </w:trPr>
        <w:tc>
          <w:tcPr>
            <w:tcW w:w="1696" w:type="dxa"/>
          </w:tcPr>
          <w:p>
            <w:pPr>
              <w:jc w:val="center"/>
              <w:rPr>
                <w:rFonts w:ascii="Times New Roman" w:hAnsi="Times New Roman" w:cs="Times New Roman"/>
                <w:b w:val="0"/>
                <w:bCs w:val="0"/>
                <w:kern w:val="44"/>
                <w:sz w:val="24"/>
                <w:szCs w:val="24"/>
              </w:rPr>
            </w:pPr>
            <w:r>
              <w:rPr>
                <w:rFonts w:ascii="Times New Roman" w:hAnsi="Times New Roman" w:cs="Times New Roman"/>
                <w:b/>
                <w:bCs/>
                <w:color w:val="000000"/>
                <w:sz w:val="24"/>
                <w:szCs w:val="24"/>
              </w:rPr>
              <w:t>Uniprot ID</w:t>
            </w:r>
          </w:p>
        </w:tc>
        <w:tc>
          <w:tcPr>
            <w:tcW w:w="1560" w:type="dxa"/>
          </w:tcPr>
          <w:p>
            <w:pPr>
              <w:jc w:val="center"/>
              <w:rPr>
                <w:rFonts w:ascii="Times New Roman" w:hAnsi="Times New Roman" w:cs="Times New Roman"/>
                <w:b/>
                <w:bCs/>
                <w:kern w:val="44"/>
                <w:sz w:val="24"/>
                <w:szCs w:val="24"/>
              </w:rPr>
            </w:pPr>
            <w:r>
              <w:rPr>
                <w:rFonts w:ascii="Times New Roman" w:hAnsi="Times New Roman" w:cs="Times New Roman"/>
                <w:b/>
                <w:sz w:val="24"/>
                <w:szCs w:val="24"/>
              </w:rPr>
              <w:t>G</w:t>
            </w:r>
            <w:r>
              <w:rPr>
                <w:rFonts w:hint="eastAsia" w:ascii="Times New Roman" w:hAnsi="Times New Roman" w:cs="Times New Roman"/>
                <w:b/>
                <w:sz w:val="24"/>
                <w:szCs w:val="24"/>
              </w:rPr>
              <w:t>ene</w:t>
            </w:r>
            <w:r>
              <w:rPr>
                <w:rFonts w:ascii="Times New Roman" w:hAnsi="Times New Roman" w:cs="Times New Roman"/>
                <w:b/>
                <w:sz w:val="24"/>
                <w:szCs w:val="24"/>
              </w:rPr>
              <w:t xml:space="preserve"> name</w:t>
            </w:r>
          </w:p>
        </w:tc>
        <w:tc>
          <w:tcPr>
            <w:tcW w:w="6095" w:type="dxa"/>
          </w:tcPr>
          <w:p>
            <w:pPr>
              <w:jc w:val="center"/>
              <w:rPr>
                <w:rFonts w:ascii="Times New Roman" w:hAnsi="Times New Roman" w:cs="Times New Roman"/>
                <w:b/>
                <w:bCs/>
                <w:kern w:val="44"/>
                <w:sz w:val="24"/>
                <w:szCs w:val="24"/>
              </w:rPr>
            </w:pPr>
            <w:r>
              <w:rPr>
                <w:rFonts w:ascii="Times New Roman" w:hAnsi="Times New Roman" w:cs="Times New Roman"/>
                <w:b/>
                <w:sz w:val="24"/>
                <w:szCs w:val="24"/>
              </w:rPr>
              <w:t>P</w:t>
            </w:r>
            <w:r>
              <w:rPr>
                <w:rFonts w:hint="eastAsia" w:ascii="Times New Roman" w:hAnsi="Times New Roman" w:cs="Times New Roman"/>
                <w:b/>
                <w:sz w:val="24"/>
                <w:szCs w:val="24"/>
              </w:rPr>
              <w:t>rotein</w:t>
            </w:r>
            <w:r>
              <w:rPr>
                <w:rFonts w:ascii="Times New Roman" w:hAnsi="Times New Roman" w:cs="Times New Roman"/>
                <w:b/>
                <w:sz w:val="24"/>
                <w:szCs w:val="24"/>
              </w:rPr>
              <w:t xml:space="preserve"> f</w:t>
            </w:r>
            <w:r>
              <w:rPr>
                <w:rFonts w:hint="eastAsia" w:ascii="Times New Roman" w:hAnsi="Times New Roman" w:cs="Times New Roman"/>
                <w:b/>
                <w:sz w:val="24"/>
                <w:szCs w:val="24"/>
              </w:rPr>
              <w:t>unction</w:t>
            </w:r>
          </w:p>
        </w:tc>
        <w:tc>
          <w:tcPr>
            <w:tcW w:w="1842" w:type="dxa"/>
          </w:tcPr>
          <w:p>
            <w:pPr>
              <w:widowControl/>
              <w:jc w:val="center"/>
              <w:rPr>
                <w:rFonts w:ascii="Times New Roman" w:hAnsi="Times New Roman" w:eastAsia="等线" w:cs="Times New Roman"/>
                <w:b/>
                <w:bCs/>
                <w:color w:val="000000"/>
                <w:sz w:val="22"/>
              </w:rPr>
            </w:pPr>
            <w:r>
              <w:rPr>
                <w:rFonts w:ascii="Times New Roman" w:hAnsi="Times New Roman" w:eastAsia="等线" w:cs="Times New Roman"/>
                <w:b/>
                <w:bCs/>
                <w:color w:val="000000"/>
                <w:sz w:val="22"/>
              </w:rPr>
              <w:t>Mol. weight [kDa]</w:t>
            </w:r>
          </w:p>
          <w:p>
            <w:pPr>
              <w:widowControl/>
              <w:jc w:val="center"/>
              <w:rPr>
                <w:rFonts w:ascii="Times New Roman" w:hAnsi="Times New Roman" w:eastAsia="等线" w:cs="Times New Roman"/>
                <w:b/>
                <w:bCs/>
                <w:color w:val="000000"/>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A0A024R7U9</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ATP6V1H</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V-type proton ATPase subunit H</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55.8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Q9UHQ9</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CYB5R1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NADH-cytochrome b5 reductase 1</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34.1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Q8TD43</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TRPM4</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Transient receptor potential cation channel subfamily M member 4</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134.2</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Q9UBI6</w:t>
            </w:r>
          </w:p>
          <w:p>
            <w:pPr>
              <w:widowControl/>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GNG12</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Guanine nucleotide-binding protein G(I)/G(S)/G(O) subunit gamma-12</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A0A024R892</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LRRC8A</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Leucine rich repeat containing 8 family, member A, isoform CRA_a</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94.1</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Q9H0U3</w:t>
            </w:r>
          </w:p>
          <w:p>
            <w:pPr>
              <w:jc w:val="center"/>
              <w:rPr>
                <w:rFonts w:ascii="Times New Roman" w:hAnsi="Times New Roman" w:eastAsia="等线" w:cs="Times New Roman"/>
                <w:b w:val="0"/>
                <w:bCs/>
                <w:sz w:val="22"/>
              </w:rPr>
            </w:pPr>
          </w:p>
        </w:tc>
        <w:tc>
          <w:tcPr>
            <w:tcW w:w="1560" w:type="dxa"/>
          </w:tcPr>
          <w:p>
            <w:pPr>
              <w:jc w:val="center"/>
              <w:rPr>
                <w:rFonts w:ascii="Times New Roman" w:hAnsi="Times New Roman" w:eastAsia="等线" w:cs="Times New Roman"/>
                <w:i/>
                <w:sz w:val="22"/>
              </w:rPr>
            </w:pPr>
            <w:r>
              <w:rPr>
                <w:rFonts w:ascii="Times New Roman" w:hAnsi="Times New Roman" w:eastAsia="等线" w:cs="Times New Roman"/>
                <w:i/>
                <w:sz w:val="22"/>
              </w:rPr>
              <w:t>MAGT1</w:t>
            </w:r>
          </w:p>
          <w:p>
            <w:pPr>
              <w:jc w:val="center"/>
              <w:rPr>
                <w:rFonts w:ascii="Times New Roman" w:hAnsi="Times New Roman" w:eastAsia="等线" w:cs="Times New Roman"/>
                <w:i/>
                <w:sz w:val="22"/>
              </w:rPr>
            </w:pPr>
          </w:p>
        </w:tc>
        <w:tc>
          <w:tcPr>
            <w:tcW w:w="6095" w:type="dxa"/>
          </w:tcPr>
          <w:p>
            <w:pPr>
              <w:jc w:val="center"/>
              <w:rPr>
                <w:rFonts w:ascii="Times New Roman" w:hAnsi="Times New Roman" w:eastAsia="等线" w:cs="Times New Roman"/>
                <w:sz w:val="22"/>
              </w:rPr>
            </w:pPr>
            <w:r>
              <w:rPr>
                <w:rFonts w:hint="eastAsia" w:ascii="Times New Roman" w:hAnsi="Times New Roman" w:eastAsia="等线" w:cs="Times New Roman"/>
                <w:sz w:val="22"/>
              </w:rPr>
              <w:t>Magnesium transporter protein 1</w:t>
            </w:r>
          </w:p>
          <w:p>
            <w:pPr>
              <w:jc w:val="center"/>
              <w:rPr>
                <w:rFonts w:ascii="Times New Roman" w:hAnsi="Times New Roman" w:eastAsia="等线" w:cs="Times New Roman"/>
                <w:sz w:val="22"/>
              </w:rPr>
            </w:pPr>
          </w:p>
        </w:tc>
        <w:tc>
          <w:tcPr>
            <w:tcW w:w="1842" w:type="dxa"/>
          </w:tcPr>
          <w:p>
            <w:pPr>
              <w:jc w:val="center"/>
              <w:rPr>
                <w:rFonts w:ascii="Times New Roman" w:hAnsi="Times New Roman" w:eastAsia="等线" w:cs="Times New Roman"/>
                <w:sz w:val="22"/>
              </w:rPr>
            </w:pPr>
            <w:r>
              <w:rPr>
                <w:rFonts w:ascii="Times New Roman" w:hAnsi="Times New Roman" w:eastAsia="等线" w:cs="Times New Roman"/>
                <w:sz w:val="22"/>
              </w:rPr>
              <w:t>38</w:t>
            </w:r>
          </w:p>
          <w:p>
            <w:pPr>
              <w:jc w:val="center"/>
              <w:rPr>
                <w:rFonts w:ascii="Times New Roman" w:hAnsi="Times New Roman" w:eastAsia="等线" w:cs="Times New Roman"/>
                <w:sz w:val="22"/>
              </w:rPr>
            </w:pP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96"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b w:val="0"/>
                <w:bCs/>
                <w:sz w:val="22"/>
              </w:rPr>
            </w:pPr>
            <w:r>
              <w:rPr>
                <w:rFonts w:ascii="Times New Roman" w:hAnsi="Times New Roman" w:eastAsia="等线" w:cs="Times New Roman"/>
                <w:b w:val="0"/>
                <w:bCs/>
                <w:sz w:val="22"/>
              </w:rPr>
              <w:t>Q8IYU8</w:t>
            </w:r>
          </w:p>
          <w:p>
            <w:pPr>
              <w:jc w:val="center"/>
              <w:rPr>
                <w:rFonts w:ascii="Times New Roman" w:hAnsi="Times New Roman" w:eastAsia="等线" w:cs="Times New Roman"/>
                <w:b w:val="0"/>
                <w:bCs/>
                <w:sz w:val="22"/>
              </w:rPr>
            </w:pPr>
          </w:p>
        </w:tc>
        <w:tc>
          <w:tcPr>
            <w:tcW w:w="1560"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i/>
                <w:sz w:val="22"/>
              </w:rPr>
            </w:pPr>
            <w:r>
              <w:rPr>
                <w:rFonts w:ascii="Times New Roman" w:hAnsi="Times New Roman" w:eastAsia="等线" w:cs="Times New Roman"/>
                <w:i/>
                <w:sz w:val="22"/>
              </w:rPr>
              <w:t>MICU2</w:t>
            </w:r>
          </w:p>
          <w:p>
            <w:pPr>
              <w:jc w:val="center"/>
              <w:rPr>
                <w:rFonts w:ascii="Times New Roman" w:hAnsi="Times New Roman" w:eastAsia="等线" w:cs="Times New Roman"/>
                <w:i/>
                <w:sz w:val="22"/>
              </w:rPr>
            </w:pPr>
          </w:p>
        </w:tc>
        <w:tc>
          <w:tcPr>
            <w:tcW w:w="6095"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hint="eastAsia" w:ascii="Times New Roman" w:hAnsi="Times New Roman" w:eastAsia="等线" w:cs="Times New Roman"/>
                <w:sz w:val="22"/>
              </w:rPr>
              <w:t>Calcium uptake protein 2, mitochondrial</w:t>
            </w:r>
          </w:p>
          <w:p>
            <w:pPr>
              <w:jc w:val="center"/>
              <w:rPr>
                <w:rFonts w:ascii="Times New Roman" w:hAnsi="Times New Roman" w:eastAsia="等线" w:cs="Times New Roman"/>
                <w:sz w:val="22"/>
              </w:rPr>
            </w:pPr>
          </w:p>
        </w:tc>
        <w:tc>
          <w:tcPr>
            <w:tcW w:w="1842" w:type="dxa"/>
            <w:tcBorders>
              <w:top w:val="single" w:color="7E7E7E" w:themeColor="text1" w:themeTint="80" w:sz="4" w:space="0"/>
              <w:bottom w:val="single" w:color="7E7E7E" w:themeColor="text1" w:themeTint="80" w:sz="4" w:space="0"/>
              <w:insideH w:val="single" w:sz="4" w:space="0"/>
            </w:tcBorders>
          </w:tcPr>
          <w:p>
            <w:pPr>
              <w:jc w:val="center"/>
              <w:rPr>
                <w:rFonts w:ascii="Times New Roman" w:hAnsi="Times New Roman" w:eastAsia="等线" w:cs="Times New Roman"/>
                <w:sz w:val="22"/>
              </w:rPr>
            </w:pPr>
            <w:r>
              <w:rPr>
                <w:rFonts w:ascii="Times New Roman" w:hAnsi="Times New Roman" w:eastAsia="等线" w:cs="Times New Roman"/>
                <w:sz w:val="22"/>
              </w:rPr>
              <w:t>49.6</w:t>
            </w:r>
          </w:p>
          <w:p>
            <w:pPr>
              <w:jc w:val="center"/>
              <w:rPr>
                <w:rFonts w:ascii="Times New Roman" w:hAnsi="Times New Roman" w:eastAsia="等线" w:cs="Times New Roman"/>
                <w:sz w:val="22"/>
              </w:rPr>
            </w:pPr>
          </w:p>
        </w:tc>
      </w:tr>
    </w:tbl>
    <w:p>
      <w:r>
        <w:br w:type="page"/>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5463B"/>
    <w:rsid w:val="00031956"/>
    <w:rsid w:val="00042D1C"/>
    <w:rsid w:val="00051D61"/>
    <w:rsid w:val="0005463B"/>
    <w:rsid w:val="000F3429"/>
    <w:rsid w:val="000F5C10"/>
    <w:rsid w:val="001135A4"/>
    <w:rsid w:val="0013065D"/>
    <w:rsid w:val="001B691B"/>
    <w:rsid w:val="001F722F"/>
    <w:rsid w:val="002107F8"/>
    <w:rsid w:val="00220973"/>
    <w:rsid w:val="00221DDB"/>
    <w:rsid w:val="00234553"/>
    <w:rsid w:val="002701AC"/>
    <w:rsid w:val="00274EB0"/>
    <w:rsid w:val="002D14FD"/>
    <w:rsid w:val="002E1AC1"/>
    <w:rsid w:val="0032736F"/>
    <w:rsid w:val="00341BE6"/>
    <w:rsid w:val="00374829"/>
    <w:rsid w:val="00383D19"/>
    <w:rsid w:val="00424E3B"/>
    <w:rsid w:val="00440386"/>
    <w:rsid w:val="00447744"/>
    <w:rsid w:val="00455B33"/>
    <w:rsid w:val="0049088C"/>
    <w:rsid w:val="00512BF9"/>
    <w:rsid w:val="00521310"/>
    <w:rsid w:val="00550A47"/>
    <w:rsid w:val="00553322"/>
    <w:rsid w:val="0055672C"/>
    <w:rsid w:val="005803F2"/>
    <w:rsid w:val="00590430"/>
    <w:rsid w:val="005C7C6C"/>
    <w:rsid w:val="005D4289"/>
    <w:rsid w:val="005F1B43"/>
    <w:rsid w:val="005F3D2F"/>
    <w:rsid w:val="0061065C"/>
    <w:rsid w:val="00610B21"/>
    <w:rsid w:val="006730B8"/>
    <w:rsid w:val="00691C1F"/>
    <w:rsid w:val="00692F2E"/>
    <w:rsid w:val="00693939"/>
    <w:rsid w:val="006A4A81"/>
    <w:rsid w:val="006C0D81"/>
    <w:rsid w:val="00714E80"/>
    <w:rsid w:val="007B240E"/>
    <w:rsid w:val="007B7EE9"/>
    <w:rsid w:val="007C32B4"/>
    <w:rsid w:val="007E26E9"/>
    <w:rsid w:val="008239B4"/>
    <w:rsid w:val="00826F45"/>
    <w:rsid w:val="0084218A"/>
    <w:rsid w:val="0088014A"/>
    <w:rsid w:val="008B776D"/>
    <w:rsid w:val="008D46E2"/>
    <w:rsid w:val="008E341B"/>
    <w:rsid w:val="008E4D2B"/>
    <w:rsid w:val="009338A5"/>
    <w:rsid w:val="00990E18"/>
    <w:rsid w:val="0099263B"/>
    <w:rsid w:val="00993769"/>
    <w:rsid w:val="009A0D16"/>
    <w:rsid w:val="009A2592"/>
    <w:rsid w:val="009A458C"/>
    <w:rsid w:val="009C5447"/>
    <w:rsid w:val="00A0342C"/>
    <w:rsid w:val="00A565F4"/>
    <w:rsid w:val="00AA3A0D"/>
    <w:rsid w:val="00AD029B"/>
    <w:rsid w:val="00AD615E"/>
    <w:rsid w:val="00B74755"/>
    <w:rsid w:val="00B8187C"/>
    <w:rsid w:val="00BC29A0"/>
    <w:rsid w:val="00C07263"/>
    <w:rsid w:val="00C231DC"/>
    <w:rsid w:val="00C42255"/>
    <w:rsid w:val="00C62504"/>
    <w:rsid w:val="00C80ABA"/>
    <w:rsid w:val="00C97B3A"/>
    <w:rsid w:val="00CB733E"/>
    <w:rsid w:val="00CE60E1"/>
    <w:rsid w:val="00D1105D"/>
    <w:rsid w:val="00D2603E"/>
    <w:rsid w:val="00D613DF"/>
    <w:rsid w:val="00D61A52"/>
    <w:rsid w:val="00DB4BB6"/>
    <w:rsid w:val="00DB7DED"/>
    <w:rsid w:val="00DC4E8D"/>
    <w:rsid w:val="00DE21CD"/>
    <w:rsid w:val="00DE36BC"/>
    <w:rsid w:val="00DF2E32"/>
    <w:rsid w:val="00E5487E"/>
    <w:rsid w:val="00E72F8F"/>
    <w:rsid w:val="00E86514"/>
    <w:rsid w:val="00EC1203"/>
    <w:rsid w:val="00EF77D9"/>
    <w:rsid w:val="00F00588"/>
    <w:rsid w:val="00F57F98"/>
    <w:rsid w:val="00FB32D3"/>
    <w:rsid w:val="00FD74E4"/>
    <w:rsid w:val="00FE7A4E"/>
    <w:rsid w:val="1A236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table" w:customStyle="1" w:styleId="8">
    <w:name w:val="网格型浅色1"/>
    <w:basedOn w:val="4"/>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9">
    <w:name w:val="无格式表格 21"/>
    <w:basedOn w:val="4"/>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A988F8-5D7F-4F24-A8DC-A180913F5ECB}">
  <ds:schemaRefs/>
</ds:datastoreItem>
</file>

<file path=docProps/app.xml><?xml version="1.0" encoding="utf-8"?>
<Properties xmlns="http://schemas.openxmlformats.org/officeDocument/2006/extended-properties" xmlns:vt="http://schemas.openxmlformats.org/officeDocument/2006/docPropsVTypes">
  <Template>Normal</Template>
  <Pages>6</Pages>
  <Words>467</Words>
  <Characters>2884</Characters>
  <Lines>25</Lines>
  <Paragraphs>7</Paragraphs>
  <TotalTime>266</TotalTime>
  <ScaleCrop>false</ScaleCrop>
  <LinksUpToDate>false</LinksUpToDate>
  <CharactersWithSpaces>3148</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2018-10-11T00:32:00Z</dcterms:created>
  <dc:creator>李文卿</dc:creator>
  <cp:lastModifiedBy>李文卿</cp:lastModifiedBy>
  <cp:lastPrinted>2019-08-27T08:41:00Z</cp:lastPrinted>
  <dcterms:modified xsi:type="dcterms:W3CDTF">2021-11-30T03:38:28Z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958AB219789344C2A5041FC8FDD94316</vt:lpwstr>
  </property>
</Properties>
</file>