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5"/>
        <w:tblpPr w:leftFromText="180" w:rightFromText="180" w:vertAnchor="text" w:horzAnchor="page" w:tblpX="1107" w:tblpY="1306"/>
        <w:tblOverlap w:val="never"/>
        <w:tblW w:w="104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6"/>
        <w:gridCol w:w="1007"/>
        <w:gridCol w:w="2801"/>
        <w:gridCol w:w="2598"/>
        <w:gridCol w:w="985"/>
      </w:tblGrid>
      <w:tr>
        <w:trPr>
          <w:trHeight w:val="622" w:hRule="atLeast"/>
        </w:trPr>
        <w:tc>
          <w:tcPr>
            <w:tcW w:w="10447" w:type="dxa"/>
            <w:gridSpan w:val="5"/>
            <w:tcBorders>
              <w:top w:val="nil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 xml:space="preserve">Appendix Table 1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Baseline demographic and clinical characteristics in high and low SMI group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305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variable</w:t>
            </w:r>
          </w:p>
        </w:tc>
        <w:tc>
          <w:tcPr>
            <w:tcW w:w="100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Low SMI   (n=23)</w:t>
            </w:r>
          </w:p>
        </w:tc>
        <w:tc>
          <w:tcPr>
            <w:tcW w:w="259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high SMI  (n=39)</w:t>
            </w:r>
          </w:p>
        </w:tc>
        <w:tc>
          <w:tcPr>
            <w:tcW w:w="985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P 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2" w:hRule="atLeast"/>
        </w:trPr>
        <w:tc>
          <w:tcPr>
            <w:tcW w:w="3056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Sex (male)</w:t>
            </w:r>
          </w:p>
        </w:tc>
        <w:tc>
          <w:tcPr>
            <w:tcW w:w="1007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18(78.3)</w:t>
            </w:r>
          </w:p>
        </w:tc>
        <w:tc>
          <w:tcPr>
            <w:tcW w:w="2598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31 (79.5)</w:t>
            </w:r>
          </w:p>
        </w:tc>
        <w:tc>
          <w:tcPr>
            <w:tcW w:w="985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2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Age (year)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61.0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±11.6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57.9±9.8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33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BMI (kg/m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male</w:t>
            </w: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21.7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±2.2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25.5±3.2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8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female</w:t>
            </w: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23.0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±3.2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22.2±3.3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7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SMI (kg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/m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male</w:t>
            </w: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38.2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±3.3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48.8±5.2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6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female</w:t>
            </w: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33.9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±2.7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42.1±4.2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31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SML (%)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male</w:t>
            </w: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-0.4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±3.0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-2.1±3.1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1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female</w:t>
            </w: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-2.3</w:t>
            </w: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±2.9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-1.0±3.4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7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Aetiology (HBV/HCV/others)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13 (56.5)/3 (13.0)/7 (30.4)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36 (92.3)/0/3 (7.7)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5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BCLC (0/A/B)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 (4.3)/20 (87.0)/2 (8.7)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5 (12.8)/33 (84.6)/1（2.6）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28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Tumor number (solitary/multiple)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19 (82.6)/4 (17.4)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35 (89.7)/4(10.3)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64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Maximum tumor diameter (cm)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4.8±2.5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4.0±1.8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64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Differentiation(well or moderate/poor)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21 (91.3)/2 (8.7)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33 (84.6)/6 (15.4)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Hepatectomy (major/minor)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20 (87.0)/3 (13.0)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29 (74.4)/10 (25.6)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MVI (presence/absence)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5 (21.7)/18 (78.3)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8 (20.5)/31 (79.5)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Cirrhosis (presence/absence)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8 (34.8)/15 (65.2)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28 (71.8)/11 (28.2)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0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TACE sessions (1/2/3)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 (13.0)/4 (17.4)/16 (69.6)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 (5.1)/8 (20.5)/29 (74.4)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Child-Pugh class (A/B)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23 (100.0)/0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39 (100.0)/0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MELD-Na score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7.0 (6.0~9.0)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7.0 (6.0~9.0)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ALB (g/L)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38.8±3.3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40.2±4.0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4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TBIL (umol/L)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14.4 (11.7~18.5)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15.9 (11.9~22.6)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4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ALT (U/L)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21.0 (16.0~31.0)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25.0 (18.0~37.0)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4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AST (U/L)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27.2 (20.2~36.1)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30.2 (23.2~37.0)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4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PLT (10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  <w:vertAlign w:val="superscript"/>
              </w:rPr>
              <w:t>9</w:t>
            </w: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/L)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170.2±66.7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153.1±54.6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4" w:hRule="atLeast"/>
        </w:trPr>
        <w:tc>
          <w:tcPr>
            <w:tcW w:w="305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AFP (ng/ml)</w:t>
            </w:r>
          </w:p>
        </w:tc>
        <w:tc>
          <w:tcPr>
            <w:tcW w:w="100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20.2 (2.9~414.9)</w:t>
            </w:r>
          </w:p>
        </w:tc>
        <w:tc>
          <w:tcPr>
            <w:tcW w:w="25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21.3 (2.6~152.3)</w:t>
            </w:r>
          </w:p>
        </w:tc>
        <w:tc>
          <w:tcPr>
            <w:tcW w:w="9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3" w:hRule="atLeast"/>
        </w:trPr>
        <w:tc>
          <w:tcPr>
            <w:tcW w:w="3056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NLR</w:t>
            </w:r>
          </w:p>
        </w:tc>
        <w:tc>
          <w:tcPr>
            <w:tcW w:w="1007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</w:p>
        </w:tc>
        <w:tc>
          <w:tcPr>
            <w:tcW w:w="2801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1.9±0.9</w:t>
            </w:r>
          </w:p>
        </w:tc>
        <w:tc>
          <w:tcPr>
            <w:tcW w:w="2598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0"/>
                <w:sz w:val="24"/>
                <w:szCs w:val="24"/>
              </w:rPr>
              <w:t>2.0±1.0</w:t>
            </w:r>
          </w:p>
        </w:tc>
        <w:tc>
          <w:tcPr>
            <w:tcW w:w="985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4"/>
                <w:szCs w:val="24"/>
              </w:rPr>
              <w:t>0.710</w:t>
            </w:r>
          </w:p>
        </w:tc>
      </w:tr>
    </w:tbl>
    <w:p/>
    <w:p/>
    <w:p/>
    <w:p/>
    <w:p/>
    <w:p/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qqjmrAdvTT86d47313+20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dvTrebu-R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dvOTb0c9bf5d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WdqlvgAdvTT8861b38f.I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dvPS44A44B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imes New Roman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DengXian Light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凌慧体-简">
    <w:panose1 w:val="03050602040302020204"/>
    <w:charset w:val="86"/>
    <w:family w:val="auto"/>
    <w:pitch w:val="default"/>
    <w:sig w:usb0="A00002FF" w:usb1="7ACF7CFB" w:usb2="0000001E" w:usb3="00000000" w:csb0="00040001" w:csb1="0000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E24F5"/>
    <w:rsid w:val="1BE5C573"/>
    <w:rsid w:val="35BD91C5"/>
    <w:rsid w:val="36B552C1"/>
    <w:rsid w:val="5CFB046C"/>
    <w:rsid w:val="5FFE24F5"/>
    <w:rsid w:val="75CFDEE4"/>
    <w:rsid w:val="75EF3F24"/>
    <w:rsid w:val="7F1C24E5"/>
    <w:rsid w:val="A7DD268B"/>
    <w:rsid w:val="D74E347C"/>
    <w:rsid w:val="EBBADA64"/>
    <w:rsid w:val="EFF76652"/>
    <w:rsid w:val="F3ED35B0"/>
    <w:rsid w:val="F7FE8577"/>
    <w:rsid w:val="FFBFA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GB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DejaVu Sans" w:hAnsi="DejaVu Sans" w:eastAsia="方正黑体_GBK"/>
      <w:sz w:val="20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  <w:kern w:val="0"/>
      <w:sz w:val="20"/>
      <w:szCs w:val="20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2021-11-06T02:07:00Z</dcterms:created>
  <dc:creator>yangxiaowei</dc:creator>
  <cp:lastModifiedBy>yangxiaowei</cp:lastModifiedBy>
  <dcterms:modified xsi:type="dcterms:W3CDTF">2022-01-12T17:03:49Z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