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  <w:r>
        <w:rPr>
          <w:rFonts w:ascii="Times New Roman" w:eastAsia="Calibri" w:hAnsi="Times New Roman" w:cs="Times New Roman"/>
          <w:b/>
          <w:noProof/>
          <w:sz w:val="18"/>
          <w:lang w:val="nl-NL" w:eastAsia="nl-N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-855609</wp:posOffset>
            </wp:positionH>
            <wp:positionV relativeFrom="paragraph">
              <wp:posOffset>208915</wp:posOffset>
            </wp:positionV>
            <wp:extent cx="7651630" cy="2994434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itional file 3 Figure S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1630" cy="2994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ascii="Times New Roman" w:eastAsia="Calibri" w:hAnsi="Times New Roman" w:cs="Times New Roman"/>
          <w:b/>
          <w:sz w:val="18"/>
        </w:rPr>
      </w:pPr>
    </w:p>
    <w:p w:rsidR="00100EEF" w:rsidRDefault="00100EEF" w:rsidP="00100EEF">
      <w:pPr>
        <w:spacing w:after="0" w:line="240" w:lineRule="auto"/>
        <w:rPr>
          <w:rFonts w:eastAsia="Calibri" w:cstheme="minorHAnsi"/>
          <w:sz w:val="18"/>
        </w:rPr>
      </w:pPr>
      <w:r w:rsidRPr="00720ACE">
        <w:rPr>
          <w:rFonts w:eastAsia="Calibri" w:cstheme="minorHAnsi"/>
          <w:b/>
          <w:sz w:val="18"/>
        </w:rPr>
        <w:t xml:space="preserve">Additional file 3: </w:t>
      </w:r>
      <w:r w:rsidR="00720ACE">
        <w:rPr>
          <w:rFonts w:eastAsia="Calibri" w:cstheme="minorHAnsi"/>
          <w:b/>
          <w:sz w:val="18"/>
        </w:rPr>
        <w:t xml:space="preserve">Supplemental </w:t>
      </w:r>
      <w:r w:rsidRPr="00720ACE">
        <w:rPr>
          <w:rFonts w:eastAsia="Calibri" w:cstheme="minorHAnsi"/>
          <w:b/>
          <w:sz w:val="18"/>
        </w:rPr>
        <w:t>Figure 1.</w:t>
      </w:r>
      <w:r w:rsidRPr="00720ACE">
        <w:rPr>
          <w:rFonts w:eastAsia="Calibri" w:cstheme="minorHAnsi"/>
          <w:sz w:val="18"/>
        </w:rPr>
        <w:t xml:space="preserve"> Overall survival for TNBC patients by </w:t>
      </w:r>
      <w:r w:rsidRPr="00720ACE">
        <w:rPr>
          <w:rFonts w:eastAsia="Calibri" w:cstheme="minorHAnsi"/>
          <w:i/>
          <w:sz w:val="18"/>
        </w:rPr>
        <w:t>BRCA1</w:t>
      </w:r>
      <w:r w:rsidRPr="00720ACE">
        <w:rPr>
          <w:rFonts w:eastAsia="Calibri" w:cstheme="minorHAnsi"/>
          <w:sz w:val="18"/>
        </w:rPr>
        <w:t>-like status and adjuvant treatment</w:t>
      </w:r>
    </w:p>
    <w:p w:rsidR="00CB3D82" w:rsidRPr="00720ACE" w:rsidRDefault="00CB3D82" w:rsidP="00100EEF">
      <w:pPr>
        <w:spacing w:after="0" w:line="240" w:lineRule="auto"/>
        <w:rPr>
          <w:rFonts w:eastAsia="Calibri" w:cstheme="minorHAnsi"/>
          <w:sz w:val="18"/>
        </w:rPr>
      </w:pPr>
    </w:p>
    <w:p w:rsidR="00100EEF" w:rsidRPr="00720ACE" w:rsidRDefault="00100EEF" w:rsidP="00100EEF">
      <w:pPr>
        <w:spacing w:after="0" w:line="240" w:lineRule="auto"/>
        <w:rPr>
          <w:rFonts w:eastAsia="Calibri" w:cstheme="minorHAnsi"/>
          <w:sz w:val="18"/>
          <w:szCs w:val="18"/>
        </w:rPr>
      </w:pPr>
      <w:r w:rsidRPr="00720ACE">
        <w:rPr>
          <w:rFonts w:eastAsia="Calibri" w:cstheme="minorHAnsi"/>
          <w:sz w:val="18"/>
          <w:szCs w:val="18"/>
        </w:rPr>
        <w:t xml:space="preserve">Kaplan-Meier curves of OS for TNBC patients with </w:t>
      </w:r>
      <w:r w:rsidRPr="00720ACE">
        <w:rPr>
          <w:rFonts w:eastAsia="Calibri" w:cstheme="minorHAnsi"/>
          <w:i/>
          <w:sz w:val="18"/>
          <w:szCs w:val="18"/>
        </w:rPr>
        <w:t>BRCA1</w:t>
      </w:r>
      <w:r w:rsidRPr="00720ACE">
        <w:rPr>
          <w:rFonts w:eastAsia="Calibri" w:cstheme="minorHAnsi"/>
          <w:sz w:val="18"/>
          <w:szCs w:val="18"/>
        </w:rPr>
        <w:t>-like (</w:t>
      </w:r>
      <w:r w:rsidRPr="00720ACE">
        <w:rPr>
          <w:rFonts w:eastAsia="Calibri" w:cstheme="minorHAnsi"/>
          <w:b/>
          <w:sz w:val="18"/>
          <w:szCs w:val="18"/>
        </w:rPr>
        <w:t>A</w:t>
      </w:r>
      <w:r w:rsidRPr="00720ACE">
        <w:rPr>
          <w:rFonts w:eastAsia="Calibri" w:cstheme="minorHAnsi"/>
          <w:sz w:val="18"/>
          <w:szCs w:val="18"/>
        </w:rPr>
        <w:t>) and non-</w:t>
      </w:r>
      <w:r w:rsidRPr="00720ACE">
        <w:rPr>
          <w:rFonts w:eastAsia="Calibri" w:cstheme="minorHAnsi"/>
          <w:i/>
          <w:sz w:val="18"/>
          <w:szCs w:val="18"/>
        </w:rPr>
        <w:t>BRCA1</w:t>
      </w:r>
      <w:r w:rsidRPr="00720ACE">
        <w:rPr>
          <w:rFonts w:eastAsia="Calibri" w:cstheme="minorHAnsi"/>
          <w:sz w:val="18"/>
          <w:szCs w:val="18"/>
        </w:rPr>
        <w:t>-like tumors (</w:t>
      </w:r>
      <w:r w:rsidRPr="00720ACE">
        <w:rPr>
          <w:rFonts w:eastAsia="Calibri" w:cstheme="minorHAnsi"/>
          <w:b/>
          <w:sz w:val="18"/>
          <w:szCs w:val="18"/>
        </w:rPr>
        <w:t>B</w:t>
      </w:r>
      <w:r w:rsidRPr="00720ACE">
        <w:rPr>
          <w:rFonts w:eastAsia="Calibri" w:cstheme="minorHAnsi"/>
          <w:sz w:val="18"/>
          <w:szCs w:val="18"/>
        </w:rPr>
        <w:t xml:space="preserve">) according to treatment. </w:t>
      </w:r>
    </w:p>
    <w:p w:rsidR="00100EEF" w:rsidRPr="00720ACE" w:rsidRDefault="00100EEF" w:rsidP="00100EEF">
      <w:pPr>
        <w:spacing w:after="0" w:line="240" w:lineRule="auto"/>
        <w:rPr>
          <w:rFonts w:eastAsia="Calibri" w:cstheme="minorHAnsi"/>
          <w:sz w:val="18"/>
          <w:szCs w:val="18"/>
        </w:rPr>
      </w:pPr>
      <w:r w:rsidRPr="00720ACE">
        <w:rPr>
          <w:rFonts w:eastAsia="Calibri" w:cstheme="minorHAnsi"/>
          <w:sz w:val="18"/>
          <w:szCs w:val="18"/>
        </w:rPr>
        <w:t xml:space="preserve">Patients </w:t>
      </w:r>
      <w:proofErr w:type="gramStart"/>
      <w:r w:rsidRPr="00720ACE">
        <w:rPr>
          <w:rFonts w:eastAsia="Calibri" w:cstheme="minorHAnsi"/>
          <w:sz w:val="18"/>
          <w:szCs w:val="18"/>
        </w:rPr>
        <w:t>had been randomly assigned</w:t>
      </w:r>
      <w:proofErr w:type="gramEnd"/>
      <w:r w:rsidRPr="00720ACE">
        <w:rPr>
          <w:rFonts w:eastAsia="Calibri" w:cstheme="minorHAnsi"/>
          <w:sz w:val="18"/>
          <w:szCs w:val="18"/>
        </w:rPr>
        <w:t xml:space="preserve"> between adjuvant TX+CEX or T+CEF. Number of events and patients at risk </w:t>
      </w:r>
      <w:proofErr w:type="gramStart"/>
      <w:r w:rsidRPr="00720ACE">
        <w:rPr>
          <w:rFonts w:eastAsia="Calibri" w:cstheme="minorHAnsi"/>
          <w:sz w:val="18"/>
          <w:szCs w:val="18"/>
        </w:rPr>
        <w:t>are reported</w:t>
      </w:r>
      <w:proofErr w:type="gramEnd"/>
      <w:r w:rsidRPr="00720ACE">
        <w:rPr>
          <w:rFonts w:eastAsia="Calibri" w:cstheme="minorHAnsi"/>
          <w:sz w:val="18"/>
          <w:szCs w:val="18"/>
        </w:rPr>
        <w:t xml:space="preserve"> below the figure. Unadjusted hazard ratios </w:t>
      </w:r>
      <w:proofErr w:type="gramStart"/>
      <w:r w:rsidRPr="00720ACE">
        <w:rPr>
          <w:rFonts w:eastAsia="Calibri" w:cstheme="minorHAnsi"/>
          <w:sz w:val="18"/>
          <w:szCs w:val="18"/>
        </w:rPr>
        <w:t>are derived</w:t>
      </w:r>
      <w:proofErr w:type="gramEnd"/>
      <w:r w:rsidRPr="00720ACE">
        <w:rPr>
          <w:rFonts w:eastAsia="Calibri" w:cstheme="minorHAnsi"/>
          <w:sz w:val="18"/>
          <w:szCs w:val="18"/>
        </w:rPr>
        <w:t xml:space="preserve"> from Cox regression models.</w:t>
      </w:r>
      <w:r w:rsidRPr="00720ACE">
        <w:rPr>
          <w:rFonts w:eastAsia="Calibri" w:cstheme="minorHAnsi"/>
          <w:lang w:val="en-GB"/>
        </w:rPr>
        <w:t xml:space="preserve"> </w:t>
      </w:r>
      <w:r w:rsidRPr="00720ACE">
        <w:rPr>
          <w:rFonts w:eastAsia="Calibri" w:cstheme="minorHAnsi"/>
          <w:sz w:val="18"/>
          <w:szCs w:val="18"/>
        </w:rPr>
        <w:t xml:space="preserve">Similar results were obtained when HRs were adjusted for </w:t>
      </w:r>
      <w:proofErr w:type="spellStart"/>
      <w:r w:rsidRPr="00720ACE">
        <w:rPr>
          <w:rFonts w:eastAsia="Calibri" w:cstheme="minorHAnsi"/>
          <w:sz w:val="18"/>
          <w:szCs w:val="18"/>
        </w:rPr>
        <w:t>clinico</w:t>
      </w:r>
      <w:proofErr w:type="spellEnd"/>
      <w:r w:rsidRPr="00720ACE">
        <w:rPr>
          <w:rFonts w:eastAsia="Calibri" w:cstheme="minorHAnsi"/>
          <w:sz w:val="18"/>
          <w:szCs w:val="18"/>
        </w:rPr>
        <w:t>-pathological variables.</w:t>
      </w:r>
    </w:p>
    <w:p w:rsidR="00100EEF" w:rsidRPr="00720ACE" w:rsidRDefault="00100EEF" w:rsidP="00100EEF">
      <w:pPr>
        <w:spacing w:after="0" w:line="240" w:lineRule="auto"/>
        <w:rPr>
          <w:rFonts w:eastAsia="Calibri" w:cstheme="minorHAnsi"/>
          <w:sz w:val="18"/>
        </w:rPr>
      </w:pPr>
      <w:r w:rsidRPr="00720ACE">
        <w:rPr>
          <w:rFonts w:eastAsia="Calibri" w:cstheme="minorHAnsi"/>
          <w:sz w:val="18"/>
        </w:rPr>
        <w:t xml:space="preserve">HR: hazard ratio; CI: confidence interval; TX+CEX: 3 cycles of capecitabine plus docetaxel 3-weekly, followed by 3 cycles of cyclophosphamide, </w:t>
      </w:r>
      <w:proofErr w:type="spellStart"/>
      <w:r w:rsidRPr="00720ACE">
        <w:rPr>
          <w:rFonts w:eastAsia="Calibri" w:cstheme="minorHAnsi"/>
          <w:sz w:val="18"/>
        </w:rPr>
        <w:t>epirubicin</w:t>
      </w:r>
      <w:proofErr w:type="spellEnd"/>
      <w:r w:rsidRPr="00720ACE">
        <w:rPr>
          <w:rFonts w:eastAsia="Calibri" w:cstheme="minorHAnsi"/>
          <w:sz w:val="18"/>
        </w:rPr>
        <w:t xml:space="preserve"> and capecitabine, 3-weekly; T+CEF: 3 cycles of docetaxel 3-weekly, followed by 3 cycles of cyclophosphamide, </w:t>
      </w:r>
      <w:proofErr w:type="spellStart"/>
      <w:r w:rsidRPr="00720ACE">
        <w:rPr>
          <w:rFonts w:eastAsia="Calibri" w:cstheme="minorHAnsi"/>
          <w:sz w:val="18"/>
        </w:rPr>
        <w:t>epirubicin</w:t>
      </w:r>
      <w:proofErr w:type="spellEnd"/>
      <w:r w:rsidRPr="00720ACE">
        <w:rPr>
          <w:rFonts w:eastAsia="Calibri" w:cstheme="minorHAnsi"/>
          <w:sz w:val="18"/>
        </w:rPr>
        <w:t xml:space="preserve">, and fluorouracil, 3-weekly. </w:t>
      </w:r>
    </w:p>
    <w:p w:rsidR="00107372" w:rsidRDefault="00CB3D82">
      <w:bookmarkStart w:id="0" w:name="_GoBack"/>
      <w:bookmarkEnd w:id="0"/>
    </w:p>
    <w:sectPr w:rsidR="0010737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EEF"/>
    <w:rsid w:val="00100EEF"/>
    <w:rsid w:val="00333B18"/>
    <w:rsid w:val="00540C50"/>
    <w:rsid w:val="00720ACE"/>
    <w:rsid w:val="00CB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F96F2"/>
  <w15:chartTrackingRefBased/>
  <w15:docId w15:val="{B7EAC3CB-F3E2-4C67-9608-06EB0551C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Antoni van Leeuwenhoek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Leonora de Boo</dc:creator>
  <cp:keywords/>
  <dc:description/>
  <cp:lastModifiedBy>Leonora de Boo</cp:lastModifiedBy>
  <cp:revision>3</cp:revision>
  <dcterms:created xsi:type="dcterms:W3CDTF">2020-12-02T07:51:00Z</dcterms:created>
  <dcterms:modified xsi:type="dcterms:W3CDTF">2020-12-02T08:06:00Z</dcterms:modified>
</cp:coreProperties>
</file>