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Arial" w:hAnsi="Arial" w:cs="Arial"/>
          <w:b/>
          <w:szCs w:val="21"/>
        </w:rPr>
      </w:pPr>
      <w:bookmarkStart w:id="0" w:name="_GoBack"/>
      <w:bookmarkEnd w:id="0"/>
      <w:r>
        <w:rPr>
          <w:rFonts w:hint="eastAsia" w:ascii="Arial" w:hAnsi="Arial" w:cs="Arial"/>
          <w:b/>
          <w:szCs w:val="21"/>
        </w:rPr>
        <w:t>Supplementary file 6</w:t>
      </w:r>
      <w:r>
        <w:rPr>
          <w:rFonts w:hint="default" w:ascii="Arial" w:hAnsi="Arial" w:cs="Arial"/>
          <w:b/>
          <w:szCs w:val="21"/>
        </w:rPr>
        <w:t>-Environmental risk factors assessment tool</w:t>
      </w:r>
    </w:p>
    <w:tbl>
      <w:tblPr>
        <w:tblStyle w:val="3"/>
        <w:tblW w:w="11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6237"/>
        <w:gridCol w:w="709"/>
        <w:gridCol w:w="708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6237" w:type="dxa"/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Items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Yes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No</w:t>
            </w:r>
          </w:p>
        </w:tc>
        <w:tc>
          <w:tcPr>
            <w:tcW w:w="2234" w:type="dxa"/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N/A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Use non-slip mats/slip-resistant tiles in the bathroom.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 xml:space="preserve">Put on warning </w:t>
            </w:r>
            <w:r>
              <w:rPr>
                <w:rFonts w:hint="eastAsia" w:ascii="Arial" w:hAnsi="Arial" w:cs="Arial"/>
                <w:color w:val="auto"/>
                <w:kern w:val="2"/>
                <w:sz w:val="21"/>
                <w:szCs w:val="21"/>
                <w:lang w:val="en-US" w:eastAsia="zh-CN"/>
              </w:rPr>
              <w:t>signs</w:t>
            </w: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 xml:space="preserve"> when clean</w:t>
            </w:r>
            <w:r>
              <w:rPr>
                <w:rFonts w:hint="eastAsia" w:ascii="Arial" w:hAnsi="Arial" w:cs="Arial"/>
                <w:color w:val="auto"/>
                <w:kern w:val="2"/>
                <w:sz w:val="21"/>
                <w:szCs w:val="21"/>
                <w:lang w:val="en-US" w:eastAsia="zh-CN"/>
              </w:rPr>
              <w:t>ing</w:t>
            </w: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 xml:space="preserve"> the floor and keep the floor dry.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 xml:space="preserve">     3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Ensure the floor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 xml:space="preserve"> is clean</w:t>
            </w:r>
            <w:r>
              <w:rPr>
                <w:rFonts w:ascii="Arial" w:hAnsi="Arial" w:cs="Arial"/>
                <w:szCs w:val="21"/>
              </w:rPr>
              <w:t xml:space="preserve"> without water, oil stain, etc.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4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Ensure that there is no debris piled up and no </w:t>
            </w:r>
            <w:r>
              <w:rPr>
                <w:rFonts w:hint="eastAsia" w:ascii="Arial" w:hAnsi="Arial" w:cs="Arial"/>
                <w:kern w:val="2"/>
                <w:sz w:val="21"/>
                <w:szCs w:val="21"/>
                <w:lang w:val="en-US" w:eastAsia="zh-CN"/>
              </w:rPr>
              <w:t>wire</w:t>
            </w: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 entanglement in the corridors and room ground passages.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5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Ensure enough space for patients to use walker and wheelchair in the hallway.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6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2"/>
                <w:sz w:val="21"/>
                <w:szCs w:val="21"/>
                <w:lang w:val="en-US" w:eastAsia="zh-CN"/>
              </w:rPr>
              <w:t>Ensure there is n</w:t>
            </w: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o </w:t>
            </w:r>
            <w:r>
              <w:rPr>
                <w:rFonts w:hint="eastAsia" w:ascii="Arial" w:hAnsi="Arial" w:cs="Arial"/>
                <w:kern w:val="2"/>
                <w:sz w:val="21"/>
                <w:szCs w:val="21"/>
                <w:lang w:val="en-US" w:eastAsia="zh-CN"/>
              </w:rPr>
              <w:t>water on the bathroom floor</w:t>
            </w:r>
            <w:r>
              <w:rPr>
                <w:rFonts w:ascii="Arial" w:hAnsi="Arial" w:cs="Arial"/>
                <w:kern w:val="2"/>
                <w:sz w:val="21"/>
                <w:szCs w:val="21"/>
              </w:rPr>
              <w:t>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" w:hRule="atLeast"/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7</w:t>
            </w:r>
          </w:p>
        </w:tc>
        <w:tc>
          <w:tcPr>
            <w:tcW w:w="6237" w:type="dxa"/>
          </w:tcPr>
          <w:p>
            <w:pPr>
              <w:tabs>
                <w:tab w:val="left" w:pos="4875"/>
              </w:tabs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Ensure enough space between beds for 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for walking and wheelchairs</w:t>
            </w:r>
            <w:r>
              <w:rPr>
                <w:rFonts w:ascii="Arial" w:hAnsi="Arial" w:cs="Arial"/>
                <w:szCs w:val="21"/>
              </w:rPr>
              <w:t>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8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Ensure </w:t>
            </w: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 xml:space="preserve">enough space </w:t>
            </w:r>
            <w:r>
              <w:rPr>
                <w:rFonts w:ascii="Arial" w:hAnsi="Arial" w:cs="Arial"/>
                <w:sz w:val="21"/>
                <w:szCs w:val="21"/>
              </w:rPr>
              <w:t xml:space="preserve">for patients </w:t>
            </w: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>to use facilities.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9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>Reasonable lighting layout, suitable light intensity and proper floor lamp and bedside lamp.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10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>All switches have luminous mark at night.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11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>The edges of the stairs are slip-proof and has contrasting color.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12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color w:val="auto"/>
                <w:kern w:val="2"/>
                <w:sz w:val="21"/>
                <w:szCs w:val="21"/>
              </w:rPr>
              <w:t>The location of the calling bell is proper.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13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length of the wire of the calling bell is proper to make sure the patient can ring the calling bell in usual postures.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14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rails are fitted properly and stable and convenient to use.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15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bed’s height can be adjusted.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16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edges of the bed, table and chair are blunt.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17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The height of the 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sink</w:t>
            </w:r>
            <w:r>
              <w:rPr>
                <w:rFonts w:ascii="Arial" w:hAnsi="Arial" w:cs="Arial"/>
                <w:szCs w:val="21"/>
              </w:rPr>
              <w:t xml:space="preserve"> is proper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18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Enough space for shower.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19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The door of the 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bathroom</w:t>
            </w:r>
            <w:r>
              <w:rPr>
                <w:rFonts w:ascii="Arial" w:hAnsi="Arial" w:cs="Arial"/>
                <w:szCs w:val="21"/>
              </w:rPr>
              <w:t xml:space="preserve"> is light.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20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The “occupied” mark on the door of the 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bathroom</w:t>
            </w:r>
            <w:r>
              <w:rPr>
                <w:rFonts w:ascii="Arial" w:hAnsi="Arial" w:cs="Arial"/>
                <w:szCs w:val="21"/>
              </w:rPr>
              <w:t xml:space="preserve"> is 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easily seen</w:t>
            </w:r>
            <w:r>
              <w:rPr>
                <w:rFonts w:ascii="Arial" w:hAnsi="Arial" w:cs="Arial"/>
                <w:szCs w:val="21"/>
              </w:rPr>
              <w:t>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21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bathroom is fitted with exhaust fan and well-ventilated.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22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boiling water room is fitted with anti-skid pad or slip-proof tile.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23</w:t>
            </w:r>
          </w:p>
        </w:tc>
        <w:tc>
          <w:tcPr>
            <w:tcW w:w="6237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The faucet is shielded from direct splash to the ground.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24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>The brake of wheelchair and walker are fixed well and fitted with safety belt.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25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>The bedrails are fixed and the handle on the foot of the bed doesn’t protrude.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26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>The crus of the bed-side-chair are slip-proof and stable.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27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>Place the thermos bottle in the specified position.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28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>The sink has a good drainage.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29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The toilet is cleaned and disinfected regularly and there is a time record. 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1" w:type="dxa"/>
          </w:tcPr>
          <w:p>
            <w:pPr>
              <w:spacing w:line="40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30</w:t>
            </w:r>
          </w:p>
        </w:tc>
        <w:tc>
          <w:tcPr>
            <w:tcW w:w="6237" w:type="dxa"/>
          </w:tcPr>
          <w:p>
            <w:pPr>
              <w:pStyle w:val="4"/>
              <w:spacing w:line="400" w:lineRule="exact"/>
              <w:jc w:val="both"/>
              <w:rPr>
                <w:rFonts w:ascii="Arial" w:hAnsi="Arial" w:cs="Arial"/>
                <w:kern w:val="2"/>
                <w:sz w:val="21"/>
                <w:szCs w:val="21"/>
              </w:rPr>
            </w:pP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The drainage of the boiling-water room is good and there is no </w:t>
            </w:r>
            <w:r>
              <w:rPr>
                <w:rFonts w:hint="eastAsia" w:ascii="Arial" w:hAnsi="Arial" w:cs="Arial"/>
                <w:kern w:val="2"/>
                <w:sz w:val="21"/>
                <w:szCs w:val="21"/>
                <w:lang w:val="en-US" w:eastAsia="zh-CN"/>
              </w:rPr>
              <w:t>water</w:t>
            </w:r>
            <w:r>
              <w:rPr>
                <w:rFonts w:ascii="Arial" w:hAnsi="Arial" w:cs="Arial"/>
                <w:kern w:val="2"/>
                <w:sz w:val="21"/>
                <w:szCs w:val="21"/>
              </w:rPr>
              <w:t xml:space="preserve"> on the floor.</w:t>
            </w:r>
          </w:p>
        </w:tc>
        <w:tc>
          <w:tcPr>
            <w:tcW w:w="709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2234" w:type="dxa"/>
          </w:tcPr>
          <w:p>
            <w:pPr>
              <w:spacing w:line="400" w:lineRule="exact"/>
              <w:rPr>
                <w:rFonts w:ascii="Arial" w:hAnsi="Arial" w:cs="Arial"/>
                <w:szCs w:val="21"/>
              </w:rPr>
            </w:pPr>
          </w:p>
        </w:tc>
      </w:tr>
    </w:tbl>
    <w:p/>
    <w:p/>
    <w:p>
      <w:pPr>
        <w:rPr>
          <w:rFonts w:hint="default" w:ascii="Arial" w:hAnsi="Arial" w:cs="Arial"/>
          <w:sz w:val="20"/>
          <w:szCs w:val="22"/>
        </w:rPr>
      </w:pPr>
      <w:r>
        <w:rPr>
          <w:rFonts w:hint="default" w:ascii="Arial" w:hAnsi="Arial" w:cs="Arial"/>
          <w:sz w:val="20"/>
          <w:szCs w:val="22"/>
        </w:rPr>
        <w:t>Reference</w:t>
      </w:r>
    </w:p>
    <w:p>
      <w:pPr>
        <w:rPr>
          <w:rFonts w:hint="default" w:ascii="Arial" w:hAnsi="Arial" w:cs="Arial"/>
          <w:sz w:val="20"/>
          <w:szCs w:val="22"/>
        </w:rPr>
      </w:pPr>
    </w:p>
    <w:p>
      <w:pPr>
        <w:pStyle w:val="7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fldChar w:fldCharType="begin"/>
      </w:r>
      <w:r>
        <w:rPr>
          <w:rFonts w:hint="default" w:ascii="Arial" w:hAnsi="Arial" w:cs="Arial"/>
          <w:sz w:val="18"/>
          <w:szCs w:val="22"/>
        </w:rPr>
        <w:instrText xml:space="preserve"> ADDIN EN.REFLIST </w:instrText>
      </w:r>
      <w:r>
        <w:rPr>
          <w:rFonts w:hint="default" w:ascii="Arial" w:hAnsi="Arial" w:cs="Arial"/>
          <w:sz w:val="18"/>
          <w:szCs w:val="22"/>
        </w:rPr>
        <w:fldChar w:fldCharType="separate"/>
      </w:r>
      <w:r>
        <w:rPr>
          <w:rFonts w:hint="default" w:ascii="Arial" w:hAnsi="Arial" w:cs="Arial"/>
          <w:sz w:val="18"/>
          <w:szCs w:val="22"/>
        </w:rPr>
        <w:t>1.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Chippendale T, Boltz M: </w:t>
      </w:r>
      <w:r>
        <w:rPr>
          <w:rFonts w:hint="default" w:ascii="Arial" w:hAnsi="Arial" w:cs="Arial"/>
          <w:b/>
          <w:sz w:val="18"/>
          <w:szCs w:val="22"/>
        </w:rPr>
        <w:t>The Neighborhood Environment: Perceived Fall Risk, Resources, and Strategies for Fall Prevention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The Gerontologist </w:t>
      </w:r>
      <w:r>
        <w:rPr>
          <w:rFonts w:hint="default" w:ascii="Arial" w:hAnsi="Arial" w:cs="Arial"/>
          <w:sz w:val="18"/>
          <w:szCs w:val="22"/>
        </w:rPr>
        <w:t xml:space="preserve">2015, </w:t>
      </w:r>
      <w:r>
        <w:rPr>
          <w:rFonts w:hint="default" w:ascii="Arial" w:hAnsi="Arial" w:cs="Arial"/>
          <w:b/>
          <w:sz w:val="18"/>
          <w:szCs w:val="22"/>
        </w:rPr>
        <w:t>55</w:t>
      </w:r>
      <w:r>
        <w:rPr>
          <w:rFonts w:hint="default" w:ascii="Arial" w:hAnsi="Arial" w:cs="Arial"/>
          <w:sz w:val="18"/>
          <w:szCs w:val="22"/>
        </w:rPr>
        <w:t>(4):575-583.</w:t>
      </w:r>
    </w:p>
    <w:p>
      <w:pPr>
        <w:pStyle w:val="7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2.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>Tanaka T, Matsumoto H, Son BK, Imaeda S, Uchiyama E, Taniguchi S, Nishino A, Miura T, Tanaka T, Otsuki T</w:t>
      </w:r>
      <w:r>
        <w:rPr>
          <w:rFonts w:hint="default" w:ascii="Arial" w:hAnsi="Arial" w:cs="Arial"/>
          <w:i/>
          <w:sz w:val="18"/>
          <w:szCs w:val="22"/>
        </w:rPr>
        <w:t xml:space="preserve"> et al</w:t>
      </w:r>
      <w:r>
        <w:rPr>
          <w:rFonts w:hint="default" w:ascii="Arial" w:hAnsi="Arial" w:cs="Arial"/>
          <w:sz w:val="18"/>
          <w:szCs w:val="22"/>
        </w:rPr>
        <w:t xml:space="preserve">: </w:t>
      </w:r>
      <w:r>
        <w:rPr>
          <w:rFonts w:hint="default" w:ascii="Arial" w:hAnsi="Arial" w:cs="Arial"/>
          <w:b/>
          <w:sz w:val="18"/>
          <w:szCs w:val="22"/>
        </w:rPr>
        <w:t>Environmental and physical factors predisposing middle-aged and older Japanese adults to falls and fall-related fractures in the home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Geriatrics &amp; gerontology international </w:t>
      </w:r>
      <w:r>
        <w:rPr>
          <w:rFonts w:hint="default" w:ascii="Arial" w:hAnsi="Arial" w:cs="Arial"/>
          <w:sz w:val="18"/>
          <w:szCs w:val="22"/>
        </w:rPr>
        <w:t xml:space="preserve">2018, </w:t>
      </w:r>
      <w:r>
        <w:rPr>
          <w:rFonts w:hint="default" w:ascii="Arial" w:hAnsi="Arial" w:cs="Arial"/>
          <w:b/>
          <w:sz w:val="18"/>
          <w:szCs w:val="22"/>
        </w:rPr>
        <w:t>18</w:t>
      </w:r>
      <w:r>
        <w:rPr>
          <w:rFonts w:hint="default" w:ascii="Arial" w:hAnsi="Arial" w:cs="Arial"/>
          <w:sz w:val="18"/>
          <w:szCs w:val="22"/>
        </w:rPr>
        <w:t>(9):1372-1377.</w:t>
      </w:r>
    </w:p>
    <w:p>
      <w:pPr>
        <w:pStyle w:val="7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3.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Pfortmueller CA, Kunz M, Lindner G, Zisakis A, Puig S, Exadaktylos AK: </w:t>
      </w:r>
      <w:r>
        <w:rPr>
          <w:rFonts w:hint="default" w:ascii="Arial" w:hAnsi="Arial" w:cs="Arial"/>
          <w:b/>
          <w:sz w:val="18"/>
          <w:szCs w:val="22"/>
        </w:rPr>
        <w:t>Fall-related emergency department admission: fall environment and settings and related injury patterns in 6357 patients with special emphasis on the elderly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TheScientificWorldJournal </w:t>
      </w:r>
      <w:r>
        <w:rPr>
          <w:rFonts w:hint="default" w:ascii="Arial" w:hAnsi="Arial" w:cs="Arial"/>
          <w:sz w:val="18"/>
          <w:szCs w:val="22"/>
        </w:rPr>
        <w:t xml:space="preserve">2014, </w:t>
      </w:r>
      <w:r>
        <w:rPr>
          <w:rFonts w:hint="default" w:ascii="Arial" w:hAnsi="Arial" w:cs="Arial"/>
          <w:b/>
          <w:sz w:val="18"/>
          <w:szCs w:val="22"/>
        </w:rPr>
        <w:t>2014</w:t>
      </w:r>
      <w:r>
        <w:rPr>
          <w:rFonts w:hint="default" w:ascii="Arial" w:hAnsi="Arial" w:cs="Arial"/>
          <w:sz w:val="18"/>
          <w:szCs w:val="22"/>
        </w:rPr>
        <w:t>:256519.</w:t>
      </w:r>
    </w:p>
    <w:p>
      <w:r>
        <w:rPr>
          <w:rFonts w:hint="default" w:ascii="Arial" w:hAnsi="Arial" w:cs="Arial"/>
          <w:sz w:val="20"/>
          <w:szCs w:val="22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fst9fp7wpzzse52t9xdz01rsr20ddtzssd&quot;&gt;DISEW&lt;record-ids&gt;&lt;item&gt;8&lt;/item&gt;&lt;item&gt;10&lt;/item&gt;&lt;item&gt;11&lt;/item&gt;&lt;/record-ids&gt;&lt;/item&gt;&lt;/Libraries&gt;"/>
  </w:docVars>
  <w:rsids>
    <w:rsidRoot w:val="FB679B7E"/>
    <w:rsid w:val="000C5FB1"/>
    <w:rsid w:val="003D2FA9"/>
    <w:rsid w:val="00641BF0"/>
    <w:rsid w:val="00CC316C"/>
    <w:rsid w:val="57EF8932"/>
    <w:rsid w:val="639FD1C7"/>
    <w:rsid w:val="6F430055"/>
    <w:rsid w:val="7FE975FE"/>
    <w:rsid w:val="BF7BC04F"/>
    <w:rsid w:val="BFBED78A"/>
    <w:rsid w:val="C57F80FD"/>
    <w:rsid w:val="FB679B7E"/>
    <w:rsid w:val="FEB71421"/>
    <w:rsid w:val="FEC7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cs="宋体" w:eastAsiaTheme="minorEastAsia"/>
      <w:color w:val="000000"/>
      <w:sz w:val="24"/>
      <w:szCs w:val="24"/>
      <w:lang w:val="en-US" w:eastAsia="zh-CN" w:bidi="ar-SA"/>
    </w:rPr>
  </w:style>
  <w:style w:type="paragraph" w:customStyle="1" w:styleId="5">
    <w:name w:val="EndNote Bibliography Title"/>
    <w:basedOn w:val="1"/>
    <w:link w:val="6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6">
    <w:name w:val="EndNote Bibliography Title Char"/>
    <w:basedOn w:val="2"/>
    <w:link w:val="5"/>
    <w:qFormat/>
    <w:uiPriority w:val="0"/>
    <w:rPr>
      <w:rFonts w:ascii="Calibri" w:hAnsi="Calibri" w:cs="Calibri"/>
      <w:kern w:val="2"/>
      <w:szCs w:val="24"/>
    </w:rPr>
  </w:style>
  <w:style w:type="paragraph" w:customStyle="1" w:styleId="7">
    <w:name w:val="EndNote Bibliography"/>
    <w:basedOn w:val="1"/>
    <w:link w:val="8"/>
    <w:qFormat/>
    <w:uiPriority w:val="0"/>
    <w:rPr>
      <w:rFonts w:ascii="Calibri" w:hAnsi="Calibri" w:cs="Calibri"/>
      <w:sz w:val="20"/>
    </w:rPr>
  </w:style>
  <w:style w:type="character" w:customStyle="1" w:styleId="8">
    <w:name w:val="EndNote Bibliography Char"/>
    <w:basedOn w:val="2"/>
    <w:link w:val="7"/>
    <w:qFormat/>
    <w:uiPriority w:val="0"/>
    <w:rPr>
      <w:rFonts w:ascii="Calibri" w:hAnsi="Calibri" w:cs="Calibri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451</Words>
  <Characters>2571</Characters>
  <Lines>21</Lines>
  <Paragraphs>6</Paragraphs>
  <ScaleCrop>false</ScaleCrop>
  <LinksUpToDate>false</LinksUpToDate>
  <CharactersWithSpaces>3016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2019-12-08T19:02:00Z</dcterms:created>
  <dc:creator>till</dc:creator>
  <cp:lastModifiedBy>till</cp:lastModifiedBy>
  <dcterms:modified xsi:type="dcterms:W3CDTF">2020-12-06T18:17:57Z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