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D2B" w14:textId="6156BDD4" w:rsidR="00B5798D" w:rsidRPr="00B5798D" w:rsidRDefault="00B5798D">
      <w:pPr>
        <w:rPr>
          <w:b/>
          <w:bCs/>
        </w:rPr>
      </w:pPr>
      <w:proofErr w:type="spellStart"/>
      <w:r w:rsidRPr="00B5798D">
        <w:rPr>
          <w:b/>
          <w:bCs/>
        </w:rPr>
        <w:t>A</w:t>
      </w:r>
      <w:r w:rsidR="00C64955">
        <w:rPr>
          <w:b/>
          <w:bCs/>
        </w:rPr>
        <w:t>ppendix</w:t>
      </w:r>
      <w:proofErr w:type="spellEnd"/>
      <w:r w:rsidR="00C64955">
        <w:rPr>
          <w:b/>
          <w:bCs/>
        </w:rPr>
        <w:t xml:space="preserve"> </w:t>
      </w:r>
      <w:r w:rsidRPr="00B5798D">
        <w:rPr>
          <w:b/>
          <w:bCs/>
        </w:rPr>
        <w:t>2:</w:t>
      </w:r>
      <w:r w:rsidR="00C64955">
        <w:rPr>
          <w:b/>
          <w:bCs/>
        </w:rPr>
        <w:t xml:space="preserve"> </w:t>
      </w:r>
      <w:proofErr w:type="spellStart"/>
      <w:r w:rsidR="00C64955">
        <w:rPr>
          <w:b/>
          <w:bCs/>
        </w:rPr>
        <w:t>internal</w:t>
      </w:r>
      <w:proofErr w:type="spellEnd"/>
      <w:r w:rsidR="00C64955">
        <w:rPr>
          <w:b/>
          <w:bCs/>
        </w:rPr>
        <w:t xml:space="preserve"> </w:t>
      </w:r>
      <w:proofErr w:type="spellStart"/>
      <w:r w:rsidR="00C64955">
        <w:rPr>
          <w:b/>
          <w:bCs/>
        </w:rPr>
        <w:t>validation</w:t>
      </w:r>
      <w:proofErr w:type="spellEnd"/>
      <w:r w:rsidR="00C64955">
        <w:rPr>
          <w:b/>
          <w:bCs/>
        </w:rPr>
        <w:t xml:space="preserve"> </w:t>
      </w:r>
      <w:proofErr w:type="spellStart"/>
      <w:r w:rsidR="00C64955">
        <w:rPr>
          <w:b/>
          <w:bCs/>
        </w:rPr>
        <w:t>method</w:t>
      </w:r>
      <w:proofErr w:type="spellEnd"/>
      <w:r w:rsidRPr="00B5798D">
        <w:rPr>
          <w:b/>
          <w:bCs/>
        </w:rPr>
        <w:t xml:space="preserve">. </w:t>
      </w:r>
    </w:p>
    <w:tbl>
      <w:tblPr>
        <w:tblStyle w:val="Tablaconcuadrcula"/>
        <w:tblW w:w="85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3543"/>
      </w:tblGrid>
      <w:tr w:rsidR="00130800" w:rsidRPr="00B5798D" w14:paraId="2AB17A8F" w14:textId="77777777" w:rsidTr="0001330B">
        <w:tc>
          <w:tcPr>
            <w:tcW w:w="2547" w:type="dxa"/>
          </w:tcPr>
          <w:p w14:paraId="5EBC0BF2" w14:textId="1F77371F" w:rsidR="00130800" w:rsidRPr="00B5798D" w:rsidRDefault="00C64955" w:rsidP="00B5798D">
            <w:pPr>
              <w:spacing w:after="160"/>
              <w:jc w:val="center"/>
            </w:pPr>
            <w:proofErr w:type="spellStart"/>
            <w:r>
              <w:t>Subset</w:t>
            </w:r>
            <w:proofErr w:type="spellEnd"/>
          </w:p>
        </w:tc>
        <w:tc>
          <w:tcPr>
            <w:tcW w:w="2410" w:type="dxa"/>
          </w:tcPr>
          <w:p w14:paraId="6F23255E" w14:textId="22E1F127" w:rsidR="00130800" w:rsidRPr="00B5798D" w:rsidRDefault="00B5798D" w:rsidP="00B5798D">
            <w:pPr>
              <w:spacing w:after="160"/>
              <w:jc w:val="center"/>
            </w:pPr>
            <w:proofErr w:type="spellStart"/>
            <w:r w:rsidRPr="00B5798D">
              <w:t>Categor</w:t>
            </w:r>
            <w:r w:rsidR="00C64955">
              <w:t>y</w:t>
            </w:r>
            <w:proofErr w:type="spellEnd"/>
          </w:p>
        </w:tc>
        <w:tc>
          <w:tcPr>
            <w:tcW w:w="3543" w:type="dxa"/>
          </w:tcPr>
          <w:p w14:paraId="325D7AEA" w14:textId="30C223F6" w:rsidR="00130800" w:rsidRPr="00B5798D" w:rsidRDefault="00C64955" w:rsidP="00B5798D">
            <w:pPr>
              <w:spacing w:after="160"/>
              <w:jc w:val="center"/>
            </w:pPr>
            <w:proofErr w:type="spellStart"/>
            <w:r>
              <w:t>Respiratory</w:t>
            </w:r>
            <w:proofErr w:type="spellEnd"/>
            <w:r>
              <w:t xml:space="preserve"> </w:t>
            </w:r>
            <w:proofErr w:type="spellStart"/>
            <w:r>
              <w:t>failure</w:t>
            </w:r>
            <w:proofErr w:type="spellEnd"/>
            <w:r>
              <w:t xml:space="preserve"> </w:t>
            </w:r>
            <w:proofErr w:type="spellStart"/>
            <w:r w:rsidR="00004BA3">
              <w:t>proportion</w:t>
            </w:r>
            <w:proofErr w:type="spellEnd"/>
            <w:r>
              <w:t xml:space="preserve"> </w:t>
            </w:r>
            <w:r w:rsidR="00B5798D" w:rsidRPr="00B5798D">
              <w:t>(%)</w:t>
            </w:r>
          </w:p>
        </w:tc>
      </w:tr>
      <w:tr w:rsidR="00130800" w:rsidRPr="00B5798D" w14:paraId="1AD8807E" w14:textId="77777777" w:rsidTr="0001330B">
        <w:tc>
          <w:tcPr>
            <w:tcW w:w="2547" w:type="dxa"/>
            <w:vMerge w:val="restart"/>
          </w:tcPr>
          <w:p w14:paraId="75B79896" w14:textId="77777777" w:rsidR="00130800" w:rsidRPr="00B5798D" w:rsidRDefault="00130800" w:rsidP="00130800">
            <w:pPr>
              <w:spacing w:after="160"/>
            </w:pPr>
            <w:r w:rsidRPr="00B5798D">
              <w:t>1</w:t>
            </w:r>
          </w:p>
        </w:tc>
        <w:tc>
          <w:tcPr>
            <w:tcW w:w="2410" w:type="dxa"/>
          </w:tcPr>
          <w:p w14:paraId="1F65AE20" w14:textId="4CB1479B" w:rsidR="00130800" w:rsidRPr="00B5798D" w:rsidRDefault="00B5798D" w:rsidP="00004BA3">
            <w:pPr>
              <w:spacing w:after="160"/>
              <w:jc w:val="center"/>
            </w:pPr>
            <w:r w:rsidRPr="00B5798D">
              <w:t>A</w:t>
            </w:r>
          </w:p>
        </w:tc>
        <w:tc>
          <w:tcPr>
            <w:tcW w:w="3543" w:type="dxa"/>
          </w:tcPr>
          <w:p w14:paraId="1AD5D061" w14:textId="77777777" w:rsidR="00130800" w:rsidRPr="00B5798D" w:rsidRDefault="00130800" w:rsidP="00130800">
            <w:pPr>
              <w:spacing w:after="160"/>
            </w:pPr>
            <w:r w:rsidRPr="00B5798D">
              <w:t>0%</w:t>
            </w:r>
          </w:p>
        </w:tc>
      </w:tr>
      <w:tr w:rsidR="00130800" w:rsidRPr="00B5798D" w14:paraId="5FEB5870" w14:textId="77777777" w:rsidTr="0001330B">
        <w:tc>
          <w:tcPr>
            <w:tcW w:w="2547" w:type="dxa"/>
            <w:vMerge/>
          </w:tcPr>
          <w:p w14:paraId="7EC61EE9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119CD93E" w14:textId="670BC095" w:rsidR="00130800" w:rsidRPr="00B5798D" w:rsidRDefault="00B5798D" w:rsidP="00004BA3">
            <w:pPr>
              <w:spacing w:after="160"/>
              <w:jc w:val="center"/>
            </w:pPr>
            <w:r w:rsidRPr="00B5798D">
              <w:t>B</w:t>
            </w:r>
          </w:p>
        </w:tc>
        <w:tc>
          <w:tcPr>
            <w:tcW w:w="3543" w:type="dxa"/>
          </w:tcPr>
          <w:p w14:paraId="4946D818" w14:textId="67A0866A" w:rsidR="00130800" w:rsidRPr="00B5798D" w:rsidRDefault="00130800" w:rsidP="00130800">
            <w:pPr>
              <w:spacing w:after="160"/>
            </w:pPr>
            <w:r w:rsidRPr="00B5798D">
              <w:t>3</w:t>
            </w:r>
            <w:r w:rsidR="00C64955">
              <w:t>.</w:t>
            </w:r>
            <w:r w:rsidRPr="00B5798D">
              <w:t>1%</w:t>
            </w:r>
          </w:p>
        </w:tc>
      </w:tr>
      <w:tr w:rsidR="00130800" w:rsidRPr="00B5798D" w14:paraId="28066B2E" w14:textId="77777777" w:rsidTr="0001330B">
        <w:tc>
          <w:tcPr>
            <w:tcW w:w="2547" w:type="dxa"/>
            <w:vMerge/>
          </w:tcPr>
          <w:p w14:paraId="62ACA863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14C4C6CB" w14:textId="079512C2" w:rsidR="00130800" w:rsidRPr="00B5798D" w:rsidRDefault="00B5798D" w:rsidP="00004BA3">
            <w:pPr>
              <w:spacing w:after="160"/>
              <w:jc w:val="center"/>
            </w:pPr>
            <w:r w:rsidRPr="00B5798D">
              <w:t>C</w:t>
            </w:r>
          </w:p>
        </w:tc>
        <w:tc>
          <w:tcPr>
            <w:tcW w:w="3543" w:type="dxa"/>
          </w:tcPr>
          <w:p w14:paraId="5C0B11A4" w14:textId="180F88F5" w:rsidR="00130800" w:rsidRPr="00B5798D" w:rsidRDefault="00130800" w:rsidP="00130800">
            <w:pPr>
              <w:spacing w:after="160"/>
            </w:pPr>
            <w:r w:rsidRPr="00B5798D">
              <w:t>10</w:t>
            </w:r>
            <w:r w:rsidR="00C64955">
              <w:t>.</w:t>
            </w:r>
            <w:r w:rsidRPr="00B5798D">
              <w:t>5%</w:t>
            </w:r>
          </w:p>
        </w:tc>
      </w:tr>
      <w:tr w:rsidR="00130800" w:rsidRPr="00B5798D" w14:paraId="5A09B48B" w14:textId="77777777" w:rsidTr="0001330B">
        <w:tc>
          <w:tcPr>
            <w:tcW w:w="2547" w:type="dxa"/>
            <w:vMerge/>
          </w:tcPr>
          <w:p w14:paraId="194A81AE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5A5DAC01" w14:textId="1B6D06C6" w:rsidR="00130800" w:rsidRPr="00B5798D" w:rsidRDefault="00B5798D" w:rsidP="00004BA3">
            <w:pPr>
              <w:spacing w:after="160"/>
              <w:jc w:val="center"/>
            </w:pPr>
            <w:r w:rsidRPr="00B5798D">
              <w:t>D</w:t>
            </w:r>
          </w:p>
        </w:tc>
        <w:tc>
          <w:tcPr>
            <w:tcW w:w="3543" w:type="dxa"/>
          </w:tcPr>
          <w:p w14:paraId="569C7A41" w14:textId="25266D55" w:rsidR="00130800" w:rsidRPr="00B5798D" w:rsidRDefault="00130800" w:rsidP="00130800">
            <w:pPr>
              <w:spacing w:after="160"/>
            </w:pPr>
            <w:r w:rsidRPr="00B5798D">
              <w:t>44</w:t>
            </w:r>
            <w:r w:rsidR="00C64955">
              <w:t>.</w:t>
            </w:r>
            <w:r w:rsidRPr="00B5798D">
              <w:t>8%</w:t>
            </w:r>
          </w:p>
        </w:tc>
      </w:tr>
      <w:tr w:rsidR="00B5798D" w:rsidRPr="0001330B" w14:paraId="0D82D9AD" w14:textId="77777777" w:rsidTr="0001330B">
        <w:trPr>
          <w:trHeight w:val="303"/>
        </w:trPr>
        <w:tc>
          <w:tcPr>
            <w:tcW w:w="2547" w:type="dxa"/>
            <w:vMerge/>
          </w:tcPr>
          <w:p w14:paraId="41602358" w14:textId="77777777" w:rsidR="00B5798D" w:rsidRPr="00B5798D" w:rsidRDefault="00B5798D" w:rsidP="00130800">
            <w:pPr>
              <w:spacing w:after="160"/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3C665594" w14:textId="1944D73E" w:rsidR="00B5798D" w:rsidRPr="00C64955" w:rsidRDefault="00C64955" w:rsidP="00C64955">
            <w:pPr>
              <w:spacing w:after="16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χ</w:t>
            </w:r>
            <w:r>
              <w:rPr>
                <w:lang w:val="en-US"/>
              </w:rPr>
              <w:t>2</w:t>
            </w:r>
            <w:r w:rsidRPr="00C64955">
              <w:rPr>
                <w:lang w:val="en-US"/>
              </w:rPr>
              <w:t xml:space="preserve"> </w:t>
            </w:r>
            <w:r w:rsidR="00B5798D" w:rsidRPr="00C64955">
              <w:rPr>
                <w:lang w:val="en-US"/>
              </w:rPr>
              <w:t>= 59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>5; p</w:t>
            </w:r>
            <w:r w:rsidR="00004BA3">
              <w:rPr>
                <w:lang w:val="en-US"/>
              </w:rPr>
              <w:t>&lt;</w:t>
            </w:r>
            <w:r w:rsidR="00B5798D" w:rsidRPr="00C64955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>00</w:t>
            </w:r>
            <w:r w:rsidR="00004BA3">
              <w:rPr>
                <w:lang w:val="en-US"/>
              </w:rPr>
              <w:t>1</w:t>
            </w:r>
            <w:r w:rsidR="00B5798D" w:rsidRPr="00C64955">
              <w:rPr>
                <w:lang w:val="en-US"/>
              </w:rPr>
              <w:t xml:space="preserve">. </w:t>
            </w:r>
            <w:r w:rsidRPr="00C64955">
              <w:rPr>
                <w:lang w:val="en-US"/>
              </w:rPr>
              <w:t>χ2</w:t>
            </w:r>
            <w:r>
              <w:rPr>
                <w:lang w:val="en-US"/>
              </w:rPr>
              <w:t xml:space="preserve"> for trend</w:t>
            </w:r>
            <w:r w:rsidRPr="00C64955">
              <w:rPr>
                <w:lang w:val="en-US"/>
              </w:rPr>
              <w:t xml:space="preserve"> </w:t>
            </w:r>
            <w:r w:rsidR="00B5798D" w:rsidRPr="00C64955">
              <w:rPr>
                <w:lang w:val="en-US"/>
              </w:rPr>
              <w:t>= 41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5; </w:t>
            </w:r>
            <w:r w:rsidR="00004BA3" w:rsidRPr="00004BA3">
              <w:rPr>
                <w:lang w:val="en-US"/>
              </w:rPr>
              <w:t>p&lt;0.001</w:t>
            </w:r>
          </w:p>
        </w:tc>
      </w:tr>
      <w:tr w:rsidR="00130800" w:rsidRPr="00B5798D" w14:paraId="25EC001C" w14:textId="77777777" w:rsidTr="0001330B">
        <w:tc>
          <w:tcPr>
            <w:tcW w:w="2547" w:type="dxa"/>
            <w:vMerge w:val="restart"/>
          </w:tcPr>
          <w:p w14:paraId="7E0A5E93" w14:textId="77777777" w:rsidR="00130800" w:rsidRPr="00B5798D" w:rsidRDefault="00130800" w:rsidP="00130800">
            <w:pPr>
              <w:spacing w:after="160"/>
            </w:pPr>
            <w:r w:rsidRPr="00B5798D">
              <w:t>2</w:t>
            </w:r>
          </w:p>
        </w:tc>
        <w:tc>
          <w:tcPr>
            <w:tcW w:w="2410" w:type="dxa"/>
          </w:tcPr>
          <w:p w14:paraId="6EDB36AB" w14:textId="4676FFDD" w:rsidR="00130800" w:rsidRPr="00B5798D" w:rsidRDefault="00B5798D" w:rsidP="00004BA3">
            <w:pPr>
              <w:spacing w:after="160"/>
              <w:jc w:val="center"/>
            </w:pPr>
            <w:r w:rsidRPr="00B5798D">
              <w:t>A</w:t>
            </w:r>
          </w:p>
        </w:tc>
        <w:tc>
          <w:tcPr>
            <w:tcW w:w="3543" w:type="dxa"/>
          </w:tcPr>
          <w:p w14:paraId="6ACD3554" w14:textId="77777777" w:rsidR="00130800" w:rsidRPr="00B5798D" w:rsidRDefault="00130800" w:rsidP="00130800">
            <w:pPr>
              <w:spacing w:after="160"/>
            </w:pPr>
            <w:r w:rsidRPr="00B5798D">
              <w:t>0%</w:t>
            </w:r>
          </w:p>
        </w:tc>
      </w:tr>
      <w:tr w:rsidR="00130800" w:rsidRPr="00B5798D" w14:paraId="7BA3DB80" w14:textId="77777777" w:rsidTr="0001330B">
        <w:tc>
          <w:tcPr>
            <w:tcW w:w="2547" w:type="dxa"/>
            <w:vMerge/>
          </w:tcPr>
          <w:p w14:paraId="69CCFCA6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78055B45" w14:textId="3BCD31BB" w:rsidR="00130800" w:rsidRPr="00B5798D" w:rsidRDefault="00B5798D" w:rsidP="00004BA3">
            <w:pPr>
              <w:spacing w:after="160"/>
              <w:jc w:val="center"/>
            </w:pPr>
            <w:r w:rsidRPr="00B5798D">
              <w:t>B</w:t>
            </w:r>
          </w:p>
        </w:tc>
        <w:tc>
          <w:tcPr>
            <w:tcW w:w="3543" w:type="dxa"/>
          </w:tcPr>
          <w:p w14:paraId="008B66A6" w14:textId="3867A1D5" w:rsidR="00130800" w:rsidRPr="00B5798D" w:rsidRDefault="00130800" w:rsidP="00130800">
            <w:pPr>
              <w:spacing w:after="160"/>
            </w:pPr>
            <w:r w:rsidRPr="00B5798D">
              <w:t>3</w:t>
            </w:r>
            <w:r w:rsidR="00C64955">
              <w:t>.</w:t>
            </w:r>
            <w:r w:rsidRPr="00B5798D">
              <w:t>8%</w:t>
            </w:r>
          </w:p>
        </w:tc>
      </w:tr>
      <w:tr w:rsidR="00130800" w:rsidRPr="00B5798D" w14:paraId="10CB1BB6" w14:textId="77777777" w:rsidTr="0001330B">
        <w:tc>
          <w:tcPr>
            <w:tcW w:w="2547" w:type="dxa"/>
            <w:vMerge/>
          </w:tcPr>
          <w:p w14:paraId="5828BF80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2E477109" w14:textId="07861AB6" w:rsidR="00130800" w:rsidRPr="00B5798D" w:rsidRDefault="00B5798D" w:rsidP="00004BA3">
            <w:pPr>
              <w:spacing w:after="160"/>
              <w:jc w:val="center"/>
            </w:pPr>
            <w:r w:rsidRPr="00B5798D">
              <w:t>C</w:t>
            </w:r>
          </w:p>
        </w:tc>
        <w:tc>
          <w:tcPr>
            <w:tcW w:w="3543" w:type="dxa"/>
          </w:tcPr>
          <w:p w14:paraId="05C83074" w14:textId="0813A411" w:rsidR="00130800" w:rsidRPr="00B5798D" w:rsidRDefault="00130800" w:rsidP="00130800">
            <w:pPr>
              <w:spacing w:after="160"/>
            </w:pPr>
            <w:r w:rsidRPr="00B5798D">
              <w:t>9</w:t>
            </w:r>
            <w:r w:rsidR="00C64955">
              <w:t>.</w:t>
            </w:r>
            <w:r w:rsidRPr="00B5798D">
              <w:t>2%</w:t>
            </w:r>
          </w:p>
        </w:tc>
      </w:tr>
      <w:tr w:rsidR="00130800" w:rsidRPr="00B5798D" w14:paraId="6159E6C6" w14:textId="77777777" w:rsidTr="0001330B">
        <w:tc>
          <w:tcPr>
            <w:tcW w:w="2547" w:type="dxa"/>
            <w:vMerge/>
          </w:tcPr>
          <w:p w14:paraId="5AF2E1C4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32CC1570" w14:textId="39EA178F" w:rsidR="00130800" w:rsidRPr="00B5798D" w:rsidRDefault="00B5798D" w:rsidP="00004BA3">
            <w:pPr>
              <w:spacing w:after="160"/>
              <w:jc w:val="center"/>
            </w:pPr>
            <w:r w:rsidRPr="00B5798D">
              <w:t>D</w:t>
            </w:r>
          </w:p>
        </w:tc>
        <w:tc>
          <w:tcPr>
            <w:tcW w:w="3543" w:type="dxa"/>
          </w:tcPr>
          <w:p w14:paraId="5A5F3F7B" w14:textId="64789722" w:rsidR="00130800" w:rsidRPr="00B5798D" w:rsidRDefault="00130800" w:rsidP="00130800">
            <w:pPr>
              <w:spacing w:after="160"/>
            </w:pPr>
            <w:r w:rsidRPr="00B5798D">
              <w:t>37</w:t>
            </w:r>
            <w:r w:rsidR="00C64955">
              <w:t>.</w:t>
            </w:r>
            <w:r w:rsidRPr="00B5798D">
              <w:t>5%</w:t>
            </w:r>
          </w:p>
        </w:tc>
      </w:tr>
      <w:tr w:rsidR="00B5798D" w:rsidRPr="0001330B" w14:paraId="36C8E6A2" w14:textId="77777777" w:rsidTr="0001330B">
        <w:trPr>
          <w:trHeight w:val="362"/>
        </w:trPr>
        <w:tc>
          <w:tcPr>
            <w:tcW w:w="2547" w:type="dxa"/>
            <w:vMerge/>
          </w:tcPr>
          <w:p w14:paraId="50F71A49" w14:textId="77777777" w:rsidR="00B5798D" w:rsidRPr="00B5798D" w:rsidRDefault="00B5798D" w:rsidP="00130800">
            <w:pPr>
              <w:spacing w:after="160"/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64548009" w14:textId="05F36666" w:rsidR="00B5798D" w:rsidRPr="00C64955" w:rsidRDefault="00C64955" w:rsidP="00130800">
            <w:pPr>
              <w:spacing w:after="160"/>
              <w:rPr>
                <w:lang w:val="en-US"/>
              </w:rPr>
            </w:pPr>
            <w:r w:rsidRPr="00C64955">
              <w:rPr>
                <w:lang w:val="en-US"/>
              </w:rPr>
              <w:t xml:space="preserve">χ2 </w:t>
            </w:r>
            <w:r w:rsidR="00B5798D" w:rsidRPr="00C64955">
              <w:rPr>
                <w:lang w:val="en-US"/>
              </w:rPr>
              <w:t>=39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4;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 xml:space="preserve">. </w:t>
            </w:r>
            <w:r w:rsidRPr="00C64955">
              <w:rPr>
                <w:lang w:val="en-US"/>
              </w:rPr>
              <w:t xml:space="preserve">χ2 for trend </w:t>
            </w:r>
            <w:r w:rsidR="00B5798D" w:rsidRPr="00C64955">
              <w:rPr>
                <w:lang w:val="en-US"/>
              </w:rPr>
              <w:t>= 27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2;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>.</w:t>
            </w:r>
          </w:p>
        </w:tc>
      </w:tr>
      <w:tr w:rsidR="00130800" w:rsidRPr="00B5798D" w14:paraId="07836521" w14:textId="77777777" w:rsidTr="0001330B">
        <w:tc>
          <w:tcPr>
            <w:tcW w:w="2547" w:type="dxa"/>
            <w:vMerge w:val="restart"/>
          </w:tcPr>
          <w:p w14:paraId="7C29A52B" w14:textId="77777777" w:rsidR="00130800" w:rsidRPr="00B5798D" w:rsidRDefault="00130800" w:rsidP="00130800">
            <w:pPr>
              <w:spacing w:after="160"/>
            </w:pPr>
            <w:r w:rsidRPr="00B5798D">
              <w:t>3</w:t>
            </w:r>
          </w:p>
        </w:tc>
        <w:tc>
          <w:tcPr>
            <w:tcW w:w="2410" w:type="dxa"/>
          </w:tcPr>
          <w:p w14:paraId="64B2606C" w14:textId="02B36844" w:rsidR="00130800" w:rsidRPr="00B5798D" w:rsidRDefault="00B5798D" w:rsidP="00004BA3">
            <w:pPr>
              <w:spacing w:after="160"/>
              <w:jc w:val="center"/>
            </w:pPr>
            <w:r w:rsidRPr="00B5798D">
              <w:t>A</w:t>
            </w:r>
          </w:p>
        </w:tc>
        <w:tc>
          <w:tcPr>
            <w:tcW w:w="3543" w:type="dxa"/>
          </w:tcPr>
          <w:p w14:paraId="2A2A0E8A" w14:textId="77777777" w:rsidR="00130800" w:rsidRPr="00B5798D" w:rsidRDefault="00130800" w:rsidP="00130800">
            <w:pPr>
              <w:spacing w:after="160"/>
            </w:pPr>
            <w:r w:rsidRPr="00B5798D">
              <w:t>0%</w:t>
            </w:r>
          </w:p>
        </w:tc>
      </w:tr>
      <w:tr w:rsidR="00130800" w:rsidRPr="00B5798D" w14:paraId="6D6AE683" w14:textId="77777777" w:rsidTr="0001330B">
        <w:tc>
          <w:tcPr>
            <w:tcW w:w="2547" w:type="dxa"/>
            <w:vMerge/>
          </w:tcPr>
          <w:p w14:paraId="56CB465A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4F56E0B5" w14:textId="010F8757" w:rsidR="00130800" w:rsidRPr="00B5798D" w:rsidRDefault="00B5798D" w:rsidP="00004BA3">
            <w:pPr>
              <w:spacing w:after="160"/>
              <w:jc w:val="center"/>
            </w:pPr>
            <w:r w:rsidRPr="00B5798D">
              <w:t>B</w:t>
            </w:r>
          </w:p>
        </w:tc>
        <w:tc>
          <w:tcPr>
            <w:tcW w:w="3543" w:type="dxa"/>
          </w:tcPr>
          <w:p w14:paraId="52F75CD0" w14:textId="5A349C77" w:rsidR="00130800" w:rsidRPr="00B5798D" w:rsidRDefault="00130800" w:rsidP="00130800">
            <w:pPr>
              <w:spacing w:after="160"/>
            </w:pPr>
            <w:r w:rsidRPr="00B5798D">
              <w:t>4</w:t>
            </w:r>
            <w:r w:rsidR="00C64955">
              <w:t>.</w:t>
            </w:r>
            <w:r w:rsidRPr="00B5798D">
              <w:t>5%</w:t>
            </w:r>
          </w:p>
        </w:tc>
      </w:tr>
      <w:tr w:rsidR="00130800" w:rsidRPr="00B5798D" w14:paraId="3FCECAD9" w14:textId="77777777" w:rsidTr="0001330B">
        <w:tc>
          <w:tcPr>
            <w:tcW w:w="2547" w:type="dxa"/>
            <w:vMerge/>
          </w:tcPr>
          <w:p w14:paraId="391A344A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3D54C8BC" w14:textId="4A453FF3" w:rsidR="00130800" w:rsidRPr="00B5798D" w:rsidRDefault="00B5798D" w:rsidP="00004BA3">
            <w:pPr>
              <w:spacing w:after="160"/>
              <w:jc w:val="center"/>
            </w:pPr>
            <w:r w:rsidRPr="00B5798D">
              <w:t>C</w:t>
            </w:r>
          </w:p>
        </w:tc>
        <w:tc>
          <w:tcPr>
            <w:tcW w:w="3543" w:type="dxa"/>
          </w:tcPr>
          <w:p w14:paraId="78A5A391" w14:textId="144FF4B1" w:rsidR="00130800" w:rsidRPr="00B5798D" w:rsidRDefault="00130800" w:rsidP="00130800">
            <w:pPr>
              <w:spacing w:after="160"/>
            </w:pPr>
            <w:r w:rsidRPr="00B5798D">
              <w:t>10</w:t>
            </w:r>
            <w:r w:rsidR="00C64955">
              <w:t>.</w:t>
            </w:r>
            <w:r w:rsidRPr="00B5798D">
              <w:t>8%</w:t>
            </w:r>
          </w:p>
        </w:tc>
      </w:tr>
      <w:tr w:rsidR="00130800" w:rsidRPr="00B5798D" w14:paraId="6BCEB1EA" w14:textId="77777777" w:rsidTr="0001330B">
        <w:tc>
          <w:tcPr>
            <w:tcW w:w="2547" w:type="dxa"/>
            <w:vMerge/>
          </w:tcPr>
          <w:p w14:paraId="7B48AD90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2E375923" w14:textId="3BEDC736" w:rsidR="00130800" w:rsidRPr="00B5798D" w:rsidRDefault="00B5798D" w:rsidP="00004BA3">
            <w:pPr>
              <w:spacing w:after="160"/>
              <w:jc w:val="center"/>
            </w:pPr>
            <w:r w:rsidRPr="00B5798D">
              <w:t>D</w:t>
            </w:r>
          </w:p>
        </w:tc>
        <w:tc>
          <w:tcPr>
            <w:tcW w:w="3543" w:type="dxa"/>
          </w:tcPr>
          <w:p w14:paraId="1C6355E1" w14:textId="547402CE" w:rsidR="00130800" w:rsidRPr="00B5798D" w:rsidRDefault="00130800" w:rsidP="00130800">
            <w:pPr>
              <w:spacing w:after="160"/>
            </w:pPr>
            <w:r w:rsidRPr="00B5798D">
              <w:t>52</w:t>
            </w:r>
            <w:r w:rsidR="00C64955">
              <w:t>.</w:t>
            </w:r>
            <w:r w:rsidRPr="00B5798D">
              <w:t>2%</w:t>
            </w:r>
          </w:p>
        </w:tc>
      </w:tr>
      <w:tr w:rsidR="00B5798D" w:rsidRPr="0001330B" w14:paraId="28D3F23F" w14:textId="77777777" w:rsidTr="0001330B">
        <w:trPr>
          <w:trHeight w:val="278"/>
        </w:trPr>
        <w:tc>
          <w:tcPr>
            <w:tcW w:w="2547" w:type="dxa"/>
            <w:vMerge/>
          </w:tcPr>
          <w:p w14:paraId="738C4F4C" w14:textId="77777777" w:rsidR="00B5798D" w:rsidRPr="00B5798D" w:rsidRDefault="00B5798D" w:rsidP="00130800">
            <w:pPr>
              <w:spacing w:after="160"/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5026131B" w14:textId="7ABCC295" w:rsidR="00B5798D" w:rsidRPr="00C64955" w:rsidRDefault="00C64955" w:rsidP="00130800">
            <w:pPr>
              <w:spacing w:after="160"/>
              <w:rPr>
                <w:lang w:val="en-US"/>
              </w:rPr>
            </w:pPr>
            <w:r w:rsidRPr="00C64955">
              <w:rPr>
                <w:lang w:val="en-US"/>
              </w:rPr>
              <w:t xml:space="preserve">χ2 </w:t>
            </w:r>
            <w:r w:rsidR="00B5798D" w:rsidRPr="00C64955">
              <w:rPr>
                <w:lang w:val="en-US"/>
              </w:rPr>
              <w:t>= 60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2;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 xml:space="preserve">. </w:t>
            </w:r>
            <w:r w:rsidRPr="00C64955">
              <w:rPr>
                <w:lang w:val="en-US"/>
              </w:rPr>
              <w:t xml:space="preserve">χ2 for trend </w:t>
            </w:r>
            <w:r w:rsidR="00B5798D" w:rsidRPr="00C64955">
              <w:rPr>
                <w:lang w:val="en-US"/>
              </w:rPr>
              <w:t>= 38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2;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>.</w:t>
            </w:r>
          </w:p>
        </w:tc>
      </w:tr>
      <w:tr w:rsidR="00130800" w:rsidRPr="00B5798D" w14:paraId="734D9DDF" w14:textId="77777777" w:rsidTr="0001330B">
        <w:tc>
          <w:tcPr>
            <w:tcW w:w="2547" w:type="dxa"/>
            <w:vMerge w:val="restart"/>
          </w:tcPr>
          <w:p w14:paraId="2825E690" w14:textId="77777777" w:rsidR="00130800" w:rsidRPr="00B5798D" w:rsidRDefault="00130800" w:rsidP="00130800">
            <w:pPr>
              <w:spacing w:after="160"/>
            </w:pPr>
            <w:r w:rsidRPr="00B5798D">
              <w:t>4</w:t>
            </w:r>
          </w:p>
        </w:tc>
        <w:tc>
          <w:tcPr>
            <w:tcW w:w="2410" w:type="dxa"/>
          </w:tcPr>
          <w:p w14:paraId="510AE97E" w14:textId="1E223CF1" w:rsidR="00130800" w:rsidRPr="00B5798D" w:rsidRDefault="00B5798D" w:rsidP="00004BA3">
            <w:pPr>
              <w:spacing w:after="160"/>
              <w:jc w:val="center"/>
            </w:pPr>
            <w:r w:rsidRPr="00B5798D">
              <w:t>A</w:t>
            </w:r>
          </w:p>
        </w:tc>
        <w:tc>
          <w:tcPr>
            <w:tcW w:w="3543" w:type="dxa"/>
          </w:tcPr>
          <w:p w14:paraId="2AAC760B" w14:textId="77777777" w:rsidR="00130800" w:rsidRPr="00B5798D" w:rsidRDefault="00130800" w:rsidP="00130800">
            <w:pPr>
              <w:spacing w:after="160"/>
            </w:pPr>
            <w:r w:rsidRPr="00B5798D">
              <w:t>0%</w:t>
            </w:r>
          </w:p>
        </w:tc>
      </w:tr>
      <w:tr w:rsidR="00130800" w:rsidRPr="00B5798D" w14:paraId="61805DB2" w14:textId="77777777" w:rsidTr="0001330B">
        <w:tc>
          <w:tcPr>
            <w:tcW w:w="2547" w:type="dxa"/>
            <w:vMerge/>
          </w:tcPr>
          <w:p w14:paraId="03AE60A9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53BEF58E" w14:textId="6D61AE32" w:rsidR="00130800" w:rsidRPr="00B5798D" w:rsidRDefault="00B5798D" w:rsidP="00004BA3">
            <w:pPr>
              <w:spacing w:after="160"/>
              <w:jc w:val="center"/>
            </w:pPr>
            <w:r w:rsidRPr="00B5798D">
              <w:t>B</w:t>
            </w:r>
          </w:p>
        </w:tc>
        <w:tc>
          <w:tcPr>
            <w:tcW w:w="3543" w:type="dxa"/>
          </w:tcPr>
          <w:p w14:paraId="5FDF3156" w14:textId="7DFEEEF4" w:rsidR="00130800" w:rsidRPr="00B5798D" w:rsidRDefault="00130800" w:rsidP="00130800">
            <w:pPr>
              <w:spacing w:after="160"/>
            </w:pPr>
            <w:r w:rsidRPr="00B5798D">
              <w:t>3</w:t>
            </w:r>
            <w:r w:rsidR="00C64955">
              <w:t>.</w:t>
            </w:r>
            <w:r w:rsidRPr="00B5798D">
              <w:t>8%</w:t>
            </w:r>
          </w:p>
        </w:tc>
      </w:tr>
      <w:tr w:rsidR="00130800" w:rsidRPr="00B5798D" w14:paraId="178D0F0C" w14:textId="77777777" w:rsidTr="0001330B">
        <w:tc>
          <w:tcPr>
            <w:tcW w:w="2547" w:type="dxa"/>
            <w:vMerge/>
          </w:tcPr>
          <w:p w14:paraId="14976815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0F80AF1F" w14:textId="4C31D9DD" w:rsidR="00130800" w:rsidRPr="00B5798D" w:rsidRDefault="00B5798D" w:rsidP="00004BA3">
            <w:pPr>
              <w:spacing w:after="160"/>
              <w:jc w:val="center"/>
            </w:pPr>
            <w:r w:rsidRPr="00B5798D">
              <w:t>C</w:t>
            </w:r>
          </w:p>
        </w:tc>
        <w:tc>
          <w:tcPr>
            <w:tcW w:w="3543" w:type="dxa"/>
          </w:tcPr>
          <w:p w14:paraId="56CAE24C" w14:textId="09A7752A" w:rsidR="00130800" w:rsidRPr="00B5798D" w:rsidRDefault="00130800" w:rsidP="00130800">
            <w:pPr>
              <w:spacing w:after="160"/>
            </w:pPr>
            <w:r w:rsidRPr="00B5798D">
              <w:t>9</w:t>
            </w:r>
            <w:r w:rsidR="00C64955">
              <w:t>.</w:t>
            </w:r>
            <w:r w:rsidRPr="00B5798D">
              <w:t>4%</w:t>
            </w:r>
          </w:p>
        </w:tc>
      </w:tr>
      <w:tr w:rsidR="00130800" w:rsidRPr="00B5798D" w14:paraId="491DBA99" w14:textId="77777777" w:rsidTr="0001330B">
        <w:tc>
          <w:tcPr>
            <w:tcW w:w="2547" w:type="dxa"/>
            <w:vMerge/>
          </w:tcPr>
          <w:p w14:paraId="198704BF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6BCDCE81" w14:textId="539CC56D" w:rsidR="00130800" w:rsidRPr="00B5798D" w:rsidRDefault="00B5798D" w:rsidP="00004BA3">
            <w:pPr>
              <w:spacing w:after="160"/>
              <w:jc w:val="center"/>
            </w:pPr>
            <w:r w:rsidRPr="00B5798D">
              <w:t>D</w:t>
            </w:r>
          </w:p>
        </w:tc>
        <w:tc>
          <w:tcPr>
            <w:tcW w:w="3543" w:type="dxa"/>
          </w:tcPr>
          <w:p w14:paraId="517810C4" w14:textId="464E220F" w:rsidR="00130800" w:rsidRPr="00B5798D" w:rsidRDefault="00130800" w:rsidP="00130800">
            <w:pPr>
              <w:spacing w:after="160"/>
            </w:pPr>
            <w:r w:rsidRPr="00B5798D">
              <w:t>47</w:t>
            </w:r>
            <w:r w:rsidR="00C64955">
              <w:t>.</w:t>
            </w:r>
            <w:r w:rsidRPr="00B5798D">
              <w:t>8%</w:t>
            </w:r>
          </w:p>
        </w:tc>
      </w:tr>
      <w:tr w:rsidR="00B5798D" w:rsidRPr="0001330B" w14:paraId="7517DCCA" w14:textId="77777777" w:rsidTr="0001330B">
        <w:trPr>
          <w:trHeight w:val="335"/>
        </w:trPr>
        <w:tc>
          <w:tcPr>
            <w:tcW w:w="2547" w:type="dxa"/>
            <w:vMerge/>
          </w:tcPr>
          <w:p w14:paraId="148C63C4" w14:textId="77777777" w:rsidR="00B5798D" w:rsidRPr="00B5798D" w:rsidRDefault="00B5798D" w:rsidP="00130800">
            <w:pPr>
              <w:spacing w:after="160"/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5B949395" w14:textId="0A296CFA" w:rsidR="00B5798D" w:rsidRPr="00C64955" w:rsidRDefault="00C64955" w:rsidP="00130800">
            <w:pPr>
              <w:spacing w:after="160"/>
              <w:rPr>
                <w:lang w:val="en-US"/>
              </w:rPr>
            </w:pPr>
            <w:r w:rsidRPr="00C64955">
              <w:rPr>
                <w:lang w:val="en-US"/>
              </w:rPr>
              <w:t xml:space="preserve">χ2 </w:t>
            </w:r>
            <w:r w:rsidR="00B5798D" w:rsidRPr="00C64955">
              <w:rPr>
                <w:lang w:val="en-US"/>
              </w:rPr>
              <w:t>= 57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8;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 xml:space="preserve">. </w:t>
            </w:r>
            <w:r w:rsidRPr="00C64955">
              <w:rPr>
                <w:lang w:val="en-US"/>
              </w:rPr>
              <w:t xml:space="preserve">χ2 for trend </w:t>
            </w:r>
            <w:r w:rsidR="00B5798D" w:rsidRPr="00C64955">
              <w:rPr>
                <w:lang w:val="en-US"/>
              </w:rPr>
              <w:t>= 35</w:t>
            </w:r>
            <w:r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8;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>.</w:t>
            </w:r>
          </w:p>
        </w:tc>
      </w:tr>
      <w:tr w:rsidR="00130800" w:rsidRPr="00B5798D" w14:paraId="274603C4" w14:textId="77777777" w:rsidTr="0001330B">
        <w:tc>
          <w:tcPr>
            <w:tcW w:w="2547" w:type="dxa"/>
            <w:vMerge w:val="restart"/>
          </w:tcPr>
          <w:p w14:paraId="3FEA9142" w14:textId="77777777" w:rsidR="00130800" w:rsidRPr="00B5798D" w:rsidRDefault="00130800" w:rsidP="00130800">
            <w:pPr>
              <w:spacing w:after="160"/>
            </w:pPr>
            <w:r w:rsidRPr="00B5798D">
              <w:t>5</w:t>
            </w:r>
          </w:p>
        </w:tc>
        <w:tc>
          <w:tcPr>
            <w:tcW w:w="2410" w:type="dxa"/>
          </w:tcPr>
          <w:p w14:paraId="24D35CCE" w14:textId="2B6C9581" w:rsidR="00130800" w:rsidRPr="00B5798D" w:rsidRDefault="00B5798D" w:rsidP="00004BA3">
            <w:pPr>
              <w:spacing w:after="160"/>
              <w:jc w:val="center"/>
            </w:pPr>
            <w:r w:rsidRPr="00B5798D">
              <w:t>A</w:t>
            </w:r>
          </w:p>
        </w:tc>
        <w:tc>
          <w:tcPr>
            <w:tcW w:w="3543" w:type="dxa"/>
          </w:tcPr>
          <w:p w14:paraId="5B9C1DC8" w14:textId="77777777" w:rsidR="00130800" w:rsidRPr="00B5798D" w:rsidRDefault="00130800" w:rsidP="00130800">
            <w:pPr>
              <w:spacing w:after="160"/>
            </w:pPr>
            <w:r w:rsidRPr="00B5798D">
              <w:t>0%</w:t>
            </w:r>
          </w:p>
        </w:tc>
      </w:tr>
      <w:tr w:rsidR="00130800" w:rsidRPr="00B5798D" w14:paraId="1EF42D6A" w14:textId="77777777" w:rsidTr="0001330B">
        <w:tc>
          <w:tcPr>
            <w:tcW w:w="2547" w:type="dxa"/>
            <w:vMerge/>
          </w:tcPr>
          <w:p w14:paraId="440B4853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7FE274FC" w14:textId="2653C794" w:rsidR="00130800" w:rsidRPr="00B5798D" w:rsidRDefault="00B5798D" w:rsidP="00004BA3">
            <w:pPr>
              <w:spacing w:after="160"/>
              <w:jc w:val="center"/>
            </w:pPr>
            <w:r w:rsidRPr="00B5798D">
              <w:t>B</w:t>
            </w:r>
          </w:p>
        </w:tc>
        <w:tc>
          <w:tcPr>
            <w:tcW w:w="3543" w:type="dxa"/>
          </w:tcPr>
          <w:p w14:paraId="2DAEE9C6" w14:textId="3FB094DA" w:rsidR="00130800" w:rsidRPr="00B5798D" w:rsidRDefault="00130800" w:rsidP="00130800">
            <w:pPr>
              <w:spacing w:after="160"/>
            </w:pPr>
            <w:r w:rsidRPr="00B5798D">
              <w:t>2</w:t>
            </w:r>
            <w:r w:rsidR="00C64955">
              <w:t>.</w:t>
            </w:r>
            <w:r w:rsidRPr="00B5798D">
              <w:t>5%</w:t>
            </w:r>
          </w:p>
        </w:tc>
      </w:tr>
      <w:tr w:rsidR="00130800" w:rsidRPr="00B5798D" w14:paraId="139E2D64" w14:textId="77777777" w:rsidTr="0001330B">
        <w:tc>
          <w:tcPr>
            <w:tcW w:w="2547" w:type="dxa"/>
            <w:vMerge/>
          </w:tcPr>
          <w:p w14:paraId="187F0B9C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5CED19D1" w14:textId="1191B8E7" w:rsidR="00130800" w:rsidRPr="00B5798D" w:rsidRDefault="00B5798D" w:rsidP="00004BA3">
            <w:pPr>
              <w:spacing w:after="160"/>
              <w:jc w:val="center"/>
            </w:pPr>
            <w:r w:rsidRPr="00B5798D">
              <w:t>C</w:t>
            </w:r>
          </w:p>
        </w:tc>
        <w:tc>
          <w:tcPr>
            <w:tcW w:w="3543" w:type="dxa"/>
          </w:tcPr>
          <w:p w14:paraId="0F043EF8" w14:textId="05498673" w:rsidR="00130800" w:rsidRPr="00B5798D" w:rsidRDefault="00130800" w:rsidP="00130800">
            <w:pPr>
              <w:spacing w:after="160"/>
            </w:pPr>
            <w:r w:rsidRPr="00B5798D">
              <w:t>10</w:t>
            </w:r>
            <w:r w:rsidR="00C64955">
              <w:t>.</w:t>
            </w:r>
            <w:r w:rsidRPr="00B5798D">
              <w:t>2%</w:t>
            </w:r>
          </w:p>
        </w:tc>
      </w:tr>
      <w:tr w:rsidR="00130800" w:rsidRPr="00B5798D" w14:paraId="21CDC355" w14:textId="77777777" w:rsidTr="0001330B">
        <w:tc>
          <w:tcPr>
            <w:tcW w:w="2547" w:type="dxa"/>
            <w:vMerge/>
          </w:tcPr>
          <w:p w14:paraId="36401A90" w14:textId="77777777" w:rsidR="00130800" w:rsidRPr="00B5798D" w:rsidRDefault="00130800" w:rsidP="00130800">
            <w:pPr>
              <w:spacing w:after="160"/>
            </w:pPr>
          </w:p>
        </w:tc>
        <w:tc>
          <w:tcPr>
            <w:tcW w:w="2410" w:type="dxa"/>
          </w:tcPr>
          <w:p w14:paraId="5447D9DB" w14:textId="298859E2" w:rsidR="00130800" w:rsidRPr="00B5798D" w:rsidRDefault="00B5798D" w:rsidP="00004BA3">
            <w:pPr>
              <w:spacing w:after="160"/>
              <w:jc w:val="center"/>
            </w:pPr>
            <w:r w:rsidRPr="00B5798D">
              <w:t>D</w:t>
            </w:r>
          </w:p>
        </w:tc>
        <w:tc>
          <w:tcPr>
            <w:tcW w:w="3543" w:type="dxa"/>
          </w:tcPr>
          <w:p w14:paraId="637D94B4" w14:textId="4D412D7E" w:rsidR="00130800" w:rsidRPr="00B5798D" w:rsidRDefault="00130800" w:rsidP="00130800">
            <w:pPr>
              <w:spacing w:after="160"/>
            </w:pPr>
            <w:r w:rsidRPr="00B5798D">
              <w:t>44</w:t>
            </w:r>
            <w:r w:rsidR="00C64955">
              <w:t>.</w:t>
            </w:r>
            <w:r w:rsidRPr="00B5798D">
              <w:t>0%</w:t>
            </w:r>
          </w:p>
        </w:tc>
      </w:tr>
      <w:tr w:rsidR="00B5798D" w:rsidRPr="0001330B" w14:paraId="190011DE" w14:textId="77777777" w:rsidTr="0001330B">
        <w:trPr>
          <w:trHeight w:val="238"/>
        </w:trPr>
        <w:tc>
          <w:tcPr>
            <w:tcW w:w="2547" w:type="dxa"/>
            <w:vMerge/>
          </w:tcPr>
          <w:p w14:paraId="6DCB548A" w14:textId="77777777" w:rsidR="00B5798D" w:rsidRPr="00B5798D" w:rsidRDefault="00B5798D" w:rsidP="00130800">
            <w:pPr>
              <w:spacing w:after="160"/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26B8F3A" w14:textId="012313F9" w:rsidR="00B5798D" w:rsidRPr="00C64955" w:rsidRDefault="00C64955" w:rsidP="00130800">
            <w:pPr>
              <w:spacing w:after="160"/>
              <w:rPr>
                <w:lang w:val="en-US"/>
              </w:rPr>
            </w:pPr>
            <w:r w:rsidRPr="00C64955">
              <w:rPr>
                <w:lang w:val="en-US"/>
              </w:rPr>
              <w:t xml:space="preserve">χ2 </w:t>
            </w:r>
            <w:r w:rsidR="00B5798D" w:rsidRPr="00C64955">
              <w:rPr>
                <w:lang w:val="en-US"/>
              </w:rPr>
              <w:t>= 57</w:t>
            </w:r>
            <w:r w:rsidRPr="00C64955"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1;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 xml:space="preserve">. </w:t>
            </w:r>
            <w:r w:rsidRPr="00C64955">
              <w:rPr>
                <w:lang w:val="en-US"/>
              </w:rPr>
              <w:t xml:space="preserve">χ2 for trend </w:t>
            </w:r>
            <w:r w:rsidR="00B5798D" w:rsidRPr="00C64955">
              <w:rPr>
                <w:lang w:val="en-US"/>
              </w:rPr>
              <w:t>= 39</w:t>
            </w:r>
            <w:r w:rsidRPr="00C64955">
              <w:rPr>
                <w:lang w:val="en-US"/>
              </w:rPr>
              <w:t>.</w:t>
            </w:r>
            <w:r w:rsidR="00B5798D" w:rsidRPr="00C64955">
              <w:rPr>
                <w:lang w:val="en-US"/>
              </w:rPr>
              <w:t xml:space="preserve">0; </w:t>
            </w:r>
            <w:r w:rsidR="00004BA3" w:rsidRPr="00004BA3">
              <w:rPr>
                <w:lang w:val="en-US"/>
              </w:rPr>
              <w:t>p&lt;0.001</w:t>
            </w:r>
            <w:r w:rsidR="00B5798D" w:rsidRPr="00C64955">
              <w:rPr>
                <w:lang w:val="en-US"/>
              </w:rPr>
              <w:t>.</w:t>
            </w:r>
          </w:p>
        </w:tc>
      </w:tr>
    </w:tbl>
    <w:p w14:paraId="71FE393E" w14:textId="718F47FB" w:rsidR="00122EA4" w:rsidRPr="00C64955" w:rsidRDefault="00122EA4" w:rsidP="003E79B9">
      <w:pPr>
        <w:rPr>
          <w:lang w:val="en-US"/>
        </w:rPr>
      </w:pPr>
    </w:p>
    <w:sectPr w:rsidR="00122EA4" w:rsidRPr="00C64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B9"/>
    <w:rsid w:val="00004BA3"/>
    <w:rsid w:val="0001330B"/>
    <w:rsid w:val="00122EA4"/>
    <w:rsid w:val="00130800"/>
    <w:rsid w:val="003E79B9"/>
    <w:rsid w:val="00573CFC"/>
    <w:rsid w:val="00B5798D"/>
    <w:rsid w:val="00C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4F24"/>
  <w15:chartTrackingRefBased/>
  <w15:docId w15:val="{B151FF81-8293-476D-ACDA-CF9989A7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 Ayuso García</cp:lastModifiedBy>
  <cp:revision>2</cp:revision>
  <cp:lastPrinted>2021-04-25T16:55:00Z</cp:lastPrinted>
  <dcterms:created xsi:type="dcterms:W3CDTF">2021-06-21T19:56:00Z</dcterms:created>
  <dcterms:modified xsi:type="dcterms:W3CDTF">2021-06-21T19:56:00Z</dcterms:modified>
</cp:coreProperties>
</file>