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7E3D1E"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aps/>
          <w:color w:val="000000" w:themeColor="text1"/>
          <w:kern w:val="0"/>
          <w:sz w:val="24"/>
          <w:szCs w:val="24"/>
        </w:rPr>
      </w:pPr>
      <w:r>
        <w:rPr>
          <w:rFonts w:ascii="Times New Roman" w:eastAsia="Whitney-Book" w:hAnsi="Times New Roman" w:cs="Times New Roman"/>
          <w:caps/>
          <w:color w:val="000000" w:themeColor="text1"/>
          <w:kern w:val="0"/>
          <w:sz w:val="24"/>
          <w:szCs w:val="24"/>
        </w:rPr>
        <w:t>Supplementary materials</w:t>
      </w:r>
    </w:p>
    <w:p w14:paraId="47FB69E9" w14:textId="77777777" w:rsidR="00161043" w:rsidRDefault="00161043" w:rsidP="00161043">
      <w:pPr>
        <w:adjustRightInd w:val="0"/>
        <w:snapToGrid w:val="0"/>
        <w:spacing w:beforeLines="50" w:before="156" w:after="12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Materials</w:t>
      </w:r>
    </w:p>
    <w:p w14:paraId="131AEA76"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hAnsi="Times New Roman" w:cs="Times New Roman"/>
          <w:color w:val="000000" w:themeColor="text1"/>
          <w:sz w:val="24"/>
          <w:szCs w:val="24"/>
        </w:rPr>
        <w:t>Metabolites were purchased as follows: disodium succinate (W327700), sodium fumarate dibasic (F1506), sodium L-lactate (L7022), D-2-hydroxyglutarate disodium salt (H8378), sodium pyruvate (P2256), adenosine (A4036), inosine (I4125), carnosine (C9625), phenylacetate (108723), phenylalanine (P2126), 1-methylhistidine (67520), 3-methylhistidine (M9005), 4-hydroxyproline (8.16007), 4-hydroxybutyrate (G-001), creatine (C3630), tryptophan (T9753), tyrosine (T3754), methionine (M9375), glutamate (1446600). Amino acid standards for protein hydrolysates (A9781) were from Sigma. Drugs were from Selleck and Sigma, such as dexamethasone (D4902, Sigma), ivosidenib (AG-120, S8206, Selleck)</w:t>
      </w:r>
      <w:r>
        <w:rPr>
          <w:rFonts w:ascii="Times New Roman" w:hAnsi="Times New Roman" w:cs="Times New Roman"/>
          <w:color w:val="000000" w:themeColor="text1"/>
          <w:sz w:val="24"/>
          <w:szCs w:val="24"/>
          <w:lang w:val="hr-HR"/>
        </w:rPr>
        <w:t xml:space="preserve">, </w:t>
      </w:r>
      <w:r>
        <w:rPr>
          <w:rFonts w:ascii="Times New Roman" w:hAnsi="Times New Roman" w:cs="Times New Roman"/>
          <w:color w:val="000000" w:themeColor="text1"/>
          <w:sz w:val="24"/>
          <w:szCs w:val="24"/>
        </w:rPr>
        <w:t xml:space="preserve">vorasidenib (S8611, Selleck), AGI-6780 (S7241, Selleck), BAY 1436032 (S8530, Selleck). antibodies were from: anti-beta-actin antibody (AA128, Beyotime), anti-ADH7 antibody (ab186408, Abcam), anti-DHRS3 antibody (NBP1-80846, Novusbio), anti-GAPDH antibody (AF0006, Beyotime), anti-HMGCR antibody (ab174830, Abcam), anti-HSD17B7 antibody (16925-1-AP, Proteintech), anti-IDH1 antibody (ab172964, Abcam), anti-IDH1 antibody (ab230949, Abcam), anti-IDH1 antibody (ab113232, Abcam), anti-IDH1 (R132H) antibody (ab198123, Abcam), anti-IDH1 (R132H) antibody (DIA-H09, Dianovo), anti-IDH1 (R132H) antibody (SAB4200548, Sigma), anti-MYH antibody (sc-376157, SCBT), anti-MYH1/2/3 antibody (sc-53092, SCBT), and anti-skeletal muscle antibody (sc-32733, SCBT). Enzymes were from NEB: DNase I (RNase-Free) (M0303S, NEB), endonuclease AgeI-HF (R3552S, NEB), endonuclease BsmBI-v2(r0739s, NEB), endonuclease EcoRI-HF (R3101S, NEB), M-MuLV reverse transcriptase (M0253S, NEB), NEBuilder (E2621L, NEB), and Q5 High-Fidelity DNA polymerase (M0491L, NEB). The columns used for the separation of metabolites mainly from Phenomenex, listed as, Chirex 3126, LC Column 150 x 4.6 mm (00F-3126-E0,), Kinetex 2.6 µm PS C18, LC Column 150 x 2.1mm (00B-4780-E0, Phenomenex), SecurityGuard ULTRA Holder (AJ0-9000, Phenomenex), and SecurityGuard™ ULTRA Cartridges (AJ0-9532, Phenomenex). Cell CT26.wt colon carcinoma cell (CRL-2638) was from ATCC. HEK293 (GNHu 43) and C2C12 murine myoblast (SCSP-505) were from the Cell Bank of the Typical Culture Preservation Committee of the Chinese Academy of Sciences. </w:t>
      </w:r>
    </w:p>
    <w:p w14:paraId="0AA16A0B" w14:textId="77777777" w:rsidR="00161043" w:rsidRDefault="00161043" w:rsidP="00161043">
      <w:pPr>
        <w:adjustRightInd w:val="0"/>
        <w:snapToGrid w:val="0"/>
        <w:spacing w:beforeLines="50" w:before="156" w:after="120" w:line="360" w:lineRule="auto"/>
        <w:rPr>
          <w:rFonts w:ascii="Times New Roman" w:hAnsi="Times New Roman" w:cs="Times New Roman"/>
          <w:color w:val="000000" w:themeColor="text1"/>
          <w:sz w:val="24"/>
          <w:szCs w:val="24"/>
        </w:rPr>
      </w:pPr>
      <w:r>
        <w:rPr>
          <w:rFonts w:ascii="Times New Roman" w:eastAsia="Whitney-Book" w:hAnsi="Times New Roman" w:cs="Times New Roman"/>
          <w:color w:val="000000" w:themeColor="text1"/>
          <w:kern w:val="0"/>
          <w:sz w:val="24"/>
          <w:szCs w:val="24"/>
        </w:rPr>
        <w:lastRenderedPageBreak/>
        <w:t xml:space="preserve">Figure S1. </w:t>
      </w:r>
      <w:r>
        <w:rPr>
          <w:rFonts w:ascii="Times New Roman" w:hAnsi="Times New Roman" w:cs="Times New Roman"/>
          <w:color w:val="000000" w:themeColor="text1"/>
          <w:sz w:val="24"/>
          <w:szCs w:val="24"/>
        </w:rPr>
        <w:t xml:space="preserve">The gene expression profiles across all tumor samples/paired normal tissues and mutation profile of IDH1 transcript. (A) Mutation profile of IDH1 transcript. (B) Overall survival of the IDH1 mutation (n=627) and IDH1 unaltered groups (n=10,175) with pan-cancer types from The Cancer Genome Atlas. The data were catalyzed from cBioportal Portal (https://www.cbioportal.org/). (C) The gene expression profile across all tumor samples and paired normal tissues. Each dot represents the expression of one sample. </w:t>
      </w:r>
    </w:p>
    <w:p w14:paraId="6D6DCBCF" w14:textId="77777777" w:rsidR="00161043" w:rsidRDefault="00161043" w:rsidP="00161043">
      <w:pPr>
        <w:adjustRightInd w:val="0"/>
        <w:snapToGrid w:val="0"/>
        <w:spacing w:beforeLines="50" w:before="156" w:after="120" w:line="360" w:lineRule="auto"/>
        <w:rPr>
          <w:rFonts w:ascii="Times New Roman" w:hAnsi="Times New Roman" w:cs="Times New Roman"/>
          <w:color w:val="000000" w:themeColor="text1"/>
          <w:sz w:val="24"/>
          <w:szCs w:val="24"/>
        </w:rPr>
      </w:pPr>
      <w:r>
        <w:rPr>
          <w:rFonts w:ascii="Times New Roman" w:eastAsia="Whitney-Book" w:hAnsi="Times New Roman" w:cs="Times New Roman"/>
          <w:color w:val="000000" w:themeColor="text1"/>
          <w:kern w:val="0"/>
          <w:sz w:val="24"/>
          <w:szCs w:val="24"/>
        </w:rPr>
        <w:t xml:space="preserve">Figure S2. The IDH1 vector used for animal studies. (A) </w:t>
      </w:r>
      <w:r>
        <w:rPr>
          <w:rFonts w:ascii="Times New Roman" w:hAnsi="Times New Roman" w:cs="Times New Roman"/>
          <w:color w:val="000000" w:themeColor="text1"/>
          <w:sz w:val="24"/>
          <w:szCs w:val="24"/>
        </w:rPr>
        <w:t>The sequence of the IDH1 (R132H) mutation at the position of rs121913500. (B) Western blot of IDH1 (R132H) mutation and wild-type IDH1 protein expression in IDH1 mutated cancer and wild-type cancer groups. (C) Column plot of mRNA expression of IDH1 in IDH1 mutated cancer group and wild type cancer group.</w:t>
      </w:r>
    </w:p>
    <w:p w14:paraId="2830BDA9" w14:textId="77777777" w:rsidR="00161043" w:rsidRDefault="00161043" w:rsidP="00161043">
      <w:pPr>
        <w:adjustRightInd w:val="0"/>
        <w:snapToGrid w:val="0"/>
        <w:spacing w:beforeLines="50" w:before="156" w:after="120" w:line="360" w:lineRule="auto"/>
        <w:rPr>
          <w:rFonts w:ascii="Times New Roman" w:hAnsi="Times New Roman" w:cs="Times New Roman"/>
          <w:color w:val="000000" w:themeColor="text1"/>
          <w:sz w:val="24"/>
          <w:szCs w:val="24"/>
        </w:rPr>
      </w:pPr>
      <w:r>
        <w:rPr>
          <w:rFonts w:ascii="Times New Roman" w:eastAsia="Whitney-Book" w:hAnsi="Times New Roman" w:cs="Times New Roman"/>
          <w:color w:val="000000" w:themeColor="text1"/>
          <w:kern w:val="0"/>
          <w:sz w:val="24"/>
          <w:szCs w:val="24"/>
        </w:rPr>
        <w:t>Figure S3. (A)</w:t>
      </w:r>
      <w:r>
        <w:rPr>
          <w:rFonts w:ascii="Times New Roman" w:hAnsi="Times New Roman" w:cs="Times New Roman"/>
          <w:color w:val="000000" w:themeColor="text1"/>
          <w:sz w:val="24"/>
          <w:szCs w:val="24"/>
        </w:rPr>
        <w:t xml:space="preserve"> Typical immunofluorescence morphological changes after metabolites D2HG treatment. (B) Column plot of myotube width in NTC and D2HG treated </w:t>
      </w:r>
      <w:r>
        <w:rPr>
          <w:rFonts w:ascii="Times New Roman" w:eastAsia="SimSun" w:hAnsi="Times New Roman" w:cs="Times New Roman"/>
          <w:color w:val="000000" w:themeColor="text1"/>
          <w:kern w:val="0"/>
          <w:sz w:val="24"/>
          <w:szCs w:val="24"/>
        </w:rPr>
        <w:t xml:space="preserve">well differentiated myotubes. </w:t>
      </w:r>
      <w:r>
        <w:rPr>
          <w:rFonts w:ascii="Times New Roman" w:hAnsi="Times New Roman" w:cs="Times New Roman"/>
          <w:color w:val="000000" w:themeColor="text1"/>
          <w:sz w:val="24"/>
          <w:szCs w:val="24"/>
        </w:rPr>
        <w:t xml:space="preserve">One-way ANOVA with post hoc Tukey’s multiple-comparison test (****p&lt;1e-4, ***p&lt;2e-4, **p&lt;2e-3, *p&lt;0.033). (C) Column plot of mRNA expression of E3 ligases </w:t>
      </w:r>
      <w:r>
        <w:rPr>
          <w:rFonts w:ascii="Times New Roman" w:hAnsi="Times New Roman" w:cs="Times New Roman"/>
          <w:i/>
          <w:iCs/>
          <w:color w:val="000000" w:themeColor="text1"/>
          <w:sz w:val="24"/>
          <w:szCs w:val="24"/>
        </w:rPr>
        <w:t>Trim63</w:t>
      </w:r>
      <w:r>
        <w:rPr>
          <w:rFonts w:ascii="Times New Roman" w:hAnsi="Times New Roman" w:cs="Times New Roman"/>
          <w:color w:val="000000" w:themeColor="text1"/>
          <w:sz w:val="24"/>
          <w:szCs w:val="24"/>
        </w:rPr>
        <w:t xml:space="preserve"> and </w:t>
      </w:r>
      <w:r>
        <w:rPr>
          <w:rFonts w:ascii="Times New Roman" w:hAnsi="Times New Roman" w:cs="Times New Roman"/>
          <w:i/>
          <w:iCs/>
          <w:color w:val="000000" w:themeColor="text1"/>
          <w:sz w:val="24"/>
          <w:szCs w:val="24"/>
        </w:rPr>
        <w:t>Fbxo32</w:t>
      </w:r>
      <w:r>
        <w:rPr>
          <w:rFonts w:ascii="Times New Roman" w:hAnsi="Times New Roman" w:cs="Times New Roman"/>
          <w:color w:val="000000" w:themeColor="text1"/>
          <w:sz w:val="24"/>
          <w:szCs w:val="24"/>
        </w:rPr>
        <w:t xml:space="preserve">. One-way ANOVA with post hoc Tukey’s multiple-comparison test (****p&lt;1e-4, ***p&lt;2e-4, **p&lt;2e-3, *p&lt;0.033). (D) Column plot of mRNA expression of E2 </w:t>
      </w:r>
      <w:r>
        <w:rPr>
          <w:rFonts w:ascii="Times New Roman" w:eastAsia="SimSun" w:hAnsi="Times New Roman" w:cs="Times New Roman"/>
          <w:color w:val="000000" w:themeColor="text1"/>
          <w:kern w:val="0"/>
          <w:sz w:val="24"/>
          <w:szCs w:val="24"/>
        </w:rPr>
        <w:t xml:space="preserve">ubiquitin conjugating enzyme </w:t>
      </w:r>
      <w:r>
        <w:rPr>
          <w:rFonts w:ascii="Times New Roman" w:eastAsia="SimSun" w:hAnsi="Times New Roman" w:cs="Times New Roman"/>
          <w:i/>
          <w:iCs/>
          <w:color w:val="000000" w:themeColor="text1"/>
          <w:kern w:val="0"/>
          <w:sz w:val="24"/>
          <w:szCs w:val="24"/>
        </w:rPr>
        <w:t>Ube2d1</w:t>
      </w:r>
      <w:r>
        <w:rPr>
          <w:rFonts w:ascii="Times New Roman" w:hAnsi="Times New Roman" w:cs="Times New Roman"/>
          <w:color w:val="000000" w:themeColor="text1"/>
          <w:sz w:val="24"/>
          <w:szCs w:val="24"/>
        </w:rPr>
        <w:t>. One-way ANOVA with post hoc Tukey’s multiple-comparison test (****p&lt;1e-4, ***p&lt;2e-4, **p&lt;2e-3, *p&lt;0.033).</w:t>
      </w:r>
    </w:p>
    <w:p w14:paraId="70E8C0CD"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Figure S4. The overall metabolic pathway and the relative concentration of metabolites of the four groups.</w:t>
      </w:r>
    </w:p>
    <w:p w14:paraId="2C397275" w14:textId="77777777" w:rsidR="00161043" w:rsidRDefault="00161043" w:rsidP="00161043">
      <w:pPr>
        <w:adjustRightInd w:val="0"/>
        <w:snapToGrid w:val="0"/>
        <w:spacing w:before="240"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Figure S5. M</w:t>
      </w:r>
      <w:r>
        <w:rPr>
          <w:rFonts w:ascii="Times New Roman" w:eastAsia="SimSun" w:hAnsi="Times New Roman" w:cs="Times New Roman"/>
          <w:color w:val="000000" w:themeColor="text1"/>
          <w:kern w:val="0"/>
          <w:sz w:val="24"/>
          <w:szCs w:val="24"/>
        </w:rPr>
        <w:t>etabolic pathway and the relative concentration of metabolites in D2HG-treated myotubes overexpressing D2hgdh.</w:t>
      </w:r>
    </w:p>
    <w:p w14:paraId="32E8C141"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Figure S6. The significantly changed pathway and gene sets between D2HG and NTC-treated well-differentiated myotubes. (A) Gene Ontology analysis revealed the molecular function, biological process, and cellular component between D2HG and NTC treated well-differentiated myotubes. (B) Gene Set Enrichment Analysis of significant Gene sets enriched in D2HG treated well-differentiated myotubes. (C) Gene Set Enrichment Analysis of significant Gene sets enriched in NTC treated well-</w:t>
      </w:r>
      <w:r>
        <w:rPr>
          <w:rFonts w:ascii="Times New Roman" w:eastAsia="Whitney-Book" w:hAnsi="Times New Roman" w:cs="Times New Roman"/>
          <w:color w:val="000000" w:themeColor="text1"/>
          <w:kern w:val="0"/>
          <w:sz w:val="24"/>
          <w:szCs w:val="24"/>
        </w:rPr>
        <w:lastRenderedPageBreak/>
        <w:t>differentiated myotubes. (D) Heat map and gene list correlation profile for all features in the data set.</w:t>
      </w:r>
    </w:p>
    <w:p w14:paraId="264AB0C8"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Figure S7. The significantly changed pathway and gene sets between well-differentiated myotubes overexpression D2hgdh and NTC treated well-differentiated myotubes. (A) Gene Ontology analysis revealed the molecular function, biological process, and cellular component between D2hgdh over-expression well-differentiated myotubes and NTC treated well-differentiated myotubes. (B) Gene Set Enrichment Analysis of significant Gene sets enriched in D2hgdh over-expressing well-differentiated myotubes. (C) Gene Set Enrichment Analysis of significant Gene sets enriched in NTC-treated well-differentiated myotubes. (D) Heat map and gene list correlation profile for all features in the data set.</w:t>
      </w:r>
    </w:p>
    <w:p w14:paraId="1A6CBE27"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Figure S8. The significantly changed pathway and gene sets between D2HG-treated well-differentiated myotubes overexpression D2hgdh and NTC-treated well-differentiated myotubes overexpression D2hgdh. (A) Gene Ontology analysis revealed the molecular function, biological process, and cellular component between D2HG-treated D2hgdh overexpressing well-differentiated myotubes and NTC-treated D2hgdh overexpressing well-differentiated myotubes. (B) Gene Set Enrichment Analysis of significant Gene sets enriched in D2HG-treated D2hgdh over-expression well-differentiated myotubes. (C) Gene Set Enrichment Analysis of significant Gene sets enriched in NTC-treated D2hgdh over-expression well-differentiated myotubes. (D) Heat map and gene list correlation profile of all features in the data set.</w:t>
      </w:r>
    </w:p>
    <w:p w14:paraId="58C79B4F"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Figure S9. The mRNA expression of Ube2d1, Trim63, and Fbxo32 in IDH1(R132H) mutational CT26 cancer and wild-type cancer treated with ivosidenib or NTC. Each group had three biological duplications. One-way ANOVA with post hoc Tukey’s multiple-comparison test (****p&lt;1e-4, ***p&lt;2e-4, **p&lt;2e-3, *p&lt;0.033).</w:t>
      </w:r>
    </w:p>
    <w:p w14:paraId="7C9E07ED"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 xml:space="preserve">Figure S10. The body weight, muscle gastrocnemius area and sera D2HG change in IDH1(R132H) mutational GL261 cancer and wild-type GL261 cancer treated with ivosidenib or NTC. (A) The body weight of mice in the IDH1 (R132H) mutational cancer group and wild-type cancer group treated with ivosidenib or NTC. (B) Typical cross-section histopathological image of muscle gastrocnemius in IDH1 (R132H) mutational cancer and wild type cancer treated with ivosidenib or NTC (Scale bar: </w:t>
      </w:r>
      <w:r>
        <w:rPr>
          <w:rFonts w:ascii="Times New Roman" w:eastAsia="Whitney-Book" w:hAnsi="Times New Roman" w:cs="Times New Roman"/>
          <w:color w:val="000000" w:themeColor="text1"/>
          <w:kern w:val="0"/>
          <w:sz w:val="24"/>
          <w:szCs w:val="24"/>
        </w:rPr>
        <w:lastRenderedPageBreak/>
        <w:t xml:space="preserve">50μm). (C) Column plot of the cross-section area of muscle gastrocnemius in IDH1 (R132H) mutation cancer and wild-type cancer treated with ivosidenib or NTC. One-way ANOVA with post hoc Tukey’s multiple-comparison test (****p&lt;1e-4, ***p&lt;2e-4, **p&lt;2e-3, *p&lt;0.033). (D) Column plot of serum D2HG concentration in IDH1 (R132H) mutational cancer group and wild type cancer group treated with ivosidenib or NTC. One-way ANOVA with post hoc Tukey’s multiple-comparison test (****p&lt;1e-4, ***p&lt;2e-4, **p&lt;2e-3, *p&lt;0.033). </w:t>
      </w:r>
    </w:p>
    <w:p w14:paraId="55A31452"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p>
    <w:p w14:paraId="6C4F6621"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Table S1. Cancer cachexia related metabolites</w:t>
      </w:r>
    </w:p>
    <w:p w14:paraId="3D0DDFBF"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Table S2. Candidate metabolites and the concentration</w:t>
      </w:r>
    </w:p>
    <w:p w14:paraId="584D819F"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 xml:space="preserve">Table S3. Altered genes of cancer </w:t>
      </w:r>
    </w:p>
    <w:p w14:paraId="3072856F"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Table S4. Metabolism related oncogene</w:t>
      </w:r>
    </w:p>
    <w:p w14:paraId="3475B08B"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Table S5. Cancer and cancer patient sex, age, stage, primary tumor, BMI, body weight changed in the past 6 months, idh1 R132H mutation and serum D2HG (ng/ml)</w:t>
      </w:r>
    </w:p>
    <w:p w14:paraId="22028756"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Table S6. D2HG induced metabolites alteration</w:t>
      </w:r>
    </w:p>
    <w:p w14:paraId="560EA29E"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Table S7. D2HG induced gene alteration</w:t>
      </w:r>
    </w:p>
    <w:p w14:paraId="0A815FF8"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Table S8. D2HG induced metabolites alteration in two sets of the experiment, and the joint changed metabolites</w:t>
      </w:r>
    </w:p>
    <w:p w14:paraId="204B5508"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Table S9. D2HG induced gene alteration in two sets of the experiment, and the common changed genes</w:t>
      </w:r>
    </w:p>
    <w:p w14:paraId="0509E6A2"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Table S10. Significantly changed genes and metabolites of D2hgdh</w:t>
      </w:r>
    </w:p>
    <w:p w14:paraId="67E17658"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Table S11. Significantly changed genes and metabolites of D2hghd+D2HG vs. D2hgdh</w:t>
      </w:r>
    </w:p>
    <w:p w14:paraId="4F85EF3A"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Table S12. Significantly changed genes and metabolites of D2hghd + D2HG vs. D2HG</w:t>
      </w:r>
    </w:p>
    <w:p w14:paraId="60375511"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Table S13. Common enriched and depleted genes of D2hgdh</w:t>
      </w:r>
    </w:p>
    <w:p w14:paraId="45C75494"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Table S14. Common enriched and depleted metabolites of D2hgdh</w:t>
      </w:r>
    </w:p>
    <w:p w14:paraId="0B047EB8" w14:textId="77777777" w:rsidR="00161043" w:rsidRDefault="00161043" w:rsidP="00161043">
      <w:pPr>
        <w:adjustRightInd w:val="0"/>
        <w:snapToGrid w:val="0"/>
        <w:spacing w:beforeLines="50" w:before="156" w:after="120" w:line="360" w:lineRule="auto"/>
        <w:rPr>
          <w:rFonts w:ascii="Times New Roman" w:eastAsia="Whitney-Book" w:hAnsi="Times New Roman" w:cs="Times New Roman"/>
          <w:color w:val="000000" w:themeColor="text1"/>
          <w:kern w:val="0"/>
          <w:sz w:val="24"/>
          <w:szCs w:val="24"/>
        </w:rPr>
      </w:pPr>
      <w:r>
        <w:rPr>
          <w:rFonts w:ascii="Times New Roman" w:eastAsia="Whitney-Book" w:hAnsi="Times New Roman" w:cs="Times New Roman"/>
          <w:color w:val="000000" w:themeColor="text1"/>
          <w:kern w:val="0"/>
          <w:sz w:val="24"/>
          <w:szCs w:val="24"/>
        </w:rPr>
        <w:t>Table S15. Primer and oligos</w:t>
      </w:r>
    </w:p>
    <w:p w14:paraId="467E2139" w14:textId="77777777" w:rsidR="00161043" w:rsidRDefault="00161043" w:rsidP="00161043">
      <w:pPr>
        <w:adjustRightInd w:val="0"/>
        <w:snapToGrid w:val="0"/>
        <w:spacing w:beforeLines="50" w:before="156" w:after="120" w:line="360" w:lineRule="auto"/>
        <w:rPr>
          <w:rFonts w:ascii="Times New Roman" w:hAnsi="Times New Roman" w:cs="Times New Roman"/>
          <w:caps/>
          <w:color w:val="000000" w:themeColor="text1"/>
          <w:sz w:val="24"/>
          <w:szCs w:val="24"/>
        </w:rPr>
      </w:pPr>
      <w:r>
        <w:rPr>
          <w:rFonts w:ascii="Times New Roman" w:eastAsia="Whitney-Book" w:hAnsi="Times New Roman" w:cs="Times New Roman"/>
          <w:color w:val="000000" w:themeColor="text1"/>
          <w:kern w:val="0"/>
          <w:sz w:val="24"/>
          <w:szCs w:val="24"/>
        </w:rPr>
        <w:lastRenderedPageBreak/>
        <w:t xml:space="preserve">Table S16 Metadata file for sequencing </w:t>
      </w:r>
    </w:p>
    <w:p w14:paraId="042C6A1A" w14:textId="77777777" w:rsidR="00161043" w:rsidRDefault="00161043">
      <w:bookmarkStart w:id="0" w:name="_GoBack"/>
      <w:bookmarkEnd w:id="0"/>
    </w:p>
    <w:sectPr w:rsidR="00161043">
      <w:footerReference w:type="default" r:id="rId4"/>
      <w:pgSz w:w="11906" w:h="16838"/>
      <w:pgMar w:top="1440" w:right="1797" w:bottom="1440"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Whitney-Book">
    <w:altName w:val="Microsoft YaHei"/>
    <w:panose1 w:val="020B0604020202020204"/>
    <w:charset w:val="86"/>
    <w:family w:val="swiss"/>
    <w:pitch w:val="default"/>
    <w:sig w:usb0="00000000" w:usb1="00000000" w:usb2="00000010" w:usb3="00000000" w:csb0="00040000"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22521175"/>
    </w:sdtPr>
    <w:sdtEndPr/>
    <w:sdtContent>
      <w:p w14:paraId="6FCD7360" w14:textId="77777777" w:rsidR="00515B15" w:rsidRDefault="00161043">
        <w:pPr>
          <w:pStyle w:val="Footer"/>
          <w:jc w:val="right"/>
        </w:pPr>
        <w:r>
          <w:fldChar w:fldCharType="begin"/>
        </w:r>
        <w:r>
          <w:instrText xml:space="preserve"> PAGE   \* MERGEFORMAT </w:instrText>
        </w:r>
        <w:r>
          <w:fldChar w:fldCharType="separate"/>
        </w:r>
        <w:r>
          <w:t>3</w:t>
        </w:r>
        <w:r>
          <w:fldChar w:fldCharType="end"/>
        </w:r>
      </w:p>
    </w:sdtContent>
  </w:sdt>
  <w:p w14:paraId="37D02AC1" w14:textId="77777777" w:rsidR="00515B15" w:rsidRDefault="00161043">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1043"/>
    <w:rsid w:val="00161043"/>
    <w:rsid w:val="006D53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420E4"/>
  <w15:chartTrackingRefBased/>
  <w15:docId w15:val="{010726F5-6A31-A045-9E44-D40E9A3E0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61043"/>
    <w:pPr>
      <w:widowControl w:val="0"/>
      <w:spacing w:after="160" w:line="259" w:lineRule="auto"/>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rsid w:val="0016104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qFormat/>
    <w:rsid w:val="0016104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1205</Words>
  <Characters>7260</Characters>
  <Application>Microsoft Office Word</Application>
  <DocSecurity>0</DocSecurity>
  <Lines>660</Lines>
  <Paragraphs>604</Paragraphs>
  <ScaleCrop>false</ScaleCrop>
  <Company/>
  <LinksUpToDate>false</LinksUpToDate>
  <CharactersWithSpaces>7861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2022-01-27T19:07:00Z</dcterms:created>
  <dcterms:modified xsi:type="dcterms:W3CDTF">2022-01-27T19:07:00Z</dcterms:modified>
</cp:coreProperties>
</file>