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黑体" w:cstheme="minorHAnsi"/>
          <w:b/>
          <w:color w:val="000000" w:themeColor="text1"/>
          <w:sz w:val="20"/>
          <w:szCs w:val="20"/>
          <w14:textFill>
            <w14:solidFill>
              <w14:schemeClr w14:val="tx1"/>
            </w14:solidFill>
          </w14:textFill>
        </w:rPr>
      </w:pPr>
      <w:r>
        <w:rPr>
          <w:rFonts w:eastAsia="黑体" w:cstheme="minorHAnsi"/>
          <w:b/>
          <w:sz w:val="20"/>
          <w:szCs w:val="20"/>
        </w:rPr>
        <w:t xml:space="preserve">Figure </w:t>
      </w:r>
      <w:r>
        <w:rPr>
          <w:rFonts w:hint="eastAsia" w:eastAsia="黑体" w:cstheme="minorHAnsi"/>
          <w:b/>
          <w:sz w:val="20"/>
          <w:szCs w:val="20"/>
          <w:lang w:val="en-US" w:eastAsia="zh-CN"/>
        </w:rPr>
        <w:t>2</w:t>
      </w:r>
      <w:bookmarkStart w:id="0" w:name="_GoBack"/>
      <w:bookmarkEnd w:id="0"/>
      <w:r>
        <w:rPr>
          <w:rFonts w:eastAsia="黑体" w:cstheme="minorHAnsi"/>
          <w:b/>
          <w:sz w:val="20"/>
          <w:szCs w:val="20"/>
        </w:rPr>
        <w:t xml:space="preserve">. </w:t>
      </w:r>
      <w:r>
        <w:rPr>
          <w:rFonts w:eastAsia="黑体" w:cstheme="minorHAnsi"/>
          <w:b/>
          <w:color w:val="000000" w:themeColor="text1"/>
          <w:sz w:val="20"/>
          <w:szCs w:val="20"/>
          <w14:textFill>
            <w14:solidFill>
              <w14:schemeClr w14:val="tx1"/>
            </w14:solidFill>
          </w14:textFill>
        </w:rPr>
        <w:t xml:space="preserve">RDA analysis of the microorganisms and environmental factors </w:t>
      </w:r>
    </w:p>
    <w:p>
      <w:pPr>
        <w:ind w:firstLine="201" w:firstLineChars="100"/>
        <w:rPr>
          <w:rFonts w:eastAsia="黑体" w:cstheme="minorHAnsi"/>
          <w:b/>
          <w:color w:val="000000" w:themeColor="text1"/>
          <w:sz w:val="20"/>
          <w:szCs w:val="20"/>
          <w14:textFill>
            <w14:solidFill>
              <w14:schemeClr w14:val="tx1"/>
            </w14:solidFill>
          </w14:textFill>
        </w:rPr>
      </w:pPr>
      <w:r>
        <w:rPr>
          <w:rFonts w:eastAsia="黑体" w:cstheme="minorHAnsi"/>
          <w:b/>
          <w:color w:val="000000" w:themeColor="text1"/>
          <w:sz w:val="20"/>
          <w:szCs w:val="20"/>
          <w14:textFill>
            <w14:solidFill>
              <w14:schemeClr w14:val="tx1"/>
            </w14:solidFill>
          </w14:textFill>
        </w:rPr>
        <w:t xml:space="preserve"> </w:t>
      </w:r>
    </w:p>
    <w:p>
      <w:pPr>
        <w:ind w:firstLine="813" w:firstLineChars="450"/>
        <w:rPr>
          <w:rFonts w:ascii="Times New Roman" w:hAnsi="Times New Roman" w:cs="Times New Roman"/>
          <w:b/>
          <w:color w:val="000000" w:themeColor="text1"/>
          <w:sz w:val="18"/>
          <w:szCs w:val="21"/>
          <w14:textFill>
            <w14:solidFill>
              <w14:schemeClr w14:val="tx1"/>
            </w14:solidFill>
          </w14:textFill>
        </w:rPr>
      </w:pPr>
      <w:r>
        <w:rPr>
          <w:rFonts w:ascii="Times New Roman" w:hAnsi="Times New Roman" w:cs="Times New Roman"/>
          <w:b/>
          <w:color w:val="000000" w:themeColor="text1"/>
          <w:sz w:val="18"/>
          <w:szCs w:val="21"/>
          <w14:textFill>
            <w14:solidFill>
              <w14:schemeClr w14:val="tx1"/>
            </w14:solidFill>
          </w14:textFill>
        </w:rPr>
        <w:t xml:space="preserve">A. Bacteria                                                           </w:t>
      </w:r>
      <w:r>
        <w:rPr>
          <w:rFonts w:hint="eastAsia" w:ascii="Times New Roman" w:hAnsi="Times New Roman" w:cs="Times New Roman"/>
          <w:b/>
          <w:color w:val="000000" w:themeColor="text1"/>
          <w:sz w:val="18"/>
          <w:szCs w:val="21"/>
          <w:lang w:val="en-US" w:eastAsia="zh-CN"/>
          <w14:textFill>
            <w14:solidFill>
              <w14:schemeClr w14:val="tx1"/>
            </w14:solidFill>
          </w14:textFill>
        </w:rPr>
        <w:t xml:space="preserve">   </w:t>
      </w:r>
      <w:r>
        <w:rPr>
          <w:rFonts w:ascii="Times New Roman" w:hAnsi="Times New Roman" w:cs="Times New Roman"/>
          <w:b/>
          <w:color w:val="000000" w:themeColor="text1"/>
          <w:sz w:val="18"/>
          <w:szCs w:val="21"/>
          <w14:textFill>
            <w14:solidFill>
              <w14:schemeClr w14:val="tx1"/>
            </w14:solidFill>
          </w14:textFill>
        </w:rPr>
        <w:t>B. Fungal</w:t>
      </w:r>
    </w:p>
    <w:p>
      <w:r>
        <w:rPr>
          <w:rFonts w:hint="eastAsia"/>
          <w:lang w:val="en-US" w:eastAsia="zh-CN"/>
        </w:rPr>
        <w:t xml:space="preserve">  </w:t>
      </w:r>
      <w:r>
        <w:drawing>
          <wp:inline distT="0" distB="0" distL="114300" distR="114300">
            <wp:extent cx="3743325" cy="3451225"/>
            <wp:effectExtent l="0" t="0" r="5715" b="825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4"/>
                    <a:stretch>
                      <a:fillRect/>
                    </a:stretch>
                  </pic:blipFill>
                  <pic:spPr>
                    <a:xfrm>
                      <a:off x="0" y="0"/>
                      <a:ext cx="3743325" cy="3451225"/>
                    </a:xfrm>
                    <a:prstGeom prst="rect">
                      <a:avLst/>
                    </a:prstGeom>
                    <a:noFill/>
                    <a:ln>
                      <a:noFill/>
                    </a:ln>
                  </pic:spPr>
                </pic:pic>
              </a:graphicData>
            </a:graphic>
          </wp:inline>
        </w:drawing>
      </w:r>
      <w:r>
        <w:rPr>
          <w:rFonts w:hint="eastAsia"/>
          <w:lang w:val="en-US" w:eastAsia="zh-CN"/>
        </w:rPr>
        <w:t xml:space="preserve">    </w:t>
      </w:r>
      <w:r>
        <w:t xml:space="preserve"> </w:t>
      </w:r>
      <w:r>
        <w:drawing>
          <wp:inline distT="0" distB="0" distL="114300" distR="114300">
            <wp:extent cx="3900805" cy="3441700"/>
            <wp:effectExtent l="0" t="0" r="635" b="254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5"/>
                    <a:stretch>
                      <a:fillRect/>
                    </a:stretch>
                  </pic:blipFill>
                  <pic:spPr>
                    <a:xfrm>
                      <a:off x="0" y="0"/>
                      <a:ext cx="3900805" cy="3441700"/>
                    </a:xfrm>
                    <a:prstGeom prst="rect">
                      <a:avLst/>
                    </a:prstGeom>
                    <a:noFill/>
                    <a:ln>
                      <a:noFill/>
                    </a:ln>
                  </pic:spPr>
                </pic:pic>
              </a:graphicData>
            </a:graphic>
          </wp:inline>
        </w:drawing>
      </w:r>
    </w:p>
    <w:p>
      <w:pPr>
        <w:rPr>
          <w:rFonts w:hint="default" w:ascii="Times New Roman" w:hAnsi="Times New Roman" w:cs="Times New Roman"/>
          <w:color w:val="000000" w:themeColor="text1"/>
          <w:sz w:val="18"/>
          <w14:textFill>
            <w14:solidFill>
              <w14:schemeClr w14:val="tx1"/>
            </w14:solidFill>
          </w14:textFill>
        </w:rPr>
      </w:pPr>
      <w:r>
        <w:rPr>
          <w:rFonts w:hint="default" w:ascii="Times New Roman" w:hAnsi="Times New Roman" w:cs="Times New Roman"/>
          <w:color w:val="000000" w:themeColor="text1"/>
          <w:sz w:val="18"/>
          <w14:textFill>
            <w14:solidFill>
              <w14:schemeClr w14:val="tx1"/>
            </w14:solidFill>
          </w14:textFill>
        </w:rPr>
        <w:t>Redundancy analysis (RDA) of MiSeq data (symbols) and environmental characteristics (arrows). Different shapes and colors indicate the bacterial (A) and fungal (B) communities of different sample groups. Arrows represent environmental factors, and the length of arrows represents the degree of correlation between environmental factors and species.</w:t>
      </w:r>
      <w:r>
        <w:rPr>
          <w:rFonts w:hint="default" w:ascii="Times New Roman" w:hAnsi="Times New Roman" w:cs="Times New Roman"/>
          <w:color w:val="000000" w:themeColor="text1"/>
          <w14:textFill>
            <w14:solidFill>
              <w14:schemeClr w14:val="tx1"/>
            </w14:solidFill>
          </w14:textFill>
        </w:rPr>
        <w:t xml:space="preserve"> </w:t>
      </w:r>
      <w:r>
        <w:rPr>
          <w:rFonts w:hint="default" w:ascii="Times New Roman" w:hAnsi="Times New Roman" w:cs="Times New Roman"/>
          <w:color w:val="000000" w:themeColor="text1"/>
          <w:sz w:val="18"/>
          <w14:textFill>
            <w14:solidFill>
              <w14:schemeClr w14:val="tx1"/>
            </w14:solidFill>
          </w14:textFill>
        </w:rPr>
        <w:t>The angle between microbial community and environmental factors represents positive and negative correlation. Acute angle indicates positive correlation, obtuse angle indicates negative correlation, and right angle indicates no correlation.</w:t>
      </w:r>
    </w:p>
    <w:p>
      <w:pPr>
        <w:jc w:val="left"/>
        <w:rPr>
          <w:sz w:val="18"/>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5B4"/>
    <w:rsid w:val="000321BE"/>
    <w:rsid w:val="000755B4"/>
    <w:rsid w:val="00110464"/>
    <w:rsid w:val="001E7BD2"/>
    <w:rsid w:val="002204FE"/>
    <w:rsid w:val="00230FE2"/>
    <w:rsid w:val="0024625B"/>
    <w:rsid w:val="003024B8"/>
    <w:rsid w:val="003076F8"/>
    <w:rsid w:val="00343D46"/>
    <w:rsid w:val="00374E5B"/>
    <w:rsid w:val="003952D3"/>
    <w:rsid w:val="003F3095"/>
    <w:rsid w:val="00406C2C"/>
    <w:rsid w:val="004372C7"/>
    <w:rsid w:val="00443AD4"/>
    <w:rsid w:val="00487B91"/>
    <w:rsid w:val="004D48E7"/>
    <w:rsid w:val="004F7FEB"/>
    <w:rsid w:val="005640C0"/>
    <w:rsid w:val="005D08C5"/>
    <w:rsid w:val="007168BE"/>
    <w:rsid w:val="00832D72"/>
    <w:rsid w:val="00854433"/>
    <w:rsid w:val="00874A51"/>
    <w:rsid w:val="00892F1C"/>
    <w:rsid w:val="008F332A"/>
    <w:rsid w:val="008F6C87"/>
    <w:rsid w:val="0098333F"/>
    <w:rsid w:val="009C1D51"/>
    <w:rsid w:val="009D6ADD"/>
    <w:rsid w:val="00A94FDD"/>
    <w:rsid w:val="00AE7B1B"/>
    <w:rsid w:val="00AF716B"/>
    <w:rsid w:val="00B3441C"/>
    <w:rsid w:val="00B63A25"/>
    <w:rsid w:val="00B86A84"/>
    <w:rsid w:val="00BA7DC7"/>
    <w:rsid w:val="00BE5BA3"/>
    <w:rsid w:val="00BF0537"/>
    <w:rsid w:val="00C5430E"/>
    <w:rsid w:val="00C6633F"/>
    <w:rsid w:val="00C7377D"/>
    <w:rsid w:val="00D34764"/>
    <w:rsid w:val="00D3501F"/>
    <w:rsid w:val="00D51AA3"/>
    <w:rsid w:val="00D92E17"/>
    <w:rsid w:val="00DF01A8"/>
    <w:rsid w:val="00E8342D"/>
    <w:rsid w:val="00EE6186"/>
    <w:rsid w:val="00F31F62"/>
    <w:rsid w:val="00F338ED"/>
    <w:rsid w:val="00FD14D5"/>
    <w:rsid w:val="1D357806"/>
    <w:rsid w:val="2FDC4FCA"/>
    <w:rsid w:val="58F815DE"/>
    <w:rsid w:val="7F7F2B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111</Words>
  <Characters>638</Characters>
  <Lines>5</Lines>
  <Paragraphs>1</Paragraphs>
  <TotalTime>4</TotalTime>
  <ScaleCrop>false</ScaleCrop>
  <LinksUpToDate>false</LinksUpToDate>
  <CharactersWithSpaces>748</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2020-07-30T13:47:00Z</dcterms:created>
  <dc:creator>User</dc:creator>
  <cp:lastModifiedBy>Administrator</cp:lastModifiedBy>
  <dcterms:modified xsi:type="dcterms:W3CDTF">2020-11-26T07:23:24Z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