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8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19"/>
        <w:gridCol w:w="1575"/>
        <w:gridCol w:w="3708"/>
        <w:gridCol w:w="207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101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Table S2</w:t>
            </w:r>
            <w:r>
              <w:rPr>
                <w:rFonts w:hint="default" w:ascii="Times New Roman" w:hAnsi="Times New Roman" w:eastAsia="Microsoft YaHei UI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Analysis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of effect of lipids components on SUA and hemorrhagic stroke.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Variable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Case/Control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Adjusted OR (95%CI)</w:t>
            </w:r>
          </w:p>
        </w:tc>
        <w:tc>
          <w:tcPr>
            <w:tcW w:w="2133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 for interaction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TG,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TG&lt;1.7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252/256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1.04 (0.89, 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TG≥1.7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103/99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1.45 (1.14, 1.85)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TC,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TC&lt;5.2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140/166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 (0.82, 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TC≥5.2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215/189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1.34 (1.12, 1.60)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LDL-C,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LDL-C&lt;3.4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201/225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1.07 (0.92, 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LDL-C≥3.4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154/130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1.33 (1.07, 1.66)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HDL-C,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0.330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440"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HDL-C&lt;1.0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16/17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27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HDL-C≥1.0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339/338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 (1.02, 1.31)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Adjust for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sex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age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BMI, SBP, DBP, Smoking, Drinking, FBG,eGFR and anti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hypertensive drugs.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595F7B"/>
    <w:rsid w:val="09A77F69"/>
    <w:rsid w:val="0CC13322"/>
    <w:rsid w:val="11595F7B"/>
    <w:rsid w:val="29F62F8E"/>
    <w:rsid w:val="315B06B6"/>
    <w:rsid w:val="43840F89"/>
    <w:rsid w:val="653A1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2020-09-14T07:38:00Z</dcterms:created>
  <dc:creator>小肥慧</dc:creator>
  <cp:lastModifiedBy>小肥慧</cp:lastModifiedBy>
  <dcterms:modified xsi:type="dcterms:W3CDTF">2020-09-14T12:17:02Z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