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4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94"/>
        <w:gridCol w:w="1901"/>
        <w:gridCol w:w="2931"/>
        <w:gridCol w:w="1454"/>
        <w:gridCol w:w="193"/>
        <w:gridCol w:w="2931"/>
        <w:gridCol w:w="14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134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Supplementary Table 1</w:t>
            </w:r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 Association between without or with dyslipidemia and hemorrhagic stroke.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Model 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Model 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Cases/Controls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Dyslipidemia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97/113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258/242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1.24 (0.90, 1.72)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0.18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1.19 (0.83, 1.69)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0.3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3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Model 1: Adjusted for none.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Model 2: Adjusted for sex, age, SBP, DBP,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Smoking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Drinking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FBG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eGFR and anti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hypertensive drugs.</w:t>
            </w:r>
          </w:p>
        </w:tc>
      </w:tr>
    </w:tbl>
    <w:p/>
    <w:sectPr>
      <w:pgSz w:w="16838" w:h="11906" w:orient="landscape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7401C"/>
    <w:rsid w:val="19E7401C"/>
    <w:rsid w:val="2EF61D1E"/>
    <w:rsid w:val="3D5D644E"/>
    <w:rsid w:val="4D9A47CB"/>
    <w:rsid w:val="56EB19A1"/>
    <w:rsid w:val="690278C9"/>
    <w:rsid w:val="70A7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2020-09-14T07:29:00Z</dcterms:created>
  <dc:creator>小肥慧</dc:creator>
  <cp:lastModifiedBy>小肥慧</cp:lastModifiedBy>
  <dcterms:modified xsi:type="dcterms:W3CDTF">2020-10-13T13:05:06Z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