
<file path=[Content_Types].xml><?xml version="1.0" encoding="utf-8"?>
<Types xmlns="http://schemas.openxmlformats.org/package/2006/content-types">
  <Default Extension="xml" ContentType="application/xml"/>
  <Default Extension="png" ContentType="image/png"/>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ascii="Times New Roman" w:hAnsi="Times New Roman" w:cs="Times New Roman"/>
          <w:b/>
          <w:bCs/>
          <w:sz w:val="30"/>
          <w:szCs w:val="30"/>
        </w:rPr>
      </w:pPr>
      <w:r>
        <w:rPr>
          <w:rFonts w:ascii="Times New Roman" w:hAnsi="Times New Roman" w:cs="Times New Roman"/>
          <w:b/>
          <w:bCs/>
          <w:sz w:val="30"/>
          <w:szCs w:val="30"/>
        </w:rPr>
        <w:t>Supplementary materials</w:t>
      </w:r>
    </w:p>
    <w:p>
      <w:pPr>
        <w:keepNext w:val="0"/>
        <w:keepLines w:val="0"/>
        <w:pageBreakBefore w:val="0"/>
        <w:widowControl w:val="0"/>
        <w:kinsoku/>
        <w:wordWrap/>
        <w:overflowPunct/>
        <w:topLinePunct w:val="0"/>
        <w:autoSpaceDE/>
        <w:autoSpaceDN/>
        <w:bidi w:val="0"/>
        <w:adjustRightInd w:val="0"/>
        <w:snapToGrid w:val="0"/>
        <w:spacing w:after="156" w:afterLines="50" w:line="240" w:lineRule="auto"/>
        <w:jc w:val="both"/>
        <w:textAlignment w:val="auto"/>
        <w:rPr>
          <w:rFonts w:ascii="Times New Roman" w:hAnsi="Times New Roman" w:cs="Times New Roman"/>
          <w:b/>
          <w:bCs/>
          <w:sz w:val="30"/>
          <w:szCs w:val="30"/>
        </w:rPr>
      </w:pPr>
      <w:bookmarkStart w:id="0" w:name="_Hlk54465678"/>
      <w:r>
        <w:rPr>
          <w:rFonts w:ascii="Times New Roman" w:hAnsi="Times New Roman"/>
          <w:b/>
          <w:bCs/>
          <w:sz w:val="30"/>
          <w:szCs w:val="30"/>
        </w:rPr>
        <w:t>Neuroprotective effect of a new free radical scavenger HL-008 against ischemia-reperfusion injury</w:t>
      </w:r>
      <w:bookmarkEnd w:id="0"/>
    </w:p>
    <w:p>
      <w:pPr>
        <w:spacing w:after="156" w:afterLines="50" w:line="480" w:lineRule="auto"/>
        <w:jc w:val="both"/>
        <w:rPr>
          <w:rFonts w:ascii="Times New Roman" w:hAnsi="Times New Roman"/>
          <w:b/>
          <w:bCs/>
          <w:sz w:val="24"/>
          <w:szCs w:val="24"/>
        </w:rPr>
      </w:pPr>
      <w:r>
        <w:rPr>
          <w:rFonts w:ascii="Times New Roman" w:hAnsi="Times New Roman"/>
          <w:b/>
          <w:bCs/>
          <w:sz w:val="24"/>
          <w:szCs w:val="24"/>
        </w:rPr>
        <w:t>Yahong Liu</w:t>
      </w:r>
      <w:r>
        <w:rPr>
          <w:rFonts w:hint="eastAsia" w:ascii="Times New Roman" w:hAnsi="Times New Roman"/>
          <w:b/>
          <w:bCs/>
          <w:sz w:val="24"/>
          <w:szCs w:val="24"/>
          <w:vertAlign w:val="superscript"/>
          <w:lang w:val="en-US" w:eastAsia="zh-CN"/>
        </w:rPr>
        <w:t>1#</w:t>
      </w:r>
      <w:r>
        <w:rPr>
          <w:rFonts w:ascii="Times New Roman" w:hAnsi="Times New Roman"/>
          <w:b/>
          <w:bCs/>
          <w:sz w:val="24"/>
          <w:szCs w:val="24"/>
        </w:rPr>
        <w:t>, Ying Cheng</w:t>
      </w:r>
      <w:r>
        <w:rPr>
          <w:rFonts w:hint="eastAsia" w:ascii="Times New Roman" w:hAnsi="Times New Roman"/>
          <w:b/>
          <w:bCs/>
          <w:sz w:val="24"/>
          <w:szCs w:val="24"/>
          <w:vertAlign w:val="superscript"/>
          <w:lang w:val="en-US" w:eastAsia="zh-CN"/>
        </w:rPr>
        <w:t>2</w:t>
      </w:r>
      <w:r>
        <w:rPr>
          <w:rFonts w:ascii="Times New Roman" w:hAnsi="Times New Roman"/>
          <w:b/>
          <w:bCs/>
          <w:sz w:val="24"/>
          <w:szCs w:val="24"/>
          <w:vertAlign w:val="superscript"/>
        </w:rPr>
        <w:t>#</w:t>
      </w:r>
      <w:r>
        <w:rPr>
          <w:rFonts w:ascii="Times New Roman" w:hAnsi="Times New Roman"/>
          <w:b/>
          <w:bCs/>
          <w:sz w:val="24"/>
          <w:szCs w:val="24"/>
        </w:rPr>
        <w:t>, Wei Zhang</w:t>
      </w:r>
      <w:r>
        <w:rPr>
          <w:rFonts w:hint="eastAsia" w:ascii="Times New Roman" w:hAnsi="Times New Roman"/>
          <w:b/>
          <w:bCs/>
          <w:sz w:val="24"/>
          <w:szCs w:val="24"/>
          <w:vertAlign w:val="superscript"/>
          <w:lang w:val="en-US" w:eastAsia="zh-CN"/>
        </w:rPr>
        <w:t>2</w:t>
      </w:r>
      <w:r>
        <w:rPr>
          <w:rFonts w:ascii="Times New Roman" w:hAnsi="Times New Roman"/>
          <w:b/>
          <w:bCs/>
          <w:sz w:val="24"/>
          <w:szCs w:val="24"/>
          <w:vertAlign w:val="superscript"/>
        </w:rPr>
        <w:t>*</w:t>
      </w:r>
      <w:r>
        <w:rPr>
          <w:rFonts w:ascii="Times New Roman" w:hAnsi="Times New Roman"/>
          <w:b/>
          <w:bCs/>
          <w:sz w:val="24"/>
          <w:szCs w:val="24"/>
        </w:rPr>
        <w:t>, Hongqi Tian</w:t>
      </w:r>
      <w:r>
        <w:rPr>
          <w:rFonts w:hint="eastAsia" w:ascii="Times New Roman" w:hAnsi="Times New Roman"/>
          <w:b/>
          <w:bCs/>
          <w:sz w:val="24"/>
          <w:szCs w:val="24"/>
          <w:vertAlign w:val="superscript"/>
          <w:lang w:val="en-US" w:eastAsia="zh-CN"/>
        </w:rPr>
        <w:t>1</w:t>
      </w:r>
      <w:r>
        <w:rPr>
          <w:rFonts w:ascii="Times New Roman" w:hAnsi="Times New Roman"/>
          <w:b/>
          <w:bCs/>
          <w:sz w:val="24"/>
          <w:szCs w:val="24"/>
          <w:vertAlign w:val="superscript"/>
        </w:rPr>
        <w:t>*</w:t>
      </w:r>
    </w:p>
    <w:p>
      <w:pPr>
        <w:keepNext w:val="0"/>
        <w:keepLines w:val="0"/>
        <w:pageBreakBefore w:val="0"/>
        <w:widowControl w:val="0"/>
        <w:kinsoku/>
        <w:wordWrap/>
        <w:overflowPunct/>
        <w:topLinePunct w:val="0"/>
        <w:autoSpaceDE/>
        <w:autoSpaceDN/>
        <w:bidi w:val="0"/>
        <w:adjustRightInd/>
        <w:snapToGrid/>
        <w:spacing w:before="157" w:beforeLines="50" w:after="0" w:line="240" w:lineRule="auto"/>
        <w:textAlignment w:val="auto"/>
        <w:rPr>
          <w:rFonts w:ascii="Times New Roman" w:hAnsi="Times New Roman"/>
          <w:sz w:val="24"/>
          <w:szCs w:val="24"/>
        </w:rPr>
      </w:pPr>
      <w:r>
        <w:rPr>
          <w:rFonts w:hint="eastAsia" w:ascii="Times New Roman" w:hAnsi="Times New Roman"/>
          <w:sz w:val="24"/>
          <w:szCs w:val="24"/>
          <w:vertAlign w:val="superscript"/>
          <w:lang w:val="en-US" w:eastAsia="zh-CN"/>
        </w:rPr>
        <w:t>1</w:t>
      </w:r>
      <w:r>
        <w:rPr>
          <w:rFonts w:ascii="Times New Roman" w:hAnsi="Times New Roman"/>
          <w:sz w:val="24"/>
          <w:szCs w:val="24"/>
        </w:rPr>
        <w:t>Tianjin Key Laboratory of Radiation Medicine and Molecular Nuclear Medicine, Institute of Radiation Medicine, Chinese Academy of Medical Sciences and Peking Union Medical College, No. 238, Baidi Road, Tianjin, China</w:t>
      </w:r>
    </w:p>
    <w:p>
      <w:pPr>
        <w:keepNext w:val="0"/>
        <w:keepLines w:val="0"/>
        <w:pageBreakBefore w:val="0"/>
        <w:widowControl w:val="0"/>
        <w:kinsoku/>
        <w:wordWrap/>
        <w:overflowPunct/>
        <w:topLinePunct w:val="0"/>
        <w:autoSpaceDE/>
        <w:autoSpaceDN/>
        <w:bidi w:val="0"/>
        <w:adjustRightInd/>
        <w:snapToGrid/>
        <w:spacing w:before="157" w:beforeLines="50" w:after="0" w:line="240" w:lineRule="auto"/>
        <w:textAlignment w:val="auto"/>
        <w:rPr>
          <w:rFonts w:ascii="Times New Roman" w:hAnsi="Times New Roman"/>
          <w:sz w:val="24"/>
          <w:szCs w:val="24"/>
        </w:rPr>
      </w:pPr>
      <w:bookmarkStart w:id="1" w:name="_Hlk54631375"/>
      <w:r>
        <w:rPr>
          <w:rFonts w:hint="eastAsia" w:ascii="Times New Roman" w:hAnsi="Times New Roman"/>
          <w:sz w:val="24"/>
          <w:szCs w:val="24"/>
          <w:vertAlign w:val="superscript"/>
          <w:lang w:val="en-US" w:eastAsia="zh-CN"/>
        </w:rPr>
        <w:t>2</w:t>
      </w:r>
      <w:r>
        <w:rPr>
          <w:rFonts w:ascii="Times New Roman" w:hAnsi="Times New Roman"/>
          <w:sz w:val="24"/>
          <w:szCs w:val="24"/>
        </w:rPr>
        <w:t>Center for Marine Bioproducts Development, College of Medicine and Public Health, Flinders University, Bedford Park, Adelaide, SA, 5042, Australia</w:t>
      </w:r>
    </w:p>
    <w:bookmarkEnd w:id="1"/>
    <w:p>
      <w:pPr>
        <w:keepNext w:val="0"/>
        <w:keepLines w:val="0"/>
        <w:pageBreakBefore w:val="0"/>
        <w:widowControl w:val="0"/>
        <w:kinsoku/>
        <w:wordWrap/>
        <w:overflowPunct/>
        <w:topLinePunct w:val="0"/>
        <w:autoSpaceDE/>
        <w:autoSpaceDN/>
        <w:bidi w:val="0"/>
        <w:adjustRightInd/>
        <w:snapToGrid/>
        <w:spacing w:before="157" w:beforeLines="50" w:after="0" w:line="240" w:lineRule="auto"/>
        <w:textAlignment w:val="auto"/>
        <w:rPr>
          <w:rStyle w:val="11"/>
          <w:rFonts w:ascii="Times New Roman" w:hAnsi="Times New Roman"/>
          <w:sz w:val="24"/>
          <w:szCs w:val="24"/>
        </w:rPr>
      </w:pPr>
      <w:r>
        <w:rPr>
          <w:rFonts w:ascii="Times New Roman" w:hAnsi="Times New Roman"/>
          <w:sz w:val="24"/>
          <w:szCs w:val="24"/>
        </w:rPr>
        <w:t xml:space="preserve">* Correspondence should be addressed to Hongqi Tian: </w:t>
      </w:r>
      <w:r>
        <w:rPr>
          <w:rFonts w:ascii="Times New Roman" w:hAnsi="Times New Roman"/>
          <w:sz w:val="24"/>
          <w:szCs w:val="24"/>
        </w:rPr>
        <w:fldChar w:fldCharType="begin"/>
      </w:r>
      <w:r>
        <w:rPr>
          <w:rFonts w:ascii="Times New Roman" w:hAnsi="Times New Roman"/>
          <w:sz w:val="24"/>
          <w:szCs w:val="24"/>
        </w:rPr>
        <w:instrText xml:space="preserve"> HYPERLINK "mailto:tianhongqi@irm-cams.ac.cn," </w:instrText>
      </w:r>
      <w:r>
        <w:rPr>
          <w:rFonts w:ascii="Times New Roman" w:hAnsi="Times New Roman"/>
          <w:sz w:val="24"/>
          <w:szCs w:val="24"/>
        </w:rPr>
        <w:fldChar w:fldCharType="separate"/>
      </w:r>
      <w:r>
        <w:rPr>
          <w:rStyle w:val="11"/>
          <w:rFonts w:ascii="Times New Roman" w:hAnsi="Times New Roman"/>
          <w:sz w:val="24"/>
          <w:szCs w:val="24"/>
        </w:rPr>
        <w:t>tianhongqi@irm-cams.ac.cn</w:t>
      </w:r>
      <w:r>
        <w:rPr>
          <w:rFonts w:ascii="Times New Roman" w:hAnsi="Times New Roman"/>
          <w:sz w:val="24"/>
          <w:szCs w:val="24"/>
        </w:rPr>
        <w:fldChar w:fldCharType="end"/>
      </w:r>
      <w:r>
        <w:rPr>
          <w:rFonts w:ascii="Times New Roman" w:hAnsi="Times New Roman"/>
          <w:sz w:val="24"/>
          <w:szCs w:val="24"/>
        </w:rPr>
        <w:t xml:space="preserve"> and Wei Zhang: </w:t>
      </w:r>
      <w:bookmarkStart w:id="2" w:name="_Hlk54631396"/>
      <w:r>
        <w:rPr>
          <w:rStyle w:val="11"/>
          <w:rFonts w:ascii="Times New Roman" w:hAnsi="Times New Roman"/>
          <w:sz w:val="24"/>
          <w:szCs w:val="24"/>
        </w:rPr>
        <w:t>wei.zhang@flinders.edu.au</w:t>
      </w:r>
      <w:bookmarkEnd w:id="2"/>
    </w:p>
    <w:p>
      <w:pPr>
        <w:keepNext w:val="0"/>
        <w:keepLines w:val="0"/>
        <w:pageBreakBefore w:val="0"/>
        <w:widowControl w:val="0"/>
        <w:kinsoku/>
        <w:wordWrap/>
        <w:overflowPunct/>
        <w:topLinePunct w:val="0"/>
        <w:autoSpaceDE/>
        <w:autoSpaceDN/>
        <w:bidi w:val="0"/>
        <w:adjustRightInd/>
        <w:snapToGrid/>
        <w:spacing w:before="157" w:beforeLines="50" w:after="0" w:line="240" w:lineRule="auto"/>
        <w:textAlignment w:val="auto"/>
        <w:rPr>
          <w:rFonts w:hint="default" w:ascii="Times New Roman" w:hAnsi="Times New Roman" w:eastAsiaTheme="minorEastAsia"/>
          <w:sz w:val="24"/>
          <w:szCs w:val="24"/>
          <w:lang w:val="en-US" w:eastAsia="zh-CN"/>
        </w:rPr>
        <w:sectPr>
          <w:footerReference r:id="rId3" w:type="default"/>
          <w:pgSz w:w="11906" w:h="16838"/>
          <w:pgMar w:top="1440" w:right="1800" w:bottom="1440" w:left="1800" w:header="851" w:footer="992" w:gutter="0"/>
          <w:lnNumType w:countBy="0" w:restart="continuous"/>
          <w:cols w:space="425" w:num="1"/>
          <w:docGrid w:type="lines" w:linePitch="312" w:charSpace="0"/>
        </w:sectPr>
      </w:pPr>
      <w:r>
        <w:rPr>
          <w:rFonts w:ascii="Times New Roman" w:hAnsi="Times New Roman"/>
          <w:sz w:val="24"/>
          <w:szCs w:val="24"/>
        </w:rPr>
        <w:t># Yahong Liu and Ying Cheng are the co-first authors for this research pap</w:t>
      </w:r>
      <w:r>
        <w:rPr>
          <w:rFonts w:hint="eastAsia" w:ascii="Times New Roman" w:hAnsi="Times New Roman"/>
          <w:sz w:val="24"/>
          <w:szCs w:val="24"/>
          <w:lang w:val="en-US" w:eastAsia="zh-CN"/>
        </w:rPr>
        <w:t>er</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textAlignment w:val="auto"/>
        <w:rPr>
          <w:rFonts w:ascii="Times New Roman" w:hAnsi="Times New Roman" w:cs="Times New Roman"/>
          <w:sz w:val="24"/>
          <w:szCs w:val="24"/>
        </w:rPr>
      </w:pPr>
      <w:r>
        <w:rPr>
          <w:rFonts w:hint="eastAsia" w:ascii="Times New Roman" w:hAnsi="Times New Roman" w:eastAsia="宋体" w:cs="Times New Roman"/>
          <w:sz w:val="24"/>
          <w:szCs w:val="24"/>
        </w:rPr>
        <w:t xml:space="preserve">Table S1 </w:t>
      </w:r>
      <w:r>
        <w:rPr>
          <w:rFonts w:ascii="Times New Roman" w:hAnsi="Times New Roman" w:eastAsia="宋体" w:cs="Times New Roman"/>
          <w:sz w:val="24"/>
          <w:szCs w:val="24"/>
        </w:rPr>
        <w:t>Pharmacokinetic parameters of HL-008 after intraperitoneal injection</w:t>
      </w:r>
    </w:p>
    <w:tbl>
      <w:tblPr>
        <w:tblStyle w:val="9"/>
        <w:tblW w:w="0" w:type="auto"/>
        <w:tblInd w:w="0" w:type="dxa"/>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430"/>
        <w:gridCol w:w="3415"/>
        <w:gridCol w:w="3350"/>
        <w:gridCol w:w="3342"/>
      </w:tblGrid>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430" w:type="dxa"/>
            <w:tcBorders>
              <w:top w:val="single" w:color="auto" w:sz="4" w:space="0"/>
              <w:bottom w:val="single" w:color="000000" w:sz="6" w:space="0"/>
              <w:right w:val="nil"/>
              <w:insideH w:val="single" w:sz="6" w:space="0"/>
              <w:tl2br w:val="nil"/>
              <w:tr2bl w:val="nil"/>
            </w:tcBorders>
            <w:shd w:val="clear" w:color="auto" w:fill="auto"/>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Parameters</w:t>
            </w:r>
          </w:p>
        </w:tc>
        <w:tc>
          <w:tcPr>
            <w:tcW w:w="3415" w:type="dxa"/>
            <w:tcBorders>
              <w:top w:val="single" w:color="auto" w:sz="4" w:space="0"/>
              <w:left w:val="nil"/>
              <w:bottom w:val="single" w:color="000000" w:sz="6" w:space="0"/>
              <w:right w:val="nil"/>
              <w:insideH w:val="single" w:sz="6" w:space="0"/>
              <w:tl2br w:val="nil"/>
              <w:tr2bl w:val="nil"/>
            </w:tcBorders>
            <w:shd w:val="clear" w:color="auto" w:fill="auto"/>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Unit</w:t>
            </w:r>
          </w:p>
        </w:tc>
        <w:tc>
          <w:tcPr>
            <w:tcW w:w="3350" w:type="dxa"/>
            <w:tcBorders>
              <w:top w:val="single" w:color="auto" w:sz="4" w:space="0"/>
              <w:left w:val="nil"/>
              <w:bottom w:val="single" w:color="000000" w:sz="6" w:space="0"/>
              <w:right w:val="nil"/>
              <w:insideH w:val="single" w:sz="6" w:space="0"/>
              <w:tl2br w:val="nil"/>
              <w:tr2bl w:val="nil"/>
            </w:tcBorders>
            <w:shd w:val="clear" w:color="auto" w:fill="auto"/>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Plasma</w:t>
            </w:r>
          </w:p>
        </w:tc>
        <w:tc>
          <w:tcPr>
            <w:tcW w:w="3342" w:type="dxa"/>
            <w:tcBorders>
              <w:top w:val="single" w:color="auto" w:sz="4" w:space="0"/>
              <w:left w:val="nil"/>
              <w:bottom w:val="single" w:color="000000" w:sz="6" w:space="0"/>
              <w:insideH w:val="single" w:sz="6" w:space="0"/>
              <w:tl2br w:val="nil"/>
              <w:tr2bl w:val="nil"/>
            </w:tcBorders>
            <w:shd w:val="clear" w:color="auto" w:fill="auto"/>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Brain</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3430" w:type="dxa"/>
            <w:tcBorders>
              <w:right w:val="nil"/>
              <w:tl2br w:val="nil"/>
              <w:tr2bl w:val="nil"/>
            </w:tcBorders>
            <w:shd w:val="clear" w:color="auto" w:fill="auto"/>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T1/2</w:t>
            </w:r>
          </w:p>
        </w:tc>
        <w:tc>
          <w:tcPr>
            <w:tcW w:w="3415" w:type="dxa"/>
            <w:tcBorders>
              <w:left w:val="nil"/>
              <w:right w:val="nil"/>
            </w:tcBorders>
            <w:shd w:val="clear" w:color="auto" w:fill="auto"/>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Hr</w:t>
            </w:r>
          </w:p>
        </w:tc>
        <w:tc>
          <w:tcPr>
            <w:tcW w:w="3350" w:type="dxa"/>
            <w:tcBorders>
              <w:left w:val="nil"/>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9.73</w:t>
            </w:r>
          </w:p>
        </w:tc>
        <w:tc>
          <w:tcPr>
            <w:tcW w:w="3342" w:type="dxa"/>
            <w:tcBorders>
              <w:lef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3.20</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3430" w:type="dxa"/>
            <w:tcBorders>
              <w:right w:val="nil"/>
              <w:tl2br w:val="nil"/>
              <w:tr2bl w:val="nil"/>
            </w:tcBorders>
            <w:shd w:val="clear" w:color="auto" w:fill="auto"/>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Tmax</w:t>
            </w:r>
          </w:p>
        </w:tc>
        <w:tc>
          <w:tcPr>
            <w:tcW w:w="3415" w:type="dxa"/>
            <w:tcBorders>
              <w:left w:val="nil"/>
              <w:right w:val="nil"/>
            </w:tcBorders>
            <w:shd w:val="clear" w:color="auto" w:fill="auto"/>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Hr</w:t>
            </w:r>
          </w:p>
        </w:tc>
        <w:tc>
          <w:tcPr>
            <w:tcW w:w="3350" w:type="dxa"/>
            <w:tcBorders>
              <w:left w:val="nil"/>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1.00</w:t>
            </w:r>
          </w:p>
        </w:tc>
        <w:tc>
          <w:tcPr>
            <w:tcW w:w="3342" w:type="dxa"/>
            <w:tcBorders>
              <w:lef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0.0833</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3430" w:type="dxa"/>
            <w:tcBorders>
              <w:right w:val="nil"/>
              <w:tl2br w:val="nil"/>
              <w:tr2bl w:val="nil"/>
            </w:tcBorders>
            <w:shd w:val="clear" w:color="auto" w:fill="auto"/>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Cmax</w:t>
            </w:r>
          </w:p>
        </w:tc>
        <w:tc>
          <w:tcPr>
            <w:tcW w:w="3415" w:type="dxa"/>
            <w:tcBorders>
              <w:left w:val="nil"/>
              <w:right w:val="nil"/>
            </w:tcBorders>
            <w:shd w:val="clear" w:color="auto" w:fill="auto"/>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ng/mL</w:t>
            </w:r>
          </w:p>
        </w:tc>
        <w:tc>
          <w:tcPr>
            <w:tcW w:w="3350" w:type="dxa"/>
            <w:tcBorders>
              <w:left w:val="nil"/>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522</w:t>
            </w:r>
          </w:p>
        </w:tc>
        <w:tc>
          <w:tcPr>
            <w:tcW w:w="3342" w:type="dxa"/>
            <w:tcBorders>
              <w:lef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468</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3430" w:type="dxa"/>
            <w:tcBorders>
              <w:right w:val="nil"/>
              <w:tl2br w:val="nil"/>
              <w:tr2bl w:val="nil"/>
            </w:tcBorders>
            <w:shd w:val="clear" w:color="auto" w:fill="auto"/>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AUC (0-t)</w:t>
            </w:r>
          </w:p>
        </w:tc>
        <w:tc>
          <w:tcPr>
            <w:tcW w:w="3415" w:type="dxa"/>
            <w:tcBorders>
              <w:left w:val="nil"/>
              <w:right w:val="nil"/>
            </w:tcBorders>
            <w:shd w:val="clear" w:color="auto" w:fill="auto"/>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ng*ng/mL</w:t>
            </w:r>
          </w:p>
        </w:tc>
        <w:tc>
          <w:tcPr>
            <w:tcW w:w="3350" w:type="dxa"/>
            <w:tcBorders>
              <w:left w:val="nil"/>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1525</w:t>
            </w:r>
          </w:p>
        </w:tc>
        <w:tc>
          <w:tcPr>
            <w:tcW w:w="3342" w:type="dxa"/>
            <w:tcBorders>
              <w:lef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932</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3430" w:type="dxa"/>
            <w:tcBorders>
              <w:right w:val="nil"/>
              <w:tl2br w:val="nil"/>
              <w:tr2bl w:val="nil"/>
            </w:tcBorders>
            <w:shd w:val="clear" w:color="auto" w:fill="auto"/>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AUC (0-∞)</w:t>
            </w:r>
          </w:p>
        </w:tc>
        <w:tc>
          <w:tcPr>
            <w:tcW w:w="3415" w:type="dxa"/>
            <w:tcBorders>
              <w:left w:val="nil"/>
              <w:right w:val="nil"/>
            </w:tcBorders>
            <w:shd w:val="clear" w:color="auto" w:fill="auto"/>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ng*ng/mL</w:t>
            </w:r>
          </w:p>
        </w:tc>
        <w:tc>
          <w:tcPr>
            <w:tcW w:w="3350" w:type="dxa"/>
            <w:tcBorders>
              <w:left w:val="nil"/>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3264</w:t>
            </w:r>
          </w:p>
        </w:tc>
        <w:tc>
          <w:tcPr>
            <w:tcW w:w="3342" w:type="dxa"/>
            <w:tcBorders>
              <w:lef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1149</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430" w:type="dxa"/>
            <w:tcBorders>
              <w:bottom w:val="single" w:color="auto" w:sz="4" w:space="0"/>
              <w:right w:val="nil"/>
              <w:tl2br w:val="nil"/>
              <w:tr2bl w:val="nil"/>
            </w:tcBorders>
            <w:shd w:val="clear" w:color="auto" w:fill="auto"/>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B/P Ratio</w:t>
            </w:r>
          </w:p>
        </w:tc>
        <w:tc>
          <w:tcPr>
            <w:tcW w:w="3415" w:type="dxa"/>
            <w:tcBorders>
              <w:left w:val="nil"/>
              <w:bottom w:val="single" w:color="auto" w:sz="4" w:space="0"/>
              <w:right w:val="nil"/>
            </w:tcBorders>
            <w:shd w:val="clear" w:color="auto" w:fill="auto"/>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p>
        </w:tc>
        <w:tc>
          <w:tcPr>
            <w:tcW w:w="3350" w:type="dxa"/>
            <w:tcBorders>
              <w:left w:val="nil"/>
              <w:bottom w:val="single" w:color="auto" w:sz="4" w:space="0"/>
              <w:right w:val="nil"/>
            </w:tcBorders>
            <w:shd w:val="clear" w:color="auto" w:fill="auto"/>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p>
        </w:tc>
        <w:tc>
          <w:tcPr>
            <w:tcW w:w="3342" w:type="dxa"/>
            <w:tcBorders>
              <w:left w:val="nil"/>
              <w:bottom w:val="single" w:color="auto" w:sz="4" w:space="0"/>
            </w:tcBorders>
            <w:shd w:val="clear" w:color="auto" w:fill="auto"/>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i w:val="0"/>
                <w:iCs w:val="0"/>
                <w:sz w:val="24"/>
                <w:szCs w:val="24"/>
              </w:rPr>
            </w:pPr>
            <w:r>
              <w:rPr>
                <w:rFonts w:ascii="Times New Roman" w:hAnsi="Times New Roman" w:cs="Times New Roman"/>
                <w:i w:val="0"/>
                <w:iCs w:val="0"/>
                <w:sz w:val="24"/>
                <w:szCs w:val="24"/>
              </w:rPr>
              <w:t>35.2%</w:t>
            </w:r>
          </w:p>
        </w:tc>
      </w:tr>
    </w:tbl>
    <w:p>
      <w:pPr>
        <w:keepNext w:val="0"/>
        <w:keepLines w:val="0"/>
        <w:pageBreakBefore w:val="0"/>
        <w:widowControl w:val="0"/>
        <w:kinsoku/>
        <w:wordWrap/>
        <w:overflowPunct/>
        <w:topLinePunct w:val="0"/>
        <w:autoSpaceDE/>
        <w:autoSpaceDN/>
        <w:bidi w:val="0"/>
        <w:adjustRightInd/>
        <w:snapToGrid/>
        <w:spacing w:before="156" w:beforeLines="50" w:after="157" w:afterLines="50" w:line="240" w:lineRule="auto"/>
        <w:textAlignment w:val="auto"/>
        <w:rPr>
          <w:rFonts w:hint="default" w:ascii="Times New Roman" w:hAnsi="Times New Roman" w:eastAsia="宋体" w:cs="Times New Roman"/>
          <w:sz w:val="24"/>
          <w:szCs w:val="24"/>
        </w:rPr>
      </w:pPr>
      <w:r>
        <w:rPr>
          <w:rFonts w:hint="default" w:ascii="Times New Roman" w:hAnsi="Times New Roman" w:cs="Times New Roman"/>
          <w:sz w:val="24"/>
          <w:szCs w:val="24"/>
        </w:rPr>
        <w:t>T</w:t>
      </w:r>
      <w:r>
        <w:rPr>
          <w:rFonts w:hint="default" w:ascii="Times New Roman" w:hAnsi="Times New Roman" w:eastAsia="宋体" w:cs="Times New Roman"/>
          <w:sz w:val="24"/>
          <w:szCs w:val="24"/>
        </w:rPr>
        <w:t xml:space="preserve">able S2 Average value and improvement rate of the neurological function score and cerebral infarction volume in each group </w:t>
      </w:r>
    </w:p>
    <w:tbl>
      <w:tblPr>
        <w:tblStyle w:val="8"/>
        <w:tblW w:w="4884"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75"/>
        <w:gridCol w:w="2176"/>
        <w:gridCol w:w="1254"/>
        <w:gridCol w:w="2154"/>
        <w:gridCol w:w="2779"/>
        <w:gridCol w:w="1625"/>
        <w:gridCol w:w="2082"/>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40"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Group</w:t>
            </w:r>
          </w:p>
        </w:tc>
        <w:tc>
          <w:tcPr>
            <w:tcW w:w="785"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Neurological score</w:t>
            </w:r>
          </w:p>
        </w:tc>
        <w:tc>
          <w:tcPr>
            <w:tcW w:w="453"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P value</w:t>
            </w:r>
          </w:p>
        </w:tc>
        <w:tc>
          <w:tcPr>
            <w:tcW w:w="777"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Improvement rate of the neurological function score</w:t>
            </w:r>
          </w:p>
        </w:tc>
        <w:tc>
          <w:tcPr>
            <w:tcW w:w="1003"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Infraction volume (mm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rPr>
              <w:t>)</w:t>
            </w:r>
          </w:p>
        </w:tc>
        <w:tc>
          <w:tcPr>
            <w:tcW w:w="587"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P value</w:t>
            </w:r>
          </w:p>
        </w:tc>
        <w:tc>
          <w:tcPr>
            <w:tcW w:w="751"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Improvement rate of the infarct volume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640" w:type="pc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Control</w:t>
            </w:r>
          </w:p>
        </w:tc>
        <w:tc>
          <w:tcPr>
            <w:tcW w:w="785" w:type="pc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bookmarkStart w:id="3" w:name="OLE_LINK1"/>
            <w:r>
              <w:rPr>
                <w:rFonts w:hint="default" w:ascii="Times New Roman" w:hAnsi="Times New Roman" w:cs="Times New Roman"/>
                <w:sz w:val="24"/>
                <w:szCs w:val="24"/>
              </w:rPr>
              <w:t>0.00 ± 0.00</w:t>
            </w:r>
            <w:bookmarkEnd w:id="3"/>
          </w:p>
        </w:tc>
        <w:tc>
          <w:tcPr>
            <w:tcW w:w="453" w:type="pc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w:t>
            </w:r>
          </w:p>
        </w:tc>
        <w:tc>
          <w:tcPr>
            <w:tcW w:w="777" w:type="pc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w:t>
            </w:r>
          </w:p>
        </w:tc>
        <w:tc>
          <w:tcPr>
            <w:tcW w:w="1003" w:type="pc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0.00 ± 0.00</w:t>
            </w:r>
          </w:p>
        </w:tc>
        <w:tc>
          <w:tcPr>
            <w:tcW w:w="587" w:type="pc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w:t>
            </w:r>
          </w:p>
        </w:tc>
        <w:tc>
          <w:tcPr>
            <w:tcW w:w="751" w:type="pc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40"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I/R</w:t>
            </w:r>
          </w:p>
        </w:tc>
        <w:tc>
          <w:tcPr>
            <w:tcW w:w="785"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3.00 ± 0.63</w:t>
            </w:r>
          </w:p>
        </w:tc>
        <w:tc>
          <w:tcPr>
            <w:tcW w:w="453"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p>
        </w:tc>
        <w:tc>
          <w:tcPr>
            <w:tcW w:w="777"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w:t>
            </w:r>
          </w:p>
        </w:tc>
        <w:tc>
          <w:tcPr>
            <w:tcW w:w="1003"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160.41±13.68</w:t>
            </w:r>
          </w:p>
        </w:tc>
        <w:tc>
          <w:tcPr>
            <w:tcW w:w="587"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w:t>
            </w:r>
          </w:p>
        </w:tc>
        <w:tc>
          <w:tcPr>
            <w:tcW w:w="751"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640"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HL-008</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100 mg/kg</w:t>
            </w:r>
          </w:p>
        </w:tc>
        <w:tc>
          <w:tcPr>
            <w:tcW w:w="785"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1.20 ± 0.40**</w:t>
            </w:r>
          </w:p>
        </w:tc>
        <w:tc>
          <w:tcPr>
            <w:tcW w:w="453"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0.0013</w:t>
            </w:r>
          </w:p>
        </w:tc>
        <w:tc>
          <w:tcPr>
            <w:tcW w:w="777"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60.00%</w:t>
            </w:r>
          </w:p>
        </w:tc>
        <w:tc>
          <w:tcPr>
            <w:tcW w:w="1003"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21.01 ± 27.49****</w:t>
            </w:r>
          </w:p>
        </w:tc>
        <w:tc>
          <w:tcPr>
            <w:tcW w:w="587"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&lt; 0.0001</w:t>
            </w:r>
          </w:p>
        </w:tc>
        <w:tc>
          <w:tcPr>
            <w:tcW w:w="751"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86.90%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640"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HL-008</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50 mg/kg</w:t>
            </w:r>
          </w:p>
        </w:tc>
        <w:tc>
          <w:tcPr>
            <w:tcW w:w="785"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1.00 ± 0.00***</w:t>
            </w:r>
          </w:p>
        </w:tc>
        <w:tc>
          <w:tcPr>
            <w:tcW w:w="453"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0.0002</w:t>
            </w:r>
          </w:p>
        </w:tc>
        <w:tc>
          <w:tcPr>
            <w:tcW w:w="777"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66.67%</w:t>
            </w:r>
          </w:p>
        </w:tc>
        <w:tc>
          <w:tcPr>
            <w:tcW w:w="1003"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26.85 ± 15.48****</w:t>
            </w:r>
          </w:p>
        </w:tc>
        <w:tc>
          <w:tcPr>
            <w:tcW w:w="587"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&lt; 0.0001</w:t>
            </w:r>
          </w:p>
        </w:tc>
        <w:tc>
          <w:tcPr>
            <w:tcW w:w="751"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83.26%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640"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HL-008</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25 mg/kg</w:t>
            </w:r>
          </w:p>
        </w:tc>
        <w:tc>
          <w:tcPr>
            <w:tcW w:w="785"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1.00 ± 0.00***</w:t>
            </w:r>
          </w:p>
        </w:tc>
        <w:tc>
          <w:tcPr>
            <w:tcW w:w="453"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0.0002</w:t>
            </w:r>
          </w:p>
        </w:tc>
        <w:tc>
          <w:tcPr>
            <w:tcW w:w="777"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66.67%</w:t>
            </w:r>
          </w:p>
        </w:tc>
        <w:tc>
          <w:tcPr>
            <w:tcW w:w="1003"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25.46 ± 15.91****</w:t>
            </w:r>
          </w:p>
        </w:tc>
        <w:tc>
          <w:tcPr>
            <w:tcW w:w="587"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&lt; 0.0001</w:t>
            </w:r>
          </w:p>
        </w:tc>
        <w:tc>
          <w:tcPr>
            <w:tcW w:w="751"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84.13%</w:t>
            </w:r>
          </w:p>
        </w:tc>
      </w:tr>
    </w:tbl>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textAlignment w:val="auto"/>
        <w:rPr>
          <w:rFonts w:hint="default" w:ascii="Times New Roman" w:hAnsi="Times New Roman" w:cs="Times New Roman"/>
          <w:sz w:val="24"/>
          <w:szCs w:val="24"/>
        </w:rPr>
        <w:sectPr>
          <w:footerReference r:id="rId4" w:type="default"/>
          <w:pgSz w:w="16838" w:h="11906" w:orient="landscape"/>
          <w:pgMar w:top="1800" w:right="1440" w:bottom="1800" w:left="1440" w:header="851" w:footer="992" w:gutter="0"/>
          <w:cols w:space="425" w:num="1"/>
          <w:docGrid w:type="lines" w:linePitch="312" w:charSpace="0"/>
        </w:sectPr>
      </w:pPr>
      <w:r>
        <w:rPr>
          <w:rFonts w:hint="default" w:ascii="Times New Roman" w:hAnsi="Times New Roman" w:cs="Times New Roman"/>
          <w:sz w:val="24"/>
          <w:szCs w:val="24"/>
        </w:rPr>
        <w:t>HL-00 8vs. I/R, *p &lt; 0.05, **p &lt; 0.01, ***p &lt; 0.001, ****p &lt; 0.0001</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Table S3  Average value and improvement rate of the neurological function score and cerebral infarction volume in each group</w:t>
      </w:r>
    </w:p>
    <w:tbl>
      <w:tblPr>
        <w:tblStyle w:val="8"/>
        <w:tblW w:w="4863"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01"/>
        <w:gridCol w:w="2222"/>
        <w:gridCol w:w="1312"/>
        <w:gridCol w:w="2071"/>
        <w:gridCol w:w="2746"/>
        <w:gridCol w:w="1464"/>
        <w:gridCol w:w="2071"/>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689"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Group</w:t>
            </w:r>
          </w:p>
        </w:tc>
        <w:tc>
          <w:tcPr>
            <w:tcW w:w="805"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Neurological score</w:t>
            </w:r>
          </w:p>
        </w:tc>
        <w:tc>
          <w:tcPr>
            <w:tcW w:w="476"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P value</w:t>
            </w:r>
          </w:p>
        </w:tc>
        <w:tc>
          <w:tcPr>
            <w:tcW w:w="750"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Improvement rate of the neurological function score</w:t>
            </w:r>
          </w:p>
        </w:tc>
        <w:tc>
          <w:tcPr>
            <w:tcW w:w="995"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Infraction volume (mm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rPr>
              <w:t>)</w:t>
            </w:r>
          </w:p>
        </w:tc>
        <w:tc>
          <w:tcPr>
            <w:tcW w:w="531"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P value</w:t>
            </w:r>
          </w:p>
        </w:tc>
        <w:tc>
          <w:tcPr>
            <w:tcW w:w="750"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Improvement rate of the infarct volume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689" w:type="pc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Control</w:t>
            </w:r>
          </w:p>
        </w:tc>
        <w:tc>
          <w:tcPr>
            <w:tcW w:w="805" w:type="pc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0.00 ± 0.00</w:t>
            </w:r>
          </w:p>
        </w:tc>
        <w:tc>
          <w:tcPr>
            <w:tcW w:w="476" w:type="pc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w:t>
            </w:r>
          </w:p>
        </w:tc>
        <w:tc>
          <w:tcPr>
            <w:tcW w:w="750" w:type="pc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w:t>
            </w:r>
          </w:p>
        </w:tc>
        <w:tc>
          <w:tcPr>
            <w:tcW w:w="995" w:type="pc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0.00 ± 0.00</w:t>
            </w:r>
          </w:p>
        </w:tc>
        <w:tc>
          <w:tcPr>
            <w:tcW w:w="531" w:type="pc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w:t>
            </w:r>
          </w:p>
        </w:tc>
        <w:tc>
          <w:tcPr>
            <w:tcW w:w="750" w:type="pc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89" w:type="pct"/>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I/R</w:t>
            </w:r>
          </w:p>
        </w:tc>
        <w:tc>
          <w:tcPr>
            <w:tcW w:w="805" w:type="pct"/>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3.00 ± 0.71</w:t>
            </w:r>
          </w:p>
        </w:tc>
        <w:tc>
          <w:tcPr>
            <w:tcW w:w="476" w:type="pct"/>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w:t>
            </w:r>
          </w:p>
        </w:tc>
        <w:tc>
          <w:tcPr>
            <w:tcW w:w="750" w:type="pct"/>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w:t>
            </w:r>
          </w:p>
        </w:tc>
        <w:tc>
          <w:tcPr>
            <w:tcW w:w="995" w:type="pct"/>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198.23 ± 15.37</w:t>
            </w:r>
          </w:p>
        </w:tc>
        <w:tc>
          <w:tcPr>
            <w:tcW w:w="531" w:type="pct"/>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w:t>
            </w:r>
          </w:p>
        </w:tc>
        <w:tc>
          <w:tcPr>
            <w:tcW w:w="750" w:type="pct"/>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689" w:type="pct"/>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HL-008</w:t>
            </w:r>
          </w:p>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100 mg/kg</w:t>
            </w:r>
          </w:p>
        </w:tc>
        <w:tc>
          <w:tcPr>
            <w:tcW w:w="805" w:type="pct"/>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1.00 ± 0.00***</w:t>
            </w:r>
          </w:p>
        </w:tc>
        <w:tc>
          <w:tcPr>
            <w:tcW w:w="476" w:type="pct"/>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0.0002</w:t>
            </w:r>
          </w:p>
        </w:tc>
        <w:tc>
          <w:tcPr>
            <w:tcW w:w="750" w:type="pct"/>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66.67%</w:t>
            </w:r>
          </w:p>
        </w:tc>
        <w:tc>
          <w:tcPr>
            <w:tcW w:w="995" w:type="pct"/>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62.36 ± 16.87****</w:t>
            </w:r>
          </w:p>
        </w:tc>
        <w:tc>
          <w:tcPr>
            <w:tcW w:w="531" w:type="pct"/>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&lt;0.0001</w:t>
            </w:r>
          </w:p>
        </w:tc>
        <w:tc>
          <w:tcPr>
            <w:tcW w:w="750" w:type="pct"/>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68.54%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689" w:type="pct"/>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Edaravone</w:t>
            </w:r>
          </w:p>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3 mg/kg</w:t>
            </w:r>
          </w:p>
        </w:tc>
        <w:tc>
          <w:tcPr>
            <w:tcW w:w="805" w:type="pct"/>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1.8 ± 0.45*</w:t>
            </w:r>
          </w:p>
        </w:tc>
        <w:tc>
          <w:tcPr>
            <w:tcW w:w="476" w:type="pct"/>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0.013</w:t>
            </w:r>
          </w:p>
        </w:tc>
        <w:tc>
          <w:tcPr>
            <w:tcW w:w="750" w:type="pct"/>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40.00%</w:t>
            </w:r>
          </w:p>
        </w:tc>
        <w:tc>
          <w:tcPr>
            <w:tcW w:w="995" w:type="pct"/>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107.97 ± 29.25***</w:t>
            </w:r>
          </w:p>
        </w:tc>
        <w:tc>
          <w:tcPr>
            <w:tcW w:w="531" w:type="pct"/>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0.0003</w:t>
            </w:r>
          </w:p>
        </w:tc>
        <w:tc>
          <w:tcPr>
            <w:tcW w:w="750" w:type="pct"/>
            <w:vAlign w:val="center"/>
          </w:tcPr>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45.54%</w:t>
            </w:r>
          </w:p>
        </w:tc>
      </w:tr>
    </w:tbl>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rPr>
        <w:t>HL-00 8 vs. I/R, *p &lt; 0.05, **p &lt; 0.01, ***p &lt; 0.001, ****p &lt; 0.00</w:t>
      </w:r>
      <w:r>
        <w:rPr>
          <w:rFonts w:hint="default" w:ascii="Times New Roman" w:hAnsi="Times New Roman" w:cs="Times New Roman"/>
          <w:sz w:val="24"/>
          <w:szCs w:val="24"/>
          <w:lang w:val="en-US" w:eastAsia="zh-CN"/>
        </w:rPr>
        <w:t>1</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textAlignment w:val="auto"/>
        <w:rPr>
          <w:rFonts w:hint="default"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textAlignment w:val="auto"/>
        <w:rPr>
          <w:rFonts w:hint="default"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textAlignment w:val="auto"/>
        <w:rPr>
          <w:rFonts w:hint="default"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textAlignment w:val="auto"/>
        <w:rPr>
          <w:rFonts w:hint="default"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textAlignment w:val="auto"/>
        <w:rPr>
          <w:rFonts w:hint="default"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pPr>
      <w:r>
        <w:drawing>
          <wp:inline distT="0" distB="0" distL="114300" distR="114300">
            <wp:extent cx="1786890" cy="1339850"/>
            <wp:effectExtent l="0" t="0" r="3810" b="635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1786890" cy="1339850"/>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1328420" cy="1339215"/>
            <wp:effectExtent l="0" t="0" r="5080" b="6985"/>
            <wp:docPr id="2050" name="Picture 2" descr="F:\20201027更新\中国医学科学院放射医学研究所\刘雅红-博士后\博士后课题\脑卒中\文章\Stroke-2\Stroke\Figures\Fiugre 6\figure 6A\Bcl-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F:\20201027更新\中国医学科学院放射医学研究所\刘雅红-博士后\博士后课题\脑卒中\文章\Stroke-2\Stroke\Figures\Fiugre 6\figure 6A\Bcl-2.t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328420" cy="1339215"/>
                    </a:xfrm>
                    <a:prstGeom prst="rect">
                      <a:avLst/>
                    </a:prstGeom>
                    <a:noFill/>
                  </pic:spPr>
                </pic:pic>
              </a:graphicData>
            </a:graphic>
          </wp:inline>
        </w:drawing>
      </w:r>
      <w:r>
        <w:rPr>
          <w:rFonts w:hint="eastAsia"/>
          <w:lang w:val="en-US" w:eastAsia="zh-CN"/>
        </w:rPr>
        <w:t xml:space="preserve"> </w:t>
      </w:r>
      <w:r>
        <w:drawing>
          <wp:inline distT="0" distB="0" distL="114300" distR="114300">
            <wp:extent cx="1997075" cy="1339850"/>
            <wp:effectExtent l="0" t="0" r="9525" b="6350"/>
            <wp:docPr id="1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1"/>
                    <pic:cNvPicPr>
                      <a:picLocks noChangeAspect="1"/>
                    </pic:cNvPicPr>
                  </pic:nvPicPr>
                  <pic:blipFill>
                    <a:blip r:embed="rId8"/>
                    <a:stretch>
                      <a:fillRect/>
                    </a:stretch>
                  </pic:blipFill>
                  <pic:spPr>
                    <a:xfrm>
                      <a:off x="0" y="0"/>
                      <a:ext cx="1997075" cy="1339850"/>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1453515" cy="1339215"/>
            <wp:effectExtent l="0" t="0" r="6985" b="698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9"/>
                    <a:stretch>
                      <a:fillRect/>
                    </a:stretch>
                  </pic:blipFill>
                  <pic:spPr>
                    <a:xfrm>
                      <a:off x="0" y="0"/>
                      <a:ext cx="1453515" cy="1339215"/>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1409700" cy="1339215"/>
            <wp:effectExtent l="0" t="0" r="0" b="698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0"/>
                    <a:stretch>
                      <a:fillRect/>
                    </a:stretch>
                  </pic:blipFill>
                  <pic:spPr>
                    <a:xfrm>
                      <a:off x="0" y="0"/>
                      <a:ext cx="1409700" cy="1339215"/>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1530350" cy="1339215"/>
            <wp:effectExtent l="0" t="0" r="6350" b="6985"/>
            <wp:docPr id="1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2"/>
                    <pic:cNvPicPr>
                      <a:picLocks noChangeAspect="1"/>
                    </pic:cNvPicPr>
                  </pic:nvPicPr>
                  <pic:blipFill>
                    <a:blip r:embed="rId11"/>
                    <a:stretch>
                      <a:fillRect/>
                    </a:stretch>
                  </pic:blipFill>
                  <pic:spPr>
                    <a:xfrm>
                      <a:off x="0" y="0"/>
                      <a:ext cx="1530350" cy="1339215"/>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1335405" cy="1339215"/>
            <wp:effectExtent l="0" t="0" r="10795" b="6985"/>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12"/>
                    <a:stretch>
                      <a:fillRect/>
                    </a:stretch>
                  </pic:blipFill>
                  <pic:spPr>
                    <a:xfrm>
                      <a:off x="0" y="0"/>
                      <a:ext cx="1335405" cy="1339215"/>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1313815" cy="1339215"/>
            <wp:effectExtent l="0" t="0" r="6985" b="6985"/>
            <wp:docPr id="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pic:cNvPicPr>
                      <a:picLocks noChangeAspect="1"/>
                    </pic:cNvPicPr>
                  </pic:nvPicPr>
                  <pic:blipFill>
                    <a:blip r:embed="rId13"/>
                    <a:stretch>
                      <a:fillRect/>
                    </a:stretch>
                  </pic:blipFill>
                  <pic:spPr>
                    <a:xfrm>
                      <a:off x="0" y="0"/>
                      <a:ext cx="1313815" cy="1339215"/>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2108200" cy="1339215"/>
            <wp:effectExtent l="0" t="0" r="0" b="6985"/>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pic:cNvPicPr>
                      <a:picLocks noChangeAspect="1"/>
                    </pic:cNvPicPr>
                  </pic:nvPicPr>
                  <pic:blipFill>
                    <a:blip r:embed="rId14"/>
                    <a:stretch>
                      <a:fillRect/>
                    </a:stretch>
                  </pic:blipFill>
                  <pic:spPr>
                    <a:xfrm>
                      <a:off x="0" y="0"/>
                      <a:ext cx="2108200" cy="1339215"/>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1990090" cy="1339215"/>
            <wp:effectExtent l="0" t="0" r="3810" b="6985"/>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r:embed="rId15"/>
                    <a:stretch>
                      <a:fillRect/>
                    </a:stretch>
                  </pic:blipFill>
                  <pic:spPr>
                    <a:xfrm>
                      <a:off x="0" y="0"/>
                      <a:ext cx="1990090" cy="1339215"/>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1454785" cy="1339215"/>
            <wp:effectExtent l="0" t="0" r="5715" b="6985"/>
            <wp:docPr id="1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4"/>
                    <pic:cNvPicPr>
                      <a:picLocks noChangeAspect="1"/>
                    </pic:cNvPicPr>
                  </pic:nvPicPr>
                  <pic:blipFill>
                    <a:blip r:embed="rId16"/>
                    <a:stretch>
                      <a:fillRect/>
                    </a:stretch>
                  </pic:blipFill>
                  <pic:spPr>
                    <a:xfrm>
                      <a:off x="0" y="0"/>
                      <a:ext cx="1454785" cy="1339215"/>
                    </a:xfrm>
                    <a:prstGeom prst="rect">
                      <a:avLst/>
                    </a:prstGeom>
                    <a:noFill/>
                    <a:ln>
                      <a:noFill/>
                    </a:ln>
                  </pic:spPr>
                </pic:pic>
              </a:graphicData>
            </a:graphic>
          </wp:inline>
        </w:drawing>
      </w:r>
      <w:r>
        <w:drawing>
          <wp:inline distT="0" distB="0" distL="114300" distR="114300">
            <wp:extent cx="1447165" cy="1339215"/>
            <wp:effectExtent l="0" t="0" r="635" b="6985"/>
            <wp:docPr id="1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pic:cNvPicPr>
                      <a:picLocks noChangeAspect="1"/>
                    </pic:cNvPicPr>
                  </pic:nvPicPr>
                  <pic:blipFill>
                    <a:blip r:embed="rId17"/>
                    <a:stretch>
                      <a:fillRect/>
                    </a:stretch>
                  </pic:blipFill>
                  <pic:spPr>
                    <a:xfrm>
                      <a:off x="0" y="0"/>
                      <a:ext cx="1447165" cy="13392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Figure S1 HL-008 played a neuroprotective role by regulating the expression of multiple pathway proteins. Twenty-four hours after reperfusion, the tissue lysate was analyzed by western blot with indcated antibodies. The order from left to right is: (1) control; (2) IR; (3) HL-008 100 mg/kg; (4) HL-003-100mg/kg; (5) control or sham; (6) IR; (7) HL-008 100 mg/kg; (8) HL-003-100mg/kg; (9) HL-003 100 mg/kg.</w:t>
      </w:r>
      <w:r>
        <w:rPr>
          <w:rFonts w:hint="eastAsia" w:ascii="Times New Roman" w:hAnsi="Times New Roman" w:cs="Times New Roman"/>
          <w:b w:val="0"/>
          <w:bCs w:val="0"/>
          <w:sz w:val="24"/>
          <w:szCs w:val="24"/>
          <w:lang w:val="en-US" w:eastAsia="zh-CN"/>
        </w:rPr>
        <w:t xml:space="preserve"> </w:t>
      </w:r>
      <w:bookmarkStart w:id="4" w:name="_GoBack"/>
      <w:bookmarkEnd w:id="4"/>
      <w:r>
        <w:rPr>
          <w:rFonts w:hint="eastAsia" w:ascii="Times New Roman" w:hAnsi="Times New Roman" w:cs="Times New Roman"/>
          <w:b/>
          <w:bCs/>
          <w:sz w:val="24"/>
          <w:szCs w:val="24"/>
          <w:lang w:val="en-US" w:eastAsia="zh-CN"/>
        </w:rPr>
        <w:t>Note:</w:t>
      </w:r>
      <w:r>
        <w:rPr>
          <w:rFonts w:hint="eastAsia" w:ascii="Times New Roman" w:hAnsi="Times New Roman" w:cs="Times New Roman"/>
          <w:b w:val="0"/>
          <w:bCs w:val="0"/>
          <w:sz w:val="24"/>
          <w:szCs w:val="24"/>
          <w:lang w:val="en-US" w:eastAsia="zh-CN"/>
        </w:rPr>
        <w:t xml:space="preserve"> HL-003 is not among the compounds in this study. The samples treated with HL-008 and HL-003 were analysized by Western blot at the same time.</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pP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114300" distR="114300">
            <wp:extent cx="3481705" cy="2096135"/>
            <wp:effectExtent l="0" t="0" r="10795" b="1206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8"/>
                    <a:stretch>
                      <a:fillRect/>
                    </a:stretch>
                  </pic:blipFill>
                  <pic:spPr>
                    <a:xfrm>
                      <a:off x="0" y="0"/>
                      <a:ext cx="3481705" cy="209613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Figure</w:t>
      </w:r>
      <w:r>
        <w:rPr>
          <w:rFonts w:hint="eastAsia" w:ascii="Times New Roman" w:hAnsi="Times New Roman" w:cs="Times New Roman"/>
          <w:sz w:val="24"/>
          <w:szCs w:val="24"/>
          <w:lang w:val="en-US" w:eastAsia="zh-CN"/>
        </w:rPr>
        <w:t xml:space="preserve"> S2 </w:t>
      </w:r>
      <w:r>
        <w:rPr>
          <w:rFonts w:hint="default" w:ascii="Times New Roman" w:hAnsi="Times New Roman" w:cs="Times New Roman"/>
          <w:sz w:val="24"/>
          <w:szCs w:val="24"/>
        </w:rPr>
        <w:t>A columnar chart of proteins showing significant difference between the groups. When the ratio of protein expression in the treatment group was 1.2 times higher than that in the control group (P &lt; 0.05), the protein expression was regarded as significantly enhanced or significantly decreased as the screening criteria.</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imes New Roman" w:hAnsi="Times New Roman" w:cs="Times New Roman"/>
          <w:sz w:val="24"/>
          <w:szCs w:val="24"/>
          <w:lang w:val="en-US" w:eastAsia="zh-CN"/>
        </w:rPr>
      </w:pPr>
      <w:r>
        <w:rPr>
          <w:rFonts w:hint="default" w:ascii="Times New Roman" w:hAnsi="Times New Roman" w:cs="Times New Roman"/>
          <w:sz w:val="24"/>
          <w:szCs w:val="24"/>
        </w:rPr>
        <w:t xml:space="preserve"> </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pacing w:after="0" w:line="240" w:lineRule="auto"/>
        <w:jc w:val="center"/>
        <w:textAlignment w:val="auto"/>
      </w:pPr>
      <w:r>
        <w:drawing>
          <wp:inline distT="0" distB="0" distL="114300" distR="114300">
            <wp:extent cx="8851900" cy="2767330"/>
            <wp:effectExtent l="0" t="0" r="0" b="127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9"/>
                    <a:stretch>
                      <a:fillRect/>
                    </a:stretch>
                  </pic:blipFill>
                  <pic:spPr>
                    <a:xfrm>
                      <a:off x="0" y="0"/>
                      <a:ext cx="8851900" cy="276733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pacing w:after="0" w:line="240" w:lineRule="auto"/>
        <w:ind w:firstLine="1680" w:firstLineChars="800"/>
        <w:jc w:val="both"/>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A</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B</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C</w:t>
      </w:r>
    </w:p>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pacing w:after="0" w:line="24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Figure S</w:t>
      </w:r>
      <w:r>
        <w:rPr>
          <w:rFonts w:hint="eastAsia" w:ascii="Times New Roman" w:hAnsi="Times New Roman" w:cs="Times New Roman"/>
          <w:sz w:val="24"/>
          <w:szCs w:val="24"/>
          <w:lang w:val="en-US" w:eastAsia="zh-CN"/>
        </w:rPr>
        <w:t>3</w:t>
      </w:r>
      <w:r>
        <w:rPr>
          <w:rFonts w:hint="default" w:ascii="Times New Roman" w:hAnsi="Times New Roman" w:cs="Times New Roman"/>
          <w:sz w:val="24"/>
          <w:szCs w:val="24"/>
        </w:rPr>
        <w:t xml:space="preserve"> A. Significant thermogram of the differential protein cellular components (CC) among the HL-008 group, I/R group, and control group; B. Significant thermogram of the differential protein molecular functions (MF) among the HL-008 group, I/R group, and control group; C. Significant thermogram of differential protein biological processes (BP) among the HL-008 group, I/R group, and control group.</w:t>
      </w:r>
    </w:p>
    <w:p>
      <w:pPr>
        <w:rPr>
          <w:rFonts w:hint="default" w:ascii="Times New Roman" w:hAnsi="Times New Roman" w:cs="Times New Roman"/>
          <w:sz w:val="24"/>
          <w:szCs w:val="24"/>
        </w:rPr>
      </w:pPr>
      <w:r>
        <w:rPr>
          <w:rFonts w:hint="default" w:ascii="Times New Roman" w:hAnsi="Times New Roman" w:cs="Times New Roman"/>
          <w:sz w:val="24"/>
          <w:szCs w:val="24"/>
        </w:rPr>
        <w:br w:type="page"/>
      </w:r>
    </w:p>
    <w:p>
      <w:pPr>
        <w:keepNext w:val="0"/>
        <w:keepLines w:val="0"/>
        <w:pageBreakBefore w:val="0"/>
        <w:widowControl w:val="0"/>
        <w:kinsoku/>
        <w:wordWrap/>
        <w:overflowPunct/>
        <w:topLinePunct w:val="0"/>
        <w:autoSpaceDE/>
        <w:autoSpaceDN/>
        <w:bidi w:val="0"/>
        <w:adjustRightInd/>
        <w:spacing w:after="0" w:line="240" w:lineRule="auto"/>
        <w:textAlignment w:val="auto"/>
      </w:pPr>
      <w:r>
        <w:drawing>
          <wp:inline distT="0" distB="0" distL="114300" distR="114300">
            <wp:extent cx="8862060" cy="2438400"/>
            <wp:effectExtent l="0" t="0" r="2540" b="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20"/>
                    <a:stretch>
                      <a:fillRect/>
                    </a:stretch>
                  </pic:blipFill>
                  <pic:spPr>
                    <a:xfrm>
                      <a:off x="0" y="0"/>
                      <a:ext cx="8862060" cy="24384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pacing w:after="0" w:line="240" w:lineRule="auto"/>
        <w:textAlignment w:val="auto"/>
        <w:rPr>
          <w:rFonts w:hint="default"/>
        </w:rPr>
      </w:pPr>
    </w:p>
    <w:p>
      <w:pPr>
        <w:keepNext w:val="0"/>
        <w:keepLines w:val="0"/>
        <w:pageBreakBefore w:val="0"/>
        <w:widowControl w:val="0"/>
        <w:kinsoku/>
        <w:wordWrap/>
        <w:overflowPunct/>
        <w:topLinePunct w:val="0"/>
        <w:autoSpaceDE/>
        <w:autoSpaceDN/>
        <w:bidi w:val="0"/>
        <w:adjustRightInd/>
        <w:spacing w:after="0" w:line="240" w:lineRule="auto"/>
        <w:ind w:firstLine="2310" w:firstLineChars="1100"/>
        <w:jc w:val="both"/>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A</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B</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C</w:t>
      </w:r>
    </w:p>
    <w:p>
      <w:pPr>
        <w:keepNext w:val="0"/>
        <w:keepLines w:val="0"/>
        <w:pageBreakBefore w:val="0"/>
        <w:widowControl w:val="0"/>
        <w:kinsoku/>
        <w:wordWrap/>
        <w:overflowPunct/>
        <w:topLinePunct w:val="0"/>
        <w:autoSpaceDE/>
        <w:autoSpaceDN/>
        <w:bidi w:val="0"/>
        <w:adjustRightInd/>
        <w:spacing w:after="0" w:line="240" w:lineRule="auto"/>
        <w:textAlignment w:val="auto"/>
        <w:rPr>
          <w:rFonts w:hint="default"/>
        </w:rPr>
      </w:pPr>
    </w:p>
    <w:p>
      <w:pPr>
        <w:keepNext w:val="0"/>
        <w:keepLines w:val="0"/>
        <w:pageBreakBefore w:val="0"/>
        <w:widowControl w:val="0"/>
        <w:kinsoku/>
        <w:wordWrap/>
        <w:overflowPunct/>
        <w:topLinePunct w:val="0"/>
        <w:autoSpaceDE/>
        <w:autoSpaceDN/>
        <w:bidi w:val="0"/>
        <w:adjustRightInd/>
        <w:spacing w:after="0" w:line="240" w:lineRule="auto"/>
        <w:textAlignment w:val="auto"/>
        <w:rPr>
          <w:rFonts w:hint="default" w:ascii="Times New Roman" w:hAnsi="Times New Roman" w:cs="Times New Roman"/>
          <w:sz w:val="24"/>
          <w:szCs w:val="24"/>
        </w:rPr>
        <w:sectPr>
          <w:pgSz w:w="16838" w:h="11906" w:orient="landscape"/>
          <w:pgMar w:top="1800" w:right="1440" w:bottom="1800" w:left="1440" w:header="851" w:footer="992" w:gutter="0"/>
          <w:cols w:space="425" w:num="1"/>
          <w:docGrid w:type="lines" w:linePitch="312" w:charSpace="0"/>
        </w:sectPr>
      </w:pPr>
      <w:r>
        <w:rPr>
          <w:rFonts w:hint="default" w:ascii="Times New Roman" w:hAnsi="Times New Roman" w:cs="Times New Roman"/>
          <w:sz w:val="24"/>
          <w:szCs w:val="24"/>
        </w:rPr>
        <w:t>Figure S</w:t>
      </w:r>
      <w:r>
        <w:rPr>
          <w:rFonts w:hint="eastAsia" w:ascii="Times New Roman" w:hAnsi="Times New Roman" w:cs="Times New Roman"/>
          <w:sz w:val="24"/>
          <w:szCs w:val="24"/>
          <w:lang w:val="en-US" w:eastAsia="zh-CN"/>
        </w:rPr>
        <w:t>4</w:t>
      </w:r>
      <w:r>
        <w:rPr>
          <w:rFonts w:hint="default" w:ascii="Times New Roman" w:hAnsi="Times New Roman" w:cs="Times New Roman"/>
          <w:sz w:val="24"/>
          <w:szCs w:val="24"/>
        </w:rPr>
        <w:t xml:space="preserve"> A. Differential protein GO enriched significantly arranged the top 10 in HL-008 vs Control group; B. Differential protein GO enriched significantly arranged the top 10 in HL-008 vs I/R group; C. Differential protein GO enriched significantly arranged the top 10 in I/R vs Control group.</w:t>
      </w:r>
    </w:p>
    <w:p>
      <w:pPr>
        <w:keepNext w:val="0"/>
        <w:keepLines w:val="0"/>
        <w:pageBreakBefore w:val="0"/>
        <w:widowControl w:val="0"/>
        <w:kinsoku/>
        <w:wordWrap/>
        <w:overflowPunct/>
        <w:topLinePunct w:val="0"/>
        <w:autoSpaceDE/>
        <w:autoSpaceDN/>
        <w:bidi w:val="0"/>
        <w:adjustRightInd/>
        <w:spacing w:after="0" w:line="24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pacing w:after="0"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114300" distR="114300">
            <wp:extent cx="2910840" cy="1755140"/>
            <wp:effectExtent l="0" t="0" r="10160" b="10160"/>
            <wp:docPr id="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pic:cNvPicPr>
                      <a:picLocks noChangeAspect="1"/>
                    </pic:cNvPicPr>
                  </pic:nvPicPr>
                  <pic:blipFill>
                    <a:blip r:embed="rId21"/>
                    <a:stretch>
                      <a:fillRect/>
                    </a:stretch>
                  </pic:blipFill>
                  <pic:spPr>
                    <a:xfrm>
                      <a:off x="0" y="0"/>
                      <a:ext cx="2910840" cy="1755140"/>
                    </a:xfrm>
                    <a:prstGeom prst="rect">
                      <a:avLst/>
                    </a:prstGeom>
                    <a:noFill/>
                    <a:ln>
                      <a:noFill/>
                    </a:ln>
                  </pic:spPr>
                </pic:pic>
              </a:graphicData>
            </a:graphic>
          </wp:inline>
        </w:drawing>
      </w:r>
      <w:r>
        <w:rPr>
          <w:rFonts w:hint="default" w:ascii="Times New Roman" w:hAnsi="Times New Roman" w:cs="Times New Roman"/>
          <w:sz w:val="24"/>
          <w:szCs w:val="24"/>
        </w:rPr>
        <w:drawing>
          <wp:inline distT="0" distB="0" distL="0" distR="0">
            <wp:extent cx="3122930" cy="1750060"/>
            <wp:effectExtent l="0" t="0" r="1270" b="2540"/>
            <wp:docPr id="21" name="图片 21" descr="C:\Users\Administrator\AppData\Roaming\Tencent\Users\84882717\QQ\WinTemp\RichOle\(@C(~FN{6E6~J73WPX~CJ}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C:\Users\Administrator\AppData\Roaming\Tencent\Users\84882717\QQ\WinTemp\RichOle\(@C(~FN{6E6~J73WPX~CJ}U.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3122930" cy="1750060"/>
                    </a:xfrm>
                    <a:prstGeom prst="rect">
                      <a:avLst/>
                    </a:prstGeom>
                    <a:noFill/>
                    <a:ln>
                      <a:noFill/>
                    </a:ln>
                  </pic:spPr>
                </pic:pic>
              </a:graphicData>
            </a:graphic>
          </wp:inline>
        </w:drawing>
      </w:r>
      <w:r>
        <w:rPr>
          <w:rFonts w:hint="default" w:ascii="Times New Roman" w:hAnsi="Times New Roman" w:cs="Times New Roman"/>
          <w:sz w:val="24"/>
          <w:szCs w:val="24"/>
        </w:rPr>
        <w:drawing>
          <wp:inline distT="0" distB="0" distL="0" distR="0">
            <wp:extent cx="2724150" cy="1743075"/>
            <wp:effectExtent l="0" t="0" r="6350" b="9525"/>
            <wp:docPr id="23" name="图片 23" descr="C:\Users\ADMINI~1\AppData\Local\Temp\156680543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C:\Users\ADMINI~1\AppData\Local\Temp\1566805432(1).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2724150" cy="174307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pacing w:after="0" w:line="240" w:lineRule="auto"/>
        <w:ind w:firstLine="2880" w:firstLineChars="1200"/>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 w:val="24"/>
          <w:szCs w:val="24"/>
        </w:rPr>
        <w:t>A</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B</w:t>
      </w:r>
      <w:r>
        <w:rPr>
          <w:rFonts w:hint="eastAsia" w:ascii="Times New Roman" w:hAnsi="Times New Roman" w:cs="Times New Roman"/>
          <w:sz w:val="24"/>
          <w:szCs w:val="24"/>
          <w:lang w:val="en-US" w:eastAsia="zh-CN"/>
        </w:rPr>
        <w:t xml:space="preserve">                                     C</w:t>
      </w:r>
    </w:p>
    <w:p>
      <w:pPr>
        <w:keepNext w:val="0"/>
        <w:keepLines w:val="0"/>
        <w:pageBreakBefore w:val="0"/>
        <w:widowControl w:val="0"/>
        <w:kinsoku/>
        <w:wordWrap/>
        <w:overflowPunct/>
        <w:topLinePunct w:val="0"/>
        <w:autoSpaceDE/>
        <w:autoSpaceDN/>
        <w:bidi w:val="0"/>
        <w:adjustRightInd/>
        <w:spacing w:after="0" w:line="240" w:lineRule="auto"/>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 w:val="24"/>
          <w:szCs w:val="24"/>
        </w:rPr>
        <w:t>Figure S</w:t>
      </w:r>
      <w:r>
        <w:rPr>
          <w:rFonts w:hint="eastAsia" w:ascii="Times New Roman" w:hAnsi="Times New Roman" w:cs="Times New Roman"/>
          <w:sz w:val="24"/>
          <w:szCs w:val="24"/>
          <w:lang w:val="en-US" w:eastAsia="zh-CN"/>
        </w:rPr>
        <w:t>5</w:t>
      </w:r>
      <w:r>
        <w:rPr>
          <w:rFonts w:hint="default" w:ascii="Times New Roman" w:hAnsi="Times New Roman" w:cs="Times New Roman"/>
          <w:sz w:val="24"/>
          <w:szCs w:val="24"/>
        </w:rPr>
        <w:t xml:space="preserve"> A. KEGG enrichment (top15) pathway in </w:t>
      </w:r>
      <w:r>
        <w:rPr>
          <w:rFonts w:hint="eastAsia" w:ascii="Times New Roman" w:hAnsi="Times New Roman" w:cs="Times New Roman"/>
          <w:sz w:val="24"/>
          <w:szCs w:val="24"/>
          <w:lang w:val="en-US" w:eastAsia="zh-CN"/>
        </w:rPr>
        <w:t xml:space="preserve">model vs HL-008; B. </w:t>
      </w:r>
      <w:r>
        <w:rPr>
          <w:rFonts w:hint="default" w:ascii="Times New Roman" w:hAnsi="Times New Roman" w:cs="Times New Roman"/>
          <w:sz w:val="24"/>
          <w:szCs w:val="24"/>
        </w:rPr>
        <w:t xml:space="preserve">HL-008 vs Control group; </w:t>
      </w:r>
      <w:r>
        <w:rPr>
          <w:rFonts w:hint="eastAsia" w:ascii="Times New Roman" w:hAnsi="Times New Roman" w:cs="Times New Roman"/>
          <w:sz w:val="24"/>
          <w:szCs w:val="24"/>
          <w:lang w:val="en-US" w:eastAsia="zh-CN"/>
        </w:rPr>
        <w:t>C</w:t>
      </w:r>
      <w:r>
        <w:rPr>
          <w:rFonts w:hint="default" w:ascii="Times New Roman" w:hAnsi="Times New Roman" w:cs="Times New Roman"/>
          <w:sz w:val="24"/>
          <w:szCs w:val="24"/>
        </w:rPr>
        <w:t>. KEGG enrichment (top15) pathway in I/R vs Control group</w:t>
      </w:r>
      <w:r>
        <w:rPr>
          <w:rFonts w:hint="eastAsia" w:ascii="Times New Roman" w:hAnsi="Times New Roman" w:cs="Times New Roman"/>
          <w:sz w:val="24"/>
          <w:szCs w:val="24"/>
          <w:lang w:val="en-US" w:eastAsia="zh-CN"/>
        </w:rPr>
        <w:t>.</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fldChar w:fldCharType="begin"/>
    </w:r>
    <w:r>
      <w:instrText xml:space="preserve"> PAGE   \* MERGEFORMAT </w:instrText>
    </w:r>
    <w:r>
      <w:fldChar w:fldCharType="separate"/>
    </w:r>
    <w:r>
      <w:t>2</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15024452"/>
      <w:docPartObj>
        <w:docPartGallery w:val="autotext"/>
      </w:docPartObj>
    </w:sdtPr>
    <w:sdtContent>
      <w:p>
        <w:pPr>
          <w:pStyle w:val="4"/>
          <w:jc w:val="right"/>
        </w:pPr>
        <w:r>
          <w:fldChar w:fldCharType="begin"/>
        </w:r>
        <w:r>
          <w:instrText xml:space="preserve"> PAGE   \* MERGEFORMAT </w:instrText>
        </w:r>
        <w:r>
          <w:fldChar w:fldCharType="separate"/>
        </w:r>
        <w:r>
          <w:t>2</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E55EA5"/>
    <w:rsid w:val="000217C2"/>
    <w:rsid w:val="0007146A"/>
    <w:rsid w:val="00072B25"/>
    <w:rsid w:val="000978F3"/>
    <w:rsid w:val="00112D42"/>
    <w:rsid w:val="00114005"/>
    <w:rsid w:val="001C27F0"/>
    <w:rsid w:val="001D1BB7"/>
    <w:rsid w:val="00212B81"/>
    <w:rsid w:val="00224962"/>
    <w:rsid w:val="00257D80"/>
    <w:rsid w:val="00281415"/>
    <w:rsid w:val="00283751"/>
    <w:rsid w:val="002A2A3B"/>
    <w:rsid w:val="002C5019"/>
    <w:rsid w:val="00312791"/>
    <w:rsid w:val="003B462B"/>
    <w:rsid w:val="003D0AB8"/>
    <w:rsid w:val="00664F6C"/>
    <w:rsid w:val="006823AE"/>
    <w:rsid w:val="0072480B"/>
    <w:rsid w:val="007A646B"/>
    <w:rsid w:val="007C1F8E"/>
    <w:rsid w:val="007F1ED4"/>
    <w:rsid w:val="00815D31"/>
    <w:rsid w:val="00835AE3"/>
    <w:rsid w:val="00867685"/>
    <w:rsid w:val="00926BBA"/>
    <w:rsid w:val="00927EB6"/>
    <w:rsid w:val="00934301"/>
    <w:rsid w:val="00953F8E"/>
    <w:rsid w:val="00A11688"/>
    <w:rsid w:val="00B445EA"/>
    <w:rsid w:val="00BC0554"/>
    <w:rsid w:val="00C1218E"/>
    <w:rsid w:val="00EB074C"/>
    <w:rsid w:val="00ED57EE"/>
    <w:rsid w:val="00F95AD1"/>
    <w:rsid w:val="00FF2494"/>
    <w:rsid w:val="00FF2CC4"/>
    <w:rsid w:val="03367A1C"/>
    <w:rsid w:val="034416DE"/>
    <w:rsid w:val="086C3708"/>
    <w:rsid w:val="13AD1256"/>
    <w:rsid w:val="15A13D45"/>
    <w:rsid w:val="16ED1AF1"/>
    <w:rsid w:val="1CA26B74"/>
    <w:rsid w:val="1FF3327D"/>
    <w:rsid w:val="21E3212A"/>
    <w:rsid w:val="22237453"/>
    <w:rsid w:val="2ADA2572"/>
    <w:rsid w:val="2CBD0354"/>
    <w:rsid w:val="2F6B5E98"/>
    <w:rsid w:val="44A05E84"/>
    <w:rsid w:val="47DA6475"/>
    <w:rsid w:val="4AE544BD"/>
    <w:rsid w:val="4FFB25DD"/>
    <w:rsid w:val="66024E91"/>
    <w:rsid w:val="6ED94427"/>
    <w:rsid w:val="79E855AF"/>
    <w:rsid w:val="7FE55E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qFormat="1" w:unhideWhenUsed="0" w:uiPriority="0" w:semiHidden="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59" w:lineRule="auto"/>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uiPriority w:val="0"/>
    <w:pPr>
      <w:spacing w:line="240" w:lineRule="auto"/>
    </w:pPr>
    <w:rPr>
      <w:sz w:val="20"/>
      <w:szCs w:val="20"/>
    </w:rPr>
  </w:style>
  <w:style w:type="paragraph" w:styleId="3">
    <w:name w:val="Balloon Text"/>
    <w:basedOn w:val="1"/>
    <w:link w:val="13"/>
    <w:uiPriority w:val="0"/>
    <w:pPr>
      <w:spacing w:after="0" w:line="240" w:lineRule="auto"/>
    </w:pPr>
    <w:rPr>
      <w:rFonts w:ascii="Segoe UI" w:hAnsi="Segoe UI" w:cs="Segoe UI"/>
      <w:sz w:val="18"/>
      <w:szCs w:val="18"/>
    </w:rPr>
  </w:style>
  <w:style w:type="paragraph" w:styleId="4">
    <w:name w:val="footer"/>
    <w:basedOn w:val="1"/>
    <w:link w:val="15"/>
    <w:qFormat/>
    <w:uiPriority w:val="99"/>
    <w:pPr>
      <w:tabs>
        <w:tab w:val="center" w:pos="4680"/>
        <w:tab w:val="right" w:pos="9360"/>
      </w:tabs>
      <w:spacing w:after="0" w:line="240" w:lineRule="auto"/>
    </w:pPr>
  </w:style>
  <w:style w:type="paragraph" w:styleId="5">
    <w:name w:val="header"/>
    <w:basedOn w:val="1"/>
    <w:link w:val="14"/>
    <w:qFormat/>
    <w:uiPriority w:val="0"/>
    <w:pPr>
      <w:tabs>
        <w:tab w:val="center" w:pos="4680"/>
        <w:tab w:val="right" w:pos="9360"/>
      </w:tabs>
      <w:spacing w:after="0" w:line="240" w:lineRule="auto"/>
    </w:pPr>
  </w:style>
  <w:style w:type="paragraph" w:styleId="6">
    <w:name w:val="annotation subject"/>
    <w:basedOn w:val="2"/>
    <w:next w:val="2"/>
    <w:link w:val="17"/>
    <w:qFormat/>
    <w:uiPriority w:val="0"/>
    <w:rPr>
      <w:b/>
      <w:bCs/>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
    <w:name w:val="Table Classic 1"/>
    <w:basedOn w:val="7"/>
    <w:qFormat/>
    <w:uiPriority w:val="0"/>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character" w:styleId="11">
    <w:name w:val="Hyperlink"/>
    <w:basedOn w:val="10"/>
    <w:unhideWhenUsed/>
    <w:qFormat/>
    <w:uiPriority w:val="99"/>
    <w:rPr>
      <w:rFonts w:cs="Times New Roman"/>
      <w:color w:val="0000FF"/>
      <w:u w:val="single"/>
    </w:rPr>
  </w:style>
  <w:style w:type="character" w:styleId="12">
    <w:name w:val="annotation reference"/>
    <w:basedOn w:val="10"/>
    <w:qFormat/>
    <w:uiPriority w:val="0"/>
    <w:rPr>
      <w:sz w:val="16"/>
      <w:szCs w:val="16"/>
    </w:rPr>
  </w:style>
  <w:style w:type="character" w:customStyle="1" w:styleId="13">
    <w:name w:val="Balloon Text Char"/>
    <w:basedOn w:val="10"/>
    <w:link w:val="3"/>
    <w:qFormat/>
    <w:uiPriority w:val="0"/>
    <w:rPr>
      <w:rFonts w:ascii="Segoe UI" w:hAnsi="Segoe UI" w:cs="Segoe UI"/>
      <w:kern w:val="2"/>
      <w:sz w:val="18"/>
      <w:szCs w:val="18"/>
      <w:lang w:eastAsia="zh-CN"/>
    </w:rPr>
  </w:style>
  <w:style w:type="character" w:customStyle="1" w:styleId="14">
    <w:name w:val="Header Char"/>
    <w:basedOn w:val="10"/>
    <w:link w:val="5"/>
    <w:qFormat/>
    <w:uiPriority w:val="0"/>
    <w:rPr>
      <w:kern w:val="2"/>
      <w:sz w:val="21"/>
      <w:szCs w:val="24"/>
      <w:lang w:eastAsia="zh-CN"/>
    </w:rPr>
  </w:style>
  <w:style w:type="character" w:customStyle="1" w:styleId="15">
    <w:name w:val="Footer Char"/>
    <w:basedOn w:val="10"/>
    <w:link w:val="4"/>
    <w:qFormat/>
    <w:uiPriority w:val="99"/>
    <w:rPr>
      <w:kern w:val="2"/>
      <w:sz w:val="21"/>
      <w:szCs w:val="24"/>
      <w:lang w:eastAsia="zh-CN"/>
    </w:rPr>
  </w:style>
  <w:style w:type="character" w:customStyle="1" w:styleId="16">
    <w:name w:val="Comment Text Char"/>
    <w:basedOn w:val="10"/>
    <w:link w:val="2"/>
    <w:qFormat/>
    <w:uiPriority w:val="0"/>
    <w:rPr>
      <w:kern w:val="2"/>
      <w:lang w:eastAsia="zh-CN"/>
    </w:rPr>
  </w:style>
  <w:style w:type="character" w:customStyle="1" w:styleId="17">
    <w:name w:val="Comment Subject Char"/>
    <w:basedOn w:val="16"/>
    <w:link w:val="6"/>
    <w:qFormat/>
    <w:uiPriority w:val="0"/>
    <w:rPr>
      <w:b/>
      <w:bCs/>
      <w:kern w:val="2"/>
      <w:lang w:eastAsia="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tiff"/><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8" Type="http://schemas.openxmlformats.org/officeDocument/2006/relationships/fontTable" Target="fontTable.xml"/><Relationship Id="rId27" Type="http://schemas.openxmlformats.org/officeDocument/2006/relationships/customXml" Target="../customXml/item4.xml"/><Relationship Id="rId26" Type="http://schemas.openxmlformats.org/officeDocument/2006/relationships/customXml" Target="../customXml/item3.xml"/><Relationship Id="rId25" Type="http://schemas.openxmlformats.org/officeDocument/2006/relationships/customXml" Target="../customXml/item2.xml"/><Relationship Id="rId24" Type="http://schemas.openxmlformats.org/officeDocument/2006/relationships/customXml" Target="../customXml/item1.xml"/><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ct:contentTypeSchema xmlns:ct="http://schemas.microsoft.com/office/2006/metadata/contentType" xmlns:ma="http://schemas.microsoft.com/office/2006/metadata/properties/metaAttributes" ct:_="" ma:_="" ma:contentTypeName="Document" ma:contentTypeID="0x010100C8937C2F6A13D7418383E22A7BAA24D9" ma:contentTypeVersion="11" ma:contentTypeDescription="Create a new document." ma:contentTypeScope="" ma:versionID="1a0fecfed36f328b5bb86133802f1355">
  <xsd:schema xmlns:xsd="http://www.w3.org/2001/XMLSchema" xmlns:xs="http://www.w3.org/2001/XMLSchema" xmlns:p="http://schemas.microsoft.com/office/2006/metadata/properties" xmlns:ns3="401b3d7a-bd72-44fe-9b95-8fd6792488ed" xmlns:ns4="52040a58-9c9f-4b9a-abad-cb218831e49c" targetNamespace="http://schemas.microsoft.com/office/2006/metadata/properties" ma:root="true" ma:fieldsID="a69325b0ec3a2d6ce5459817fb31a26a" ns3:_="" ns4:_="">
    <xsd:import namespace="401b3d7a-bd72-44fe-9b95-8fd6792488ed"/>
    <xsd:import namespace="52040a58-9c9f-4b9a-abad-cb218831e49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1b3d7a-bd72-44fe-9b95-8fd6792488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2040a58-9c9f-4b9a-abad-cb218831e49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0C1CBC-5CE8-4EBA-B07E-36A4A92F43CC}">
  <ds:schemaRefs/>
</ds:datastoreItem>
</file>

<file path=customXml/itemProps3.xml><?xml version="1.0" encoding="utf-8"?>
<ds:datastoreItem xmlns:ds="http://schemas.openxmlformats.org/officeDocument/2006/customXml" ds:itemID="{2A4861F3-5263-45E9-9D52-4E362BDA9B5C}">
  <ds:schemaRefs/>
</ds:datastoreItem>
</file>

<file path=customXml/itemProps4.xml><?xml version="1.0" encoding="utf-8"?>
<ds:datastoreItem xmlns:ds="http://schemas.openxmlformats.org/officeDocument/2006/customXml" ds:itemID="{D0A92826-AF46-43D2-AA33-321366FA9CF3}">
  <ds:schemaRefs/>
</ds:datastoreItem>
</file>

<file path=docProps/app.xml><?xml version="1.0" encoding="utf-8"?>
<Properties xmlns="http://schemas.openxmlformats.org/officeDocument/2006/extended-properties" xmlns:vt="http://schemas.openxmlformats.org/officeDocument/2006/docPropsVTypes">
  <Template>Normal</Template>
  <Pages>10</Pages>
  <Words>472</Words>
  <Characters>2697</Characters>
  <Lines>22</Lines>
  <Paragraphs>6</Paragraphs>
  <TotalTime>4</TotalTime>
  <ScaleCrop>false</ScaleCrop>
  <LinksUpToDate>false</LinksUpToDate>
  <CharactersWithSpaces>3163</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2020-10-25T07:52:00Z</dcterms:created>
  <dc:creator>半人间</dc:creator>
  <cp:lastModifiedBy>半人间</cp:lastModifiedBy>
  <dcterms:modified xsi:type="dcterms:W3CDTF">2020-12-14T03:03:32Z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ContentTypeId">
    <vt:lpwstr>0x010100C8937C2F6A13D7418383E22A7BAA24D9</vt:lpwstr>
  </property>
</Properties>
</file>