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D22" w:rsidRDefault="00071D22" w:rsidP="00071D2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4D4D">
        <w:rPr>
          <w:rFonts w:ascii="Times New Roman" w:hAnsi="Times New Roman" w:cs="Times New Roman"/>
          <w:b/>
          <w:bCs/>
          <w:sz w:val="24"/>
          <w:szCs w:val="24"/>
        </w:rPr>
        <w:t>Table 2.</w:t>
      </w:r>
      <w:r>
        <w:rPr>
          <w:rFonts w:ascii="Times New Roman" w:hAnsi="Times New Roman" w:cs="Times New Roman"/>
          <w:sz w:val="24"/>
          <w:szCs w:val="24"/>
        </w:rPr>
        <w:t xml:space="preserve"> Mann-Kendall and Spearman Rho trend test results for the duration (DD) and severity (DS) at 1-,3-,6-month time scales.</w:t>
      </w:r>
    </w:p>
    <w:p w:rsidR="00390883" w:rsidRDefault="00071D22">
      <w:r w:rsidRPr="009F0D51">
        <w:rPr>
          <w:noProof/>
        </w:rPr>
        <w:drawing>
          <wp:inline distT="0" distB="0" distL="0" distR="0" wp14:anchorId="0017CCD5" wp14:editId="2C19AC78">
            <wp:extent cx="5943600" cy="5272405"/>
            <wp:effectExtent l="0" t="0" r="0" b="444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526" cy="527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D22" w:rsidRDefault="00071D22"/>
    <w:p w:rsidR="00071D22" w:rsidRDefault="00071D22" w:rsidP="00071D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D22" w:rsidRDefault="00071D22" w:rsidP="00071D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D22" w:rsidRDefault="00071D22" w:rsidP="00071D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D22" w:rsidRDefault="00071D22" w:rsidP="00071D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D22" w:rsidRDefault="00071D22" w:rsidP="00071D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D22" w:rsidRDefault="00071D22" w:rsidP="00071D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D22" w:rsidRDefault="00071D22" w:rsidP="00071D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D22" w:rsidRDefault="00071D22" w:rsidP="00071D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D22" w:rsidRDefault="00071D22" w:rsidP="00071D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D22" w:rsidRDefault="00071D22" w:rsidP="00071D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D22" w:rsidRDefault="00071D22" w:rsidP="00071D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409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F44098">
        <w:rPr>
          <w:rFonts w:ascii="Times New Roman" w:hAnsi="Times New Roman" w:cs="Times New Roman"/>
          <w:b/>
          <w:sz w:val="24"/>
          <w:szCs w:val="24"/>
        </w:rPr>
        <w:t>.</w:t>
      </w:r>
      <w:r w:rsidRPr="00F440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summary description of c</w:t>
      </w:r>
      <w:r w:rsidRPr="00F44098">
        <w:rPr>
          <w:rFonts w:ascii="Times New Roman" w:hAnsi="Times New Roman" w:cs="Times New Roman"/>
          <w:sz w:val="24"/>
          <w:szCs w:val="24"/>
        </w:rPr>
        <w:t>opula families used in th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44098">
        <w:rPr>
          <w:rFonts w:ascii="Times New Roman" w:hAnsi="Times New Roman" w:cs="Times New Roman"/>
          <w:sz w:val="24"/>
          <w:szCs w:val="24"/>
        </w:rPr>
        <w:t xml:space="preserve"> study</w:t>
      </w:r>
    </w:p>
    <w:p w:rsidR="00071D22" w:rsidRPr="00F44098" w:rsidRDefault="00071D22" w:rsidP="00071D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24F">
        <w:rPr>
          <w:noProof/>
        </w:rPr>
        <w:drawing>
          <wp:inline distT="0" distB="0" distL="0" distR="0" wp14:anchorId="37DC4D37" wp14:editId="198AF88C">
            <wp:extent cx="5943600" cy="3258551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58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71D22" w:rsidRDefault="00071D22"/>
    <w:sectPr w:rsidR="00071D22" w:rsidSect="001A6D85">
      <w:pgSz w:w="11910" w:h="16840"/>
      <w:pgMar w:top="1440" w:right="1267" w:bottom="1483" w:left="562" w:header="0" w:footer="128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D22"/>
    <w:rsid w:val="00071D22"/>
    <w:rsid w:val="001A6D85"/>
    <w:rsid w:val="006E330B"/>
    <w:rsid w:val="00B1111D"/>
    <w:rsid w:val="00C253AF"/>
    <w:rsid w:val="00DF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8E661"/>
  <w15:chartTrackingRefBased/>
  <w15:docId w15:val="{B280F9C0-4817-472D-8D6F-2477A8C41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D22"/>
    <w:pPr>
      <w:spacing w:after="120" w:line="264" w:lineRule="auto"/>
    </w:pPr>
    <w:rPr>
      <w:rFonts w:eastAsiaTheme="minorEastAs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Chavan</dc:creator>
  <cp:keywords/>
  <dc:description/>
  <cp:lastModifiedBy>Pooja Chavan</cp:lastModifiedBy>
  <cp:revision>1</cp:revision>
  <dcterms:created xsi:type="dcterms:W3CDTF">2022-01-18T11:37:00Z</dcterms:created>
  <dcterms:modified xsi:type="dcterms:W3CDTF">2022-01-18T11:38:00Z</dcterms:modified>
</cp:coreProperties>
</file>